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3639A" w14:textId="77777777" w:rsidR="00D7230D" w:rsidRDefault="00D7230D" w:rsidP="00D7230D">
      <w:r>
        <w:rPr>
          <w:noProof/>
        </w:rPr>
        <w:drawing>
          <wp:anchor distT="0" distB="0" distL="114300" distR="114300" simplePos="0" relativeHeight="251743232" behindDoc="0" locked="0" layoutInCell="1" allowOverlap="1" wp14:anchorId="67F3FBC5" wp14:editId="160EAF3A">
            <wp:simplePos x="0" y="0"/>
            <wp:positionH relativeFrom="margin">
              <wp:posOffset>1614805</wp:posOffset>
            </wp:positionH>
            <wp:positionV relativeFrom="paragraph">
              <wp:posOffset>259080</wp:posOffset>
            </wp:positionV>
            <wp:extent cx="2770505" cy="838200"/>
            <wp:effectExtent l="0" t="0" r="0" b="0"/>
            <wp:wrapSquare wrapText="bothSides"/>
            <wp:docPr id="940782005" name="Picture 2" descr="The University of Sheffield | 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University of Sheffield | J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050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C0C9BB" w14:textId="77777777" w:rsidR="00D7230D" w:rsidRDefault="00D7230D" w:rsidP="00D7230D"/>
    <w:p w14:paraId="0B081362" w14:textId="77777777" w:rsidR="00D7230D" w:rsidRDefault="00D7230D" w:rsidP="00D7230D"/>
    <w:p w14:paraId="4FDC413C" w14:textId="77777777" w:rsidR="00D7230D" w:rsidRDefault="00D7230D" w:rsidP="00D7230D">
      <w:pPr>
        <w:jc w:val="center"/>
      </w:pPr>
    </w:p>
    <w:p w14:paraId="4FBF8233" w14:textId="77777777" w:rsidR="00D7230D" w:rsidRPr="006D7F23" w:rsidRDefault="00D7230D" w:rsidP="00D7230D">
      <w:pPr>
        <w:jc w:val="center"/>
        <w:rPr>
          <w:b/>
          <w:bCs/>
        </w:rPr>
      </w:pPr>
    </w:p>
    <w:p w14:paraId="00F2AB7C" w14:textId="77777777" w:rsidR="00D7230D" w:rsidRPr="00B66DBE" w:rsidRDefault="00D7230D" w:rsidP="00D7230D">
      <w:pPr>
        <w:jc w:val="center"/>
        <w:rPr>
          <w:b/>
          <w:bCs/>
          <w:sz w:val="32"/>
          <w:szCs w:val="32"/>
        </w:rPr>
      </w:pPr>
    </w:p>
    <w:p w14:paraId="78A95610" w14:textId="77777777" w:rsidR="00D7230D" w:rsidRDefault="00D7230D" w:rsidP="00D7230D">
      <w:pPr>
        <w:jc w:val="center"/>
        <w:rPr>
          <w:b/>
          <w:bCs/>
          <w:sz w:val="32"/>
          <w:szCs w:val="32"/>
        </w:rPr>
      </w:pPr>
    </w:p>
    <w:p w14:paraId="13578F7D" w14:textId="77777777" w:rsidR="00D7230D" w:rsidRPr="00B66DBE" w:rsidRDefault="00D7230D" w:rsidP="00D7230D">
      <w:pPr>
        <w:jc w:val="center"/>
        <w:rPr>
          <w:b/>
          <w:bCs/>
          <w:sz w:val="32"/>
          <w:szCs w:val="32"/>
        </w:rPr>
      </w:pPr>
      <w:r w:rsidRPr="00B66DBE">
        <w:rPr>
          <w:b/>
          <w:bCs/>
          <w:sz w:val="32"/>
          <w:szCs w:val="32"/>
        </w:rPr>
        <w:t>Initials, Goods and Buildings:</w:t>
      </w:r>
    </w:p>
    <w:p w14:paraId="21286E2D" w14:textId="77777777" w:rsidR="00D7230D" w:rsidRPr="00B66DBE" w:rsidRDefault="00D7230D" w:rsidP="00D7230D">
      <w:pPr>
        <w:jc w:val="center"/>
        <w:rPr>
          <w:b/>
          <w:bCs/>
          <w:sz w:val="32"/>
          <w:szCs w:val="32"/>
        </w:rPr>
      </w:pPr>
      <w:r w:rsidRPr="00B66DBE">
        <w:rPr>
          <w:b/>
          <w:bCs/>
          <w:sz w:val="32"/>
          <w:szCs w:val="32"/>
        </w:rPr>
        <w:t>Marriage as a Material and Social Practice in Early Modern England</w:t>
      </w:r>
    </w:p>
    <w:p w14:paraId="27177DEE" w14:textId="77777777" w:rsidR="00D7230D" w:rsidRDefault="00D7230D" w:rsidP="00D7230D">
      <w:pPr>
        <w:jc w:val="center"/>
      </w:pPr>
    </w:p>
    <w:p w14:paraId="4B46D52C" w14:textId="77777777" w:rsidR="00D7230D" w:rsidRDefault="00D7230D" w:rsidP="00D7230D">
      <w:pPr>
        <w:rPr>
          <w:b/>
          <w:bCs/>
          <w:sz w:val="32"/>
          <w:szCs w:val="32"/>
        </w:rPr>
      </w:pPr>
    </w:p>
    <w:p w14:paraId="776CDE49" w14:textId="77777777" w:rsidR="00D7230D" w:rsidRPr="00B66DBE" w:rsidRDefault="00D7230D" w:rsidP="00D7230D">
      <w:pPr>
        <w:jc w:val="center"/>
        <w:rPr>
          <w:b/>
          <w:bCs/>
          <w:sz w:val="32"/>
          <w:szCs w:val="32"/>
        </w:rPr>
      </w:pPr>
      <w:r w:rsidRPr="00B66DBE">
        <w:rPr>
          <w:b/>
          <w:bCs/>
          <w:sz w:val="32"/>
          <w:szCs w:val="32"/>
        </w:rPr>
        <w:t>Leonie Price</w:t>
      </w:r>
    </w:p>
    <w:p w14:paraId="2698868A" w14:textId="77777777" w:rsidR="00D7230D" w:rsidRDefault="00D7230D" w:rsidP="00D7230D">
      <w:pPr>
        <w:jc w:val="center"/>
      </w:pPr>
    </w:p>
    <w:p w14:paraId="446E24E3" w14:textId="77777777" w:rsidR="00D7230D" w:rsidRDefault="00D7230D" w:rsidP="00D7230D"/>
    <w:p w14:paraId="508A009D" w14:textId="77777777" w:rsidR="00D7230D" w:rsidRDefault="00D7230D" w:rsidP="00D7230D">
      <w:pPr>
        <w:jc w:val="center"/>
        <w:rPr>
          <w:b/>
          <w:bCs/>
        </w:rPr>
      </w:pPr>
    </w:p>
    <w:p w14:paraId="5946734E" w14:textId="77777777" w:rsidR="00D7230D" w:rsidRPr="006D7F23" w:rsidRDefault="00D7230D" w:rsidP="00D7230D">
      <w:pPr>
        <w:jc w:val="center"/>
        <w:rPr>
          <w:b/>
          <w:bCs/>
        </w:rPr>
      </w:pPr>
      <w:r w:rsidRPr="006D7F23">
        <w:rPr>
          <w:b/>
          <w:bCs/>
        </w:rPr>
        <w:t>A thesis submitted in partial fulfilment of the requirements for the degree of</w:t>
      </w:r>
    </w:p>
    <w:p w14:paraId="7EC2633B" w14:textId="77777777" w:rsidR="00D7230D" w:rsidRPr="006D7F23" w:rsidRDefault="00D7230D" w:rsidP="00D7230D">
      <w:pPr>
        <w:jc w:val="center"/>
        <w:rPr>
          <w:b/>
          <w:bCs/>
        </w:rPr>
      </w:pPr>
      <w:r w:rsidRPr="006D7F23">
        <w:rPr>
          <w:b/>
          <w:bCs/>
        </w:rPr>
        <w:t>Doctor of Philosophy</w:t>
      </w:r>
    </w:p>
    <w:p w14:paraId="0265BDDB" w14:textId="77777777" w:rsidR="00D7230D" w:rsidRPr="006D7F23" w:rsidRDefault="00D7230D" w:rsidP="00D7230D">
      <w:pPr>
        <w:jc w:val="center"/>
        <w:rPr>
          <w:b/>
          <w:bCs/>
        </w:rPr>
      </w:pPr>
      <w:r w:rsidRPr="006D7F23">
        <w:rPr>
          <w:b/>
          <w:bCs/>
        </w:rPr>
        <w:t>2024</w:t>
      </w:r>
    </w:p>
    <w:p w14:paraId="143131EF" w14:textId="77777777" w:rsidR="00D7230D" w:rsidRPr="006D7F23" w:rsidRDefault="00D7230D" w:rsidP="00D7230D">
      <w:pPr>
        <w:jc w:val="center"/>
        <w:rPr>
          <w:b/>
          <w:bCs/>
        </w:rPr>
      </w:pPr>
    </w:p>
    <w:p w14:paraId="3E555A38" w14:textId="77777777" w:rsidR="00D7230D" w:rsidRDefault="00D7230D" w:rsidP="00D7230D">
      <w:pPr>
        <w:jc w:val="center"/>
        <w:rPr>
          <w:b/>
          <w:bCs/>
        </w:rPr>
      </w:pPr>
    </w:p>
    <w:p w14:paraId="6B72F041" w14:textId="77777777" w:rsidR="00D7230D" w:rsidRDefault="00D7230D" w:rsidP="00D7230D">
      <w:pPr>
        <w:jc w:val="center"/>
        <w:rPr>
          <w:b/>
          <w:bCs/>
        </w:rPr>
      </w:pPr>
      <w:r>
        <w:rPr>
          <w:b/>
          <w:bCs/>
        </w:rPr>
        <w:t>University of Sheffield</w:t>
      </w:r>
    </w:p>
    <w:p w14:paraId="3377EC9E" w14:textId="77777777" w:rsidR="00D7230D" w:rsidRPr="006D7F23" w:rsidRDefault="00D7230D" w:rsidP="00D7230D">
      <w:pPr>
        <w:jc w:val="center"/>
        <w:rPr>
          <w:b/>
          <w:bCs/>
        </w:rPr>
      </w:pPr>
      <w:r w:rsidRPr="006D7F23">
        <w:rPr>
          <w:b/>
          <w:bCs/>
        </w:rPr>
        <w:t>Faculty of Arts and Humanities</w:t>
      </w:r>
    </w:p>
    <w:p w14:paraId="1ABD3EBF" w14:textId="77777777" w:rsidR="00D7230D" w:rsidRPr="006D7F23" w:rsidRDefault="00D7230D" w:rsidP="00D7230D">
      <w:pPr>
        <w:jc w:val="center"/>
        <w:rPr>
          <w:b/>
          <w:bCs/>
        </w:rPr>
      </w:pPr>
      <w:r w:rsidRPr="006D7F23">
        <w:rPr>
          <w:b/>
          <w:bCs/>
        </w:rPr>
        <w:t>School of History, Philosophy and Digital Humanities</w:t>
      </w:r>
    </w:p>
    <w:p w14:paraId="691CD497" w14:textId="77777777" w:rsidR="00D7230D" w:rsidRPr="006D7F23" w:rsidRDefault="00D7230D" w:rsidP="00D7230D">
      <w:pPr>
        <w:jc w:val="center"/>
        <w:rPr>
          <w:b/>
          <w:bCs/>
        </w:rPr>
      </w:pPr>
    </w:p>
    <w:p w14:paraId="12148F55" w14:textId="77777777" w:rsidR="00D7230D" w:rsidRDefault="00D7230D" w:rsidP="00D7230D">
      <w:pPr>
        <w:rPr>
          <w:b/>
          <w:bCs/>
          <w:sz w:val="32"/>
          <w:szCs w:val="32"/>
          <w:u w:val="single"/>
        </w:rPr>
      </w:pPr>
    </w:p>
    <w:p w14:paraId="39CB67A0" w14:textId="77777777" w:rsidR="00D7230D" w:rsidRDefault="00D7230D" w:rsidP="00D7230D">
      <w:pPr>
        <w:rPr>
          <w:b/>
          <w:bCs/>
          <w:sz w:val="32"/>
          <w:szCs w:val="32"/>
          <w:u w:val="single"/>
        </w:rPr>
      </w:pPr>
    </w:p>
    <w:p w14:paraId="4B53445C" w14:textId="77777777" w:rsidR="00D7230D" w:rsidRDefault="00D7230D" w:rsidP="00D7230D">
      <w:pPr>
        <w:rPr>
          <w:b/>
          <w:bCs/>
          <w:sz w:val="32"/>
          <w:szCs w:val="32"/>
          <w:u w:val="single"/>
        </w:rPr>
      </w:pPr>
    </w:p>
    <w:p w14:paraId="54725217" w14:textId="77777777" w:rsidR="00D7230D" w:rsidRDefault="00D7230D" w:rsidP="00D7230D">
      <w:pPr>
        <w:rPr>
          <w:b/>
          <w:bCs/>
          <w:sz w:val="32"/>
          <w:szCs w:val="32"/>
          <w:u w:val="single"/>
        </w:rPr>
      </w:pPr>
    </w:p>
    <w:p w14:paraId="40C41FEF" w14:textId="77777777" w:rsidR="00D7230D" w:rsidRDefault="00D7230D" w:rsidP="00D7230D">
      <w:pPr>
        <w:rPr>
          <w:b/>
          <w:bCs/>
          <w:sz w:val="32"/>
          <w:szCs w:val="32"/>
          <w:u w:val="single"/>
        </w:rPr>
      </w:pPr>
    </w:p>
    <w:p w14:paraId="3F09FD06" w14:textId="77777777" w:rsidR="00D7230D" w:rsidRDefault="00D7230D" w:rsidP="005C126F">
      <w:pPr>
        <w:jc w:val="center"/>
        <w:rPr>
          <w:b/>
          <w:bCs/>
          <w:sz w:val="32"/>
          <w:szCs w:val="32"/>
          <w:u w:val="single"/>
        </w:rPr>
      </w:pPr>
    </w:p>
    <w:p w14:paraId="7D3CA9EA" w14:textId="596AB75C" w:rsidR="00D7230D" w:rsidRDefault="00D7230D" w:rsidP="005C126F">
      <w:pPr>
        <w:jc w:val="center"/>
        <w:sectPr w:rsidR="00D7230D" w:rsidSect="00D7230D">
          <w:pgSz w:w="12240" w:h="15840"/>
          <w:pgMar w:top="1440" w:right="1440" w:bottom="1440" w:left="1440" w:header="720" w:footer="720" w:gutter="0"/>
          <w:cols w:space="720"/>
          <w:docGrid w:linePitch="360"/>
        </w:sectPr>
      </w:pPr>
      <w:r>
        <w:t>I, the author, confirm that this thesis is my own work</w:t>
      </w:r>
      <w:r w:rsidR="00F07EC9">
        <w:t xml:space="preserve">. I am aware of the University’s </w:t>
      </w:r>
      <w:r w:rsidR="00FB62E4">
        <w:t>Gu</w:t>
      </w:r>
      <w:r w:rsidR="00F07EC9">
        <w:t>idance</w:t>
      </w:r>
      <w:r>
        <w:t xml:space="preserve"> </w:t>
      </w:r>
      <w:r w:rsidR="00FB62E4">
        <w:t>on the Use of Unfair Means (</w:t>
      </w:r>
      <w:r w:rsidR="005C126F">
        <w:t>www.sheffield.ac.uk/ssid/unfair-means). This work</w:t>
      </w:r>
      <w:r>
        <w:t xml:space="preserve"> has not previously been presented for an award at this</w:t>
      </w:r>
      <w:r w:rsidR="005C126F">
        <w:t>,</w:t>
      </w:r>
      <w:r>
        <w:t xml:space="preserve"> or any other</w:t>
      </w:r>
      <w:r w:rsidR="005C126F">
        <w:t>,</w:t>
      </w:r>
      <w:r>
        <w:t xml:space="preserve"> university.</w:t>
      </w:r>
    </w:p>
    <w:p w14:paraId="1B4F74F0" w14:textId="77777777" w:rsidR="00D7230D" w:rsidRDefault="00D7230D" w:rsidP="00D7230D">
      <w:pPr>
        <w:sectPr w:rsidR="00D7230D" w:rsidSect="00D7230D">
          <w:pgSz w:w="12240" w:h="15840"/>
          <w:pgMar w:top="1440" w:right="1440" w:bottom="1440" w:left="1440" w:header="720" w:footer="720" w:gutter="0"/>
          <w:cols w:space="720"/>
          <w:docGrid w:linePitch="360"/>
        </w:sectPr>
      </w:pPr>
    </w:p>
    <w:p w14:paraId="5245E9A3" w14:textId="77777777" w:rsidR="00D7230D" w:rsidRDefault="00D7230D" w:rsidP="00D7230D">
      <w:pPr>
        <w:rPr>
          <w:b/>
          <w:bCs/>
          <w:sz w:val="32"/>
          <w:szCs w:val="32"/>
          <w:u w:val="single"/>
        </w:rPr>
      </w:pPr>
      <w:r>
        <w:rPr>
          <w:b/>
          <w:bCs/>
          <w:sz w:val="32"/>
          <w:szCs w:val="32"/>
          <w:u w:val="single"/>
        </w:rPr>
        <w:lastRenderedPageBreak/>
        <w:t>Acknowledgements</w:t>
      </w:r>
    </w:p>
    <w:p w14:paraId="5F20F2DF" w14:textId="6D9ABB28" w:rsidR="00D7230D" w:rsidRDefault="00D7230D" w:rsidP="00D7230D">
      <w:pPr>
        <w:jc w:val="both"/>
      </w:pPr>
      <w:r>
        <w:t xml:space="preserve">First, I would like to thank my primary supervisor, Professor Phil Withington. From the MA dissertation that </w:t>
      </w:r>
      <w:r w:rsidR="0076117A">
        <w:t>provided a</w:t>
      </w:r>
      <w:r>
        <w:t xml:space="preserve"> litmus test for this thesis right through to today, thank you Phil for your enduring belief both in me and my project, for your encouragement and indispensable advice, and for always knowing the right question to ask to shift my perspective. Thank you also to my second supervisor, Dr Kate Davison, for your kindness, guidance and support throughout. I am so grateful to both of you for your time, wisdom and </w:t>
      </w:r>
      <w:r w:rsidR="005534AC">
        <w:t>help</w:t>
      </w:r>
      <w:r>
        <w:t xml:space="preserve"> and consider myself very lucky to have worked with you both.</w:t>
      </w:r>
    </w:p>
    <w:p w14:paraId="0E123AFE" w14:textId="298C7560" w:rsidR="00D7230D" w:rsidRDefault="00D7230D" w:rsidP="00D7230D">
      <w:pPr>
        <w:jc w:val="both"/>
      </w:pPr>
      <w:r>
        <w:t xml:space="preserve">I would also like to thank my undergraduate supervisor at Durham University, Dr Adrian Green. Two modules on architecture and the built environment and ‘The Birth of a Consumer Society’ </w:t>
      </w:r>
      <w:r w:rsidR="007C74C3">
        <w:t xml:space="preserve">have </w:t>
      </w:r>
      <w:r>
        <w:t xml:space="preserve">had a huge influence on my thinking. A passing comment on initialled buildings in a seminar is the reason this thesis exists at </w:t>
      </w:r>
      <w:proofErr w:type="gramStart"/>
      <w:r>
        <w:t>all, and</w:t>
      </w:r>
      <w:proofErr w:type="gramEnd"/>
      <w:r>
        <w:t xml:space="preserve"> thank you Adrian for </w:t>
      </w:r>
      <w:proofErr w:type="gramStart"/>
      <w:r>
        <w:t>all of</w:t>
      </w:r>
      <w:proofErr w:type="gramEnd"/>
      <w:r>
        <w:t xml:space="preserve"> your support and encouragement over the years.</w:t>
      </w:r>
    </w:p>
    <w:p w14:paraId="6C6DDDEA" w14:textId="060EDE3B" w:rsidR="00D7230D" w:rsidRDefault="00D7230D" w:rsidP="00D7230D">
      <w:pPr>
        <w:jc w:val="both"/>
      </w:pPr>
      <w:r>
        <w:t xml:space="preserve">The conferences and seminars I have attended throughout this project have introduced me to many people who have shared their insights with me, for which I am so grateful. Thank you especially to the members of the Vernacular Architecture Group for your enthusiasm and generosity; to members of the Social History Society; to Emma Marshall and Ella </w:t>
      </w:r>
      <w:proofErr w:type="spellStart"/>
      <w:r>
        <w:t>Sbaraini</w:t>
      </w:r>
      <w:proofErr w:type="spellEnd"/>
      <w:r>
        <w:t xml:space="preserve"> and everyone at the ‘Emotion, Embodiment and the Everyday’ conference</w:t>
      </w:r>
      <w:r w:rsidR="0038000F">
        <w:t xml:space="preserve"> in 2021</w:t>
      </w:r>
      <w:r>
        <w:t>; and to members of the Renaissance Society of America for your thoughts and comments in 2023. A huge thank you as well to everyone who has made the Sheffield Centre for Early Modern Studies such a wonderful community to be part of.</w:t>
      </w:r>
    </w:p>
    <w:p w14:paraId="4DE74A53" w14:textId="77777777" w:rsidR="00D7230D" w:rsidRDefault="00D7230D" w:rsidP="00D7230D">
      <w:pPr>
        <w:jc w:val="both"/>
      </w:pPr>
      <w:r>
        <w:t>I could not have completed this thesis without help from so many people along the way. Thank you to the teams at Lancashire Archives and Cheshire Record Office for retrieving seemingly endless documents and being kind enough to share and discuss spreadsheets and the peculiarities of the records with me. Thank you to former Adlington Estate archivist Simon Harris, too, for so readily sharing rough transcriptions and unfinished files with me. A huge thanks must also go to the countless people whose doors I have knocked on over the course of this project. Your kindness in discussing and often welcoming me into your homes has been key to this research, and I hope you get something from reading this.</w:t>
      </w:r>
    </w:p>
    <w:p w14:paraId="3D1B36C8" w14:textId="676F64DE" w:rsidR="00D7230D" w:rsidRDefault="00D7230D" w:rsidP="00D7230D">
      <w:pPr>
        <w:jc w:val="both"/>
      </w:pPr>
      <w:r>
        <w:t xml:space="preserve">Thank you, too, to the many other wonderful people who have supported me through this process, and through several very difficult years that saw both the pandemic and the loss of my dad and </w:t>
      </w:r>
      <w:r w:rsidR="00633D59">
        <w:t xml:space="preserve">my </w:t>
      </w:r>
      <w:r>
        <w:t>grandad. Thank you to so many friends for your warmth and love. To Luce for never not being able to understand</w:t>
      </w:r>
      <w:r w:rsidR="00C66B27">
        <w:t>,</w:t>
      </w:r>
      <w:r>
        <w:t xml:space="preserve"> and for holding my hand the whole way; to Suze for late-night wisdom and all-hours loveliness; to Nina for the belief, the silliness and the real talk; to El for your unwavering faith, and for </w:t>
      </w:r>
      <w:r w:rsidR="0064648B">
        <w:t>being the kindest, most thoughtful of people</w:t>
      </w:r>
      <w:r>
        <w:t>; to Beck, Beth and Cole for everything; to James for always being ready for a deep-dive; to Emily</w:t>
      </w:r>
      <w:r w:rsidR="00972001">
        <w:t xml:space="preserve"> and</w:t>
      </w:r>
      <w:r w:rsidR="00C823B6">
        <w:t xml:space="preserve"> </w:t>
      </w:r>
      <w:r>
        <w:t xml:space="preserve">Lucy M for matching my love for the weird and wonderful; </w:t>
      </w:r>
      <w:r w:rsidR="003C077F">
        <w:t>to Sarah for cathartic climbs</w:t>
      </w:r>
      <w:r w:rsidR="000700F5">
        <w:t xml:space="preserve"> </w:t>
      </w:r>
      <w:r w:rsidR="00B14C50">
        <w:t>when I needed them most</w:t>
      </w:r>
      <w:r w:rsidR="006054FC">
        <w:t xml:space="preserve">; </w:t>
      </w:r>
      <w:r>
        <w:t>to Lucy B and Hannah for sweetness, light and the greatest</w:t>
      </w:r>
      <w:r w:rsidR="006605A2">
        <w:t xml:space="preserve"> and </w:t>
      </w:r>
      <w:r w:rsidR="00A15B0D">
        <w:t xml:space="preserve">most </w:t>
      </w:r>
      <w:r w:rsidR="00A15B0D">
        <w:lastRenderedPageBreak/>
        <w:t>wide-ranging</w:t>
      </w:r>
      <w:r>
        <w:t xml:space="preserve"> of natters; to Lana</w:t>
      </w:r>
      <w:r w:rsidR="00E632CE">
        <w:t xml:space="preserve"> and Marie</w:t>
      </w:r>
      <w:r>
        <w:t xml:space="preserve"> for so much love across time and space; and to Sophie and Cian for riding this wave with me. To my family as well</w:t>
      </w:r>
      <w:r w:rsidR="00A15B0D">
        <w:t>:</w:t>
      </w:r>
      <w:r>
        <w:t xml:space="preserve"> your confidence in me is a gift for which I</w:t>
      </w:r>
      <w:r w:rsidR="00A54F7E">
        <w:t xml:space="preserve"> a</w:t>
      </w:r>
      <w:r>
        <w:t>m ever grateful. Thank you to Denise, Kevin and Leah for always having my back</w:t>
      </w:r>
      <w:r w:rsidR="000003EA">
        <w:t xml:space="preserve"> and supporting me in everything I do</w:t>
      </w:r>
      <w:r>
        <w:t>. Thank you to my grandparents for always bringing so much warmth</w:t>
      </w:r>
      <w:r w:rsidR="00B25954">
        <w:t>,</w:t>
      </w:r>
      <w:r>
        <w:t xml:space="preserve"> humour </w:t>
      </w:r>
      <w:r w:rsidR="00B25954">
        <w:t xml:space="preserve">and joy </w:t>
      </w:r>
      <w:r>
        <w:t>and for chatting endless hours of magical tommy rot with me. Thank you to my incredible mum for your unending support, love and care, and for always finding time for me even when time is short – you’re so very special. And last but never, ever least, thank you to Eoghan for everything you are. You’re a balm to my soul and I couldn’t have done it without you.</w:t>
      </w:r>
    </w:p>
    <w:p w14:paraId="58116E52" w14:textId="77777777" w:rsidR="00D7230D" w:rsidRDefault="00D7230D" w:rsidP="00D7230D">
      <w:pPr>
        <w:jc w:val="both"/>
      </w:pPr>
      <w:r>
        <w:t>Finally, this thesis is dedicated to two of the people who would’ve loved to have read it most: John and Jack, my dad and my grandad. Thank you for being so instrumental in me finding my voice in the first place and for always being so interested in what I had to say thereafter. The countless hours we spent chatting about history and life itself are baked into this thesis, and both it and me are all the better for it.</w:t>
      </w:r>
    </w:p>
    <w:p w14:paraId="2FC22D8F" w14:textId="77777777" w:rsidR="00D7230D" w:rsidRDefault="00D7230D" w:rsidP="00D7230D">
      <w:pPr>
        <w:jc w:val="both"/>
      </w:pPr>
    </w:p>
    <w:p w14:paraId="475AA4C2" w14:textId="77777777" w:rsidR="00D7230D" w:rsidRPr="00AB00CF" w:rsidRDefault="00D7230D" w:rsidP="00D7230D">
      <w:pPr>
        <w:jc w:val="both"/>
      </w:pPr>
    </w:p>
    <w:p w14:paraId="7B6F9032" w14:textId="77777777" w:rsidR="00D7230D" w:rsidRDefault="00D7230D" w:rsidP="00D7230D">
      <w:r>
        <w:br w:type="page"/>
      </w:r>
    </w:p>
    <w:p w14:paraId="01FBD9AF" w14:textId="77777777" w:rsidR="00D7230D" w:rsidRDefault="00D7230D" w:rsidP="00D7230D">
      <w:pPr>
        <w:rPr>
          <w:b/>
          <w:bCs/>
          <w:sz w:val="32"/>
          <w:szCs w:val="32"/>
          <w:u w:val="single"/>
        </w:rPr>
      </w:pPr>
      <w:r>
        <w:rPr>
          <w:b/>
          <w:bCs/>
          <w:sz w:val="32"/>
          <w:szCs w:val="32"/>
          <w:u w:val="single"/>
        </w:rPr>
        <w:lastRenderedPageBreak/>
        <w:t>Abstract</w:t>
      </w:r>
    </w:p>
    <w:p w14:paraId="35DACA71" w14:textId="77777777" w:rsidR="00D7230D" w:rsidRDefault="00D7230D" w:rsidP="00A659BB">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ascii="Calibri" w:eastAsiaTheme="majorEastAsia" w:hAnsi="Calibri" w:cs="Calibri"/>
        </w:rPr>
        <w:t>Dated initials commemorating married couples were common in early modern England, present upon personal possessions, household goods and carved into the fixtures, fittings and façades of people’s homes. Initials on buildings have traditionally been explored by architectural historians, while initialled objects have generally been considered by historians of material culture. Overcoming this division and considering the built environment as another form of material culture, this thesis examines the meanings invested in inscriptions in seventeenth- and eighteenth-century England. It analyses homes engraved with marital commemoration in two case study communities in Lancashire and Cheshire, using extensive archival research to trace the couples who inscribed them and investigate their reasons for doing so. This thesis also uses quantitative and qualitative methods to situate, compare and analyse inscribing couples within their communities; examines contemporary printed texts to understand perceptions of inscription in wider society; and scrutinises the visual vocabulary used in inscriptions in both areas through an art historical and anthropological lens.</w:t>
      </w:r>
      <w:r>
        <w:rPr>
          <w:rStyle w:val="eop"/>
          <w:rFonts w:ascii="Calibri" w:eastAsiaTheme="majorEastAsia" w:hAnsi="Calibri" w:cs="Calibri"/>
        </w:rPr>
        <w:t> </w:t>
      </w:r>
    </w:p>
    <w:p w14:paraId="25952FEA" w14:textId="77777777" w:rsidR="00D7230D" w:rsidRDefault="00D7230D" w:rsidP="00D7230D">
      <w:pPr>
        <w:pStyle w:val="paragraph"/>
        <w:spacing w:before="0" w:beforeAutospacing="0" w:after="0" w:afterAutospacing="0"/>
        <w:ind w:firstLine="720"/>
        <w:jc w:val="both"/>
        <w:textAlignment w:val="baseline"/>
        <w:rPr>
          <w:rStyle w:val="normaltextrun"/>
          <w:rFonts w:ascii="Calibri" w:eastAsiaTheme="majorEastAsia" w:hAnsi="Calibri" w:cs="Calibri"/>
        </w:rPr>
      </w:pPr>
    </w:p>
    <w:p w14:paraId="675BECD6" w14:textId="77777777" w:rsidR="00D7230D" w:rsidRDefault="00D7230D" w:rsidP="00D7230D">
      <w:pPr>
        <w:pStyle w:val="paragraph"/>
        <w:spacing w:before="0" w:beforeAutospacing="0" w:after="0" w:afterAutospacing="0"/>
        <w:ind w:firstLine="720"/>
        <w:jc w:val="both"/>
        <w:textAlignment w:val="baseline"/>
        <w:rPr>
          <w:rFonts w:ascii="Segoe UI" w:hAnsi="Segoe UI" w:cs="Segoe UI"/>
          <w:sz w:val="18"/>
          <w:szCs w:val="18"/>
        </w:rPr>
      </w:pPr>
      <w:r>
        <w:rPr>
          <w:rStyle w:val="normaltextrun"/>
          <w:rFonts w:ascii="Calibri" w:eastAsiaTheme="majorEastAsia" w:hAnsi="Calibri" w:cs="Calibri"/>
        </w:rPr>
        <w:t>This thesis contends that inscription was a social and cultural practice entangled with religion, superstition, wealth and status, to which individual couples attached deep emotional meaning. Couples inscribed their homes when secure in their tenure, upon the birth of their children, and to reinforce their bond as marriage partners, demonstrating and celebrating their commitment to each other, their family and their home. This research underscores the central role of materiality in people’s emotional and social lives in early modern England. It demonstrates that objects and buildings were important tools for self-understanding and meaning making and shows that inscriptions further magnified the power of material culture in mediating and reinforcing personal and interpersonal experiences. It highlights the necessity of adopting an interdisciplinary approach to understanding early modern relationships with goods and the built environment and shows the value of contextualising individual homes within a wider community-based study.</w:t>
      </w:r>
      <w:r>
        <w:rPr>
          <w:rStyle w:val="eop"/>
          <w:rFonts w:ascii="Calibri" w:eastAsiaTheme="majorEastAsia" w:hAnsi="Calibri" w:cs="Calibri"/>
        </w:rPr>
        <w:t> </w:t>
      </w:r>
    </w:p>
    <w:p w14:paraId="4C99BCDC" w14:textId="77777777" w:rsidR="00D7230D" w:rsidRDefault="00D7230D" w:rsidP="00D7230D">
      <w:pPr>
        <w:rPr>
          <w:b/>
          <w:bCs/>
          <w:sz w:val="32"/>
          <w:szCs w:val="32"/>
          <w:u w:val="single"/>
        </w:rPr>
      </w:pPr>
      <w:r>
        <w:rPr>
          <w:b/>
          <w:bCs/>
          <w:sz w:val="32"/>
          <w:szCs w:val="32"/>
          <w:u w:val="single"/>
        </w:rPr>
        <w:br w:type="page"/>
      </w:r>
    </w:p>
    <w:p w14:paraId="40EF2C13" w14:textId="77777777" w:rsidR="00D7230D" w:rsidRPr="00F4284F" w:rsidRDefault="00D7230D" w:rsidP="00D7230D">
      <w:pPr>
        <w:rPr>
          <w:b/>
          <w:bCs/>
          <w:sz w:val="32"/>
          <w:szCs w:val="32"/>
          <w:u w:val="single"/>
        </w:rPr>
      </w:pPr>
      <w:r w:rsidRPr="00F4284F">
        <w:rPr>
          <w:b/>
          <w:bCs/>
          <w:sz w:val="32"/>
          <w:szCs w:val="32"/>
          <w:u w:val="single"/>
        </w:rPr>
        <w:lastRenderedPageBreak/>
        <w:t>Contents</w:t>
      </w:r>
    </w:p>
    <w:p w14:paraId="327A9AD0" w14:textId="677B7B71" w:rsidR="00D7230D" w:rsidRDefault="00D7230D" w:rsidP="00D7230D">
      <w:pPr>
        <w:spacing w:after="360" w:line="240" w:lineRule="auto"/>
        <w:rPr>
          <w:b/>
          <w:bCs/>
        </w:rPr>
      </w:pPr>
      <w:r>
        <w:rPr>
          <w:b/>
          <w:bCs/>
        </w:rPr>
        <w:t>List of Abbreviations</w:t>
      </w:r>
      <w:r w:rsidR="00F34261">
        <w:rPr>
          <w:b/>
          <w:bCs/>
        </w:rPr>
        <w:tab/>
      </w:r>
      <w:r w:rsidR="00F34261">
        <w:rPr>
          <w:b/>
          <w:bCs/>
        </w:rPr>
        <w:tab/>
      </w:r>
      <w:r w:rsidR="00F34261">
        <w:rPr>
          <w:b/>
          <w:bCs/>
        </w:rPr>
        <w:tab/>
      </w:r>
      <w:r w:rsidR="00F34261">
        <w:rPr>
          <w:b/>
          <w:bCs/>
        </w:rPr>
        <w:tab/>
      </w:r>
      <w:r w:rsidR="00F34261">
        <w:rPr>
          <w:b/>
          <w:bCs/>
        </w:rPr>
        <w:tab/>
      </w:r>
      <w:r w:rsidR="00F34261">
        <w:rPr>
          <w:b/>
          <w:bCs/>
        </w:rPr>
        <w:tab/>
      </w:r>
      <w:r w:rsidR="00F34261">
        <w:rPr>
          <w:b/>
          <w:bCs/>
        </w:rPr>
        <w:tab/>
      </w:r>
      <w:r w:rsidR="00F34261">
        <w:rPr>
          <w:b/>
          <w:bCs/>
        </w:rPr>
        <w:tab/>
      </w:r>
      <w:r w:rsidR="00F34261">
        <w:rPr>
          <w:b/>
          <w:bCs/>
        </w:rPr>
        <w:tab/>
      </w:r>
      <w:r w:rsidR="008D356A">
        <w:rPr>
          <w:b/>
          <w:bCs/>
        </w:rPr>
        <w:tab/>
        <w:t>6</w:t>
      </w:r>
    </w:p>
    <w:p w14:paraId="2491E319" w14:textId="073B938B" w:rsidR="00D7230D" w:rsidRDefault="00D7230D" w:rsidP="00D7230D">
      <w:pPr>
        <w:spacing w:after="360" w:line="240" w:lineRule="auto"/>
        <w:rPr>
          <w:b/>
          <w:bCs/>
        </w:rPr>
      </w:pPr>
      <w:r>
        <w:rPr>
          <w:b/>
          <w:bCs/>
        </w:rPr>
        <w:t>List of Maps, Figures and Tables</w:t>
      </w:r>
      <w:r w:rsidR="00F34261">
        <w:rPr>
          <w:b/>
          <w:bCs/>
        </w:rPr>
        <w:tab/>
      </w:r>
      <w:r w:rsidR="00F34261">
        <w:rPr>
          <w:b/>
          <w:bCs/>
        </w:rPr>
        <w:tab/>
      </w:r>
      <w:r w:rsidR="00F34261">
        <w:rPr>
          <w:b/>
          <w:bCs/>
        </w:rPr>
        <w:tab/>
      </w:r>
      <w:r w:rsidR="00F34261">
        <w:rPr>
          <w:b/>
          <w:bCs/>
        </w:rPr>
        <w:tab/>
      </w:r>
      <w:r w:rsidR="00F34261">
        <w:rPr>
          <w:b/>
          <w:bCs/>
        </w:rPr>
        <w:tab/>
      </w:r>
      <w:r w:rsidR="00F34261">
        <w:rPr>
          <w:b/>
          <w:bCs/>
        </w:rPr>
        <w:tab/>
      </w:r>
      <w:r w:rsidR="00F34261">
        <w:rPr>
          <w:b/>
          <w:bCs/>
        </w:rPr>
        <w:tab/>
      </w:r>
      <w:r w:rsidR="00F34261">
        <w:rPr>
          <w:b/>
          <w:bCs/>
        </w:rPr>
        <w:tab/>
      </w:r>
      <w:r w:rsidR="008D356A">
        <w:rPr>
          <w:b/>
          <w:bCs/>
        </w:rPr>
        <w:t>7</w:t>
      </w:r>
    </w:p>
    <w:p w14:paraId="0BC1FF24" w14:textId="45A3A48B" w:rsidR="00D7230D" w:rsidRDefault="00D7230D" w:rsidP="00D7230D">
      <w:pPr>
        <w:spacing w:after="360" w:line="240" w:lineRule="auto"/>
        <w:rPr>
          <w:b/>
          <w:bCs/>
        </w:rPr>
      </w:pPr>
      <w:r>
        <w:rPr>
          <w:b/>
          <w:bCs/>
        </w:rPr>
        <w:t>Introduction</w:t>
      </w:r>
      <w:r w:rsidR="00F34261">
        <w:rPr>
          <w:b/>
          <w:bCs/>
        </w:rPr>
        <w:tab/>
      </w:r>
      <w:r w:rsidR="00F34261">
        <w:rPr>
          <w:b/>
          <w:bCs/>
        </w:rPr>
        <w:tab/>
      </w:r>
      <w:r w:rsidR="00F34261">
        <w:rPr>
          <w:b/>
          <w:bCs/>
        </w:rPr>
        <w:tab/>
      </w:r>
      <w:r w:rsidR="00F34261">
        <w:rPr>
          <w:b/>
          <w:bCs/>
        </w:rPr>
        <w:tab/>
      </w:r>
      <w:r w:rsidR="00F34261">
        <w:rPr>
          <w:b/>
          <w:bCs/>
        </w:rPr>
        <w:tab/>
      </w:r>
      <w:r w:rsidR="00F34261">
        <w:rPr>
          <w:b/>
          <w:bCs/>
        </w:rPr>
        <w:tab/>
      </w:r>
      <w:r w:rsidR="00F34261">
        <w:rPr>
          <w:b/>
          <w:bCs/>
        </w:rPr>
        <w:tab/>
      </w:r>
      <w:r w:rsidR="00F34261">
        <w:rPr>
          <w:b/>
          <w:bCs/>
        </w:rPr>
        <w:tab/>
      </w:r>
      <w:r w:rsidR="00F34261">
        <w:rPr>
          <w:b/>
          <w:bCs/>
        </w:rPr>
        <w:tab/>
      </w:r>
      <w:r w:rsidR="00F34261">
        <w:rPr>
          <w:b/>
          <w:bCs/>
        </w:rPr>
        <w:tab/>
      </w:r>
      <w:r w:rsidR="00F34261">
        <w:rPr>
          <w:b/>
          <w:bCs/>
        </w:rPr>
        <w:tab/>
      </w:r>
      <w:r w:rsidR="008D356A">
        <w:rPr>
          <w:b/>
          <w:bCs/>
        </w:rPr>
        <w:t>14</w:t>
      </w:r>
    </w:p>
    <w:p w14:paraId="2C65BF60" w14:textId="10EEDDA5" w:rsidR="00D7230D" w:rsidRDefault="00D7230D" w:rsidP="008D356A">
      <w:pPr>
        <w:pStyle w:val="ListParagraph"/>
        <w:numPr>
          <w:ilvl w:val="0"/>
          <w:numId w:val="12"/>
        </w:numPr>
        <w:spacing w:after="360" w:line="240" w:lineRule="auto"/>
      </w:pPr>
      <w:r>
        <w:t>Historiographical Perspectives on Inscriptions and Marriage</w:t>
      </w:r>
      <w:r w:rsidR="008D356A">
        <w:tab/>
      </w:r>
      <w:r w:rsidR="008D356A">
        <w:tab/>
      </w:r>
      <w:r w:rsidR="008D356A">
        <w:tab/>
      </w:r>
      <w:r w:rsidR="008D356A" w:rsidRPr="008D356A">
        <w:rPr>
          <w:b/>
          <w:bCs/>
        </w:rPr>
        <w:t>16</w:t>
      </w:r>
    </w:p>
    <w:p w14:paraId="566BA1A9" w14:textId="5BAD002F" w:rsidR="00D7230D" w:rsidRDefault="000365EC" w:rsidP="000365EC">
      <w:pPr>
        <w:spacing w:after="360" w:line="240" w:lineRule="auto"/>
        <w:ind w:firstLine="360"/>
      </w:pPr>
      <w:r>
        <w:t xml:space="preserve">-     </w:t>
      </w:r>
      <w:r w:rsidR="00D7230D">
        <w:t>Social Practice Theory</w:t>
      </w:r>
      <w:r w:rsidR="008D356A">
        <w:tab/>
      </w:r>
      <w:r w:rsidR="008D356A">
        <w:tab/>
      </w:r>
      <w:r w:rsidR="008D356A">
        <w:tab/>
      </w:r>
      <w:r w:rsidR="008D356A">
        <w:tab/>
      </w:r>
      <w:r w:rsidR="008D356A">
        <w:tab/>
      </w:r>
      <w:r w:rsidR="008D356A">
        <w:tab/>
      </w:r>
      <w:r w:rsidR="008D356A">
        <w:tab/>
      </w:r>
      <w:r w:rsidR="008D356A">
        <w:tab/>
      </w:r>
      <w:r w:rsidR="008D356A">
        <w:tab/>
      </w:r>
      <w:r w:rsidR="008D356A" w:rsidRPr="008D356A">
        <w:rPr>
          <w:b/>
          <w:bCs/>
        </w:rPr>
        <w:t>31</w:t>
      </w:r>
    </w:p>
    <w:p w14:paraId="7A25BDC9" w14:textId="5F5C297A" w:rsidR="00D7230D" w:rsidRDefault="000365EC" w:rsidP="000365EC">
      <w:pPr>
        <w:spacing w:after="360" w:line="240" w:lineRule="auto"/>
        <w:ind w:firstLine="360"/>
      </w:pPr>
      <w:r>
        <w:t xml:space="preserve">- </w:t>
      </w:r>
      <w:r>
        <w:tab/>
      </w:r>
      <w:r w:rsidR="00D7230D">
        <w:t>Methods and Sources</w:t>
      </w:r>
      <w:r w:rsidR="008D356A">
        <w:tab/>
      </w:r>
      <w:r w:rsidR="008D356A">
        <w:tab/>
      </w:r>
      <w:r w:rsidR="008D356A">
        <w:tab/>
      </w:r>
      <w:r w:rsidR="008D356A">
        <w:tab/>
      </w:r>
      <w:r w:rsidR="008D356A">
        <w:tab/>
      </w:r>
      <w:r w:rsidR="008D356A">
        <w:tab/>
      </w:r>
      <w:r w:rsidR="008D356A">
        <w:tab/>
      </w:r>
      <w:r w:rsidR="008D356A">
        <w:tab/>
      </w:r>
      <w:r w:rsidR="008D356A">
        <w:tab/>
      </w:r>
      <w:r w:rsidR="008D356A" w:rsidRPr="008D356A">
        <w:rPr>
          <w:b/>
          <w:bCs/>
        </w:rPr>
        <w:t>41</w:t>
      </w:r>
    </w:p>
    <w:p w14:paraId="14EECFB8" w14:textId="6DB023A1" w:rsidR="00D7230D" w:rsidRPr="003937C7" w:rsidRDefault="000365EC" w:rsidP="000365EC">
      <w:pPr>
        <w:spacing w:after="360" w:line="240" w:lineRule="auto"/>
        <w:ind w:firstLine="360"/>
      </w:pPr>
      <w:r>
        <w:t>-</w:t>
      </w:r>
      <w:r w:rsidR="00D7230D">
        <w:tab/>
        <w:t>Argument and Chapter Structure</w:t>
      </w:r>
      <w:r w:rsidR="008D356A">
        <w:tab/>
      </w:r>
      <w:r w:rsidR="008D356A">
        <w:tab/>
      </w:r>
      <w:r w:rsidR="008D356A">
        <w:tab/>
      </w:r>
      <w:r w:rsidR="008D356A">
        <w:tab/>
      </w:r>
      <w:r w:rsidR="008D356A">
        <w:tab/>
      </w:r>
      <w:r w:rsidR="008D356A">
        <w:tab/>
      </w:r>
      <w:r w:rsidR="008D356A">
        <w:tab/>
      </w:r>
      <w:r w:rsidR="008D356A" w:rsidRPr="008D356A">
        <w:rPr>
          <w:b/>
          <w:bCs/>
        </w:rPr>
        <w:t>48</w:t>
      </w:r>
    </w:p>
    <w:p w14:paraId="41346CBC" w14:textId="62B5BD3D" w:rsidR="00EF1E94" w:rsidRDefault="00D7230D" w:rsidP="00EF1E94">
      <w:pPr>
        <w:spacing w:after="0" w:line="240" w:lineRule="auto"/>
        <w:rPr>
          <w:b/>
          <w:bCs/>
        </w:rPr>
      </w:pPr>
      <w:r>
        <w:rPr>
          <w:b/>
          <w:bCs/>
        </w:rPr>
        <w:t xml:space="preserve">Chapter One – </w:t>
      </w:r>
      <w:r w:rsidRPr="005B5E47">
        <w:rPr>
          <w:b/>
          <w:bCs/>
        </w:rPr>
        <w:t xml:space="preserve">Inscription </w:t>
      </w:r>
      <w:r>
        <w:rPr>
          <w:b/>
          <w:bCs/>
        </w:rPr>
        <w:t>Culture</w:t>
      </w:r>
      <w:r w:rsidRPr="005B5E47">
        <w:rPr>
          <w:b/>
          <w:bCs/>
        </w:rPr>
        <w:t>: Inscri</w:t>
      </w:r>
      <w:r>
        <w:rPr>
          <w:b/>
          <w:bCs/>
        </w:rPr>
        <w:t xml:space="preserve">bed </w:t>
      </w:r>
      <w:r w:rsidRPr="005B5E47">
        <w:rPr>
          <w:b/>
          <w:bCs/>
        </w:rPr>
        <w:t>Buildings and Objects in</w:t>
      </w:r>
      <w:r w:rsidR="002C6A61">
        <w:rPr>
          <w:b/>
          <w:bCs/>
        </w:rPr>
        <w:tab/>
      </w:r>
      <w:r w:rsidR="002C6A61">
        <w:rPr>
          <w:b/>
          <w:bCs/>
        </w:rPr>
        <w:tab/>
      </w:r>
      <w:r w:rsidR="002C6A61">
        <w:rPr>
          <w:b/>
          <w:bCs/>
        </w:rPr>
        <w:tab/>
        <w:t>53</w:t>
      </w:r>
    </w:p>
    <w:p w14:paraId="28A37786" w14:textId="3FDB53A1" w:rsidR="00D7230D" w:rsidRDefault="00D7230D" w:rsidP="00D7230D">
      <w:pPr>
        <w:spacing w:after="360" w:line="240" w:lineRule="auto"/>
      </w:pPr>
      <w:r>
        <w:rPr>
          <w:b/>
          <w:bCs/>
        </w:rPr>
        <w:t>Early Modern England</w:t>
      </w:r>
      <w:r w:rsidR="001173A0">
        <w:rPr>
          <w:b/>
          <w:bCs/>
        </w:rPr>
        <w:tab/>
      </w:r>
      <w:r w:rsidR="001173A0">
        <w:rPr>
          <w:b/>
          <w:bCs/>
        </w:rPr>
        <w:tab/>
      </w:r>
      <w:r w:rsidR="001173A0">
        <w:rPr>
          <w:b/>
          <w:bCs/>
        </w:rPr>
        <w:tab/>
      </w:r>
      <w:r w:rsidR="001173A0">
        <w:rPr>
          <w:b/>
          <w:bCs/>
        </w:rPr>
        <w:tab/>
      </w:r>
      <w:r w:rsidR="001173A0">
        <w:rPr>
          <w:b/>
          <w:bCs/>
        </w:rPr>
        <w:tab/>
      </w:r>
      <w:r w:rsidR="001173A0">
        <w:rPr>
          <w:b/>
          <w:bCs/>
        </w:rPr>
        <w:tab/>
      </w:r>
      <w:r w:rsidR="001173A0">
        <w:rPr>
          <w:b/>
          <w:bCs/>
        </w:rPr>
        <w:tab/>
      </w:r>
      <w:r w:rsidR="001173A0">
        <w:rPr>
          <w:b/>
          <w:bCs/>
        </w:rPr>
        <w:tab/>
      </w:r>
      <w:r w:rsidR="001173A0">
        <w:rPr>
          <w:b/>
          <w:bCs/>
        </w:rPr>
        <w:tab/>
      </w:r>
    </w:p>
    <w:p w14:paraId="222D1391" w14:textId="02790E02" w:rsidR="00D7230D" w:rsidRDefault="000365EC" w:rsidP="000365EC">
      <w:pPr>
        <w:spacing w:after="0" w:line="240" w:lineRule="auto"/>
        <w:jc w:val="both"/>
        <w:rPr>
          <w:rFonts w:cs="Calibri"/>
          <w:bCs/>
        </w:rPr>
      </w:pPr>
      <w:r>
        <w:rPr>
          <w:rFonts w:cs="Calibri"/>
          <w:bCs/>
        </w:rPr>
        <w:t xml:space="preserve">       -</w:t>
      </w:r>
      <w:r>
        <w:rPr>
          <w:rFonts w:cs="Calibri"/>
          <w:bCs/>
        </w:rPr>
        <w:tab/>
      </w:r>
      <w:r w:rsidR="00D7230D" w:rsidRPr="0064094E">
        <w:rPr>
          <w:rFonts w:cs="Calibri"/>
          <w:bCs/>
        </w:rPr>
        <w:t>Text, Tokens and Talismans: Inscriptions of Love and Protection</w:t>
      </w:r>
      <w:r w:rsidR="00EE4C4F">
        <w:rPr>
          <w:rFonts w:cs="Calibri"/>
          <w:bCs/>
        </w:rPr>
        <w:t xml:space="preserve"> upon</w:t>
      </w:r>
      <w:r w:rsidR="002C6A61">
        <w:rPr>
          <w:rFonts w:cs="Calibri"/>
          <w:bCs/>
        </w:rPr>
        <w:tab/>
      </w:r>
      <w:r w:rsidR="002C6A61">
        <w:rPr>
          <w:rFonts w:cs="Calibri"/>
          <w:bCs/>
        </w:rPr>
        <w:tab/>
      </w:r>
      <w:r w:rsidR="00D8744F" w:rsidRPr="00BB1E1A">
        <w:rPr>
          <w:rFonts w:cs="Calibri"/>
          <w:b/>
        </w:rPr>
        <w:t>57</w:t>
      </w:r>
    </w:p>
    <w:p w14:paraId="4529E7F7" w14:textId="18E88C80" w:rsidR="00EE4C4F" w:rsidRPr="0064094E" w:rsidRDefault="00EE4C4F" w:rsidP="00D7230D">
      <w:pPr>
        <w:spacing w:after="360" w:line="240" w:lineRule="auto"/>
        <w:ind w:left="720"/>
        <w:jc w:val="both"/>
        <w:rPr>
          <w:rFonts w:cs="Calibri"/>
          <w:bCs/>
        </w:rPr>
      </w:pPr>
      <w:r>
        <w:rPr>
          <w:rFonts w:cs="Calibri"/>
          <w:bCs/>
        </w:rPr>
        <w:t>Objects and the Body</w:t>
      </w:r>
    </w:p>
    <w:p w14:paraId="36546AE2" w14:textId="7C14F055" w:rsidR="00D7230D" w:rsidRPr="0064094E" w:rsidRDefault="000365EC" w:rsidP="000365EC">
      <w:pPr>
        <w:spacing w:after="360" w:line="240" w:lineRule="auto"/>
        <w:jc w:val="both"/>
        <w:rPr>
          <w:bCs/>
        </w:rPr>
      </w:pPr>
      <w:r>
        <w:rPr>
          <w:bCs/>
        </w:rPr>
        <w:t xml:space="preserve">       - </w:t>
      </w:r>
      <w:r>
        <w:rPr>
          <w:bCs/>
        </w:rPr>
        <w:tab/>
      </w:r>
      <w:r w:rsidR="00D7230D" w:rsidRPr="0064094E">
        <w:rPr>
          <w:bCs/>
        </w:rPr>
        <w:t>Houses, Hearts and Bodies: Religious Scholars and Inscri</w:t>
      </w:r>
      <w:r w:rsidR="00D7230D">
        <w:rPr>
          <w:bCs/>
        </w:rPr>
        <w:t xml:space="preserve">bed </w:t>
      </w:r>
      <w:r w:rsidR="00D7230D" w:rsidRPr="0064094E">
        <w:rPr>
          <w:bCs/>
        </w:rPr>
        <w:t>Thresholds</w:t>
      </w:r>
      <w:r w:rsidR="00D8744F">
        <w:rPr>
          <w:bCs/>
        </w:rPr>
        <w:tab/>
      </w:r>
      <w:r w:rsidR="00D8744F">
        <w:rPr>
          <w:bCs/>
        </w:rPr>
        <w:tab/>
      </w:r>
      <w:r w:rsidR="00D8744F" w:rsidRPr="00BB1E1A">
        <w:rPr>
          <w:b/>
        </w:rPr>
        <w:t>71</w:t>
      </w:r>
    </w:p>
    <w:p w14:paraId="1680C04E" w14:textId="27E7D284" w:rsidR="00F27E16" w:rsidRDefault="000365EC" w:rsidP="000365EC">
      <w:pPr>
        <w:spacing w:after="0" w:line="240" w:lineRule="auto"/>
        <w:jc w:val="both"/>
        <w:rPr>
          <w:bCs/>
        </w:rPr>
      </w:pPr>
      <w:r>
        <w:rPr>
          <w:bCs/>
        </w:rPr>
        <w:t xml:space="preserve">       - </w:t>
      </w:r>
      <w:r>
        <w:rPr>
          <w:bCs/>
        </w:rPr>
        <w:tab/>
      </w:r>
      <w:r w:rsidR="00D7230D" w:rsidRPr="0064094E">
        <w:rPr>
          <w:bCs/>
        </w:rPr>
        <w:t>Monuments and Memory Cultures: Inscribed Spaces in Early Modern</w:t>
      </w:r>
      <w:r w:rsidR="00D8744F">
        <w:rPr>
          <w:bCs/>
        </w:rPr>
        <w:tab/>
      </w:r>
      <w:r w:rsidR="00D8744F">
        <w:rPr>
          <w:bCs/>
        </w:rPr>
        <w:tab/>
      </w:r>
      <w:r w:rsidR="00D8744F" w:rsidRPr="00BB1E1A">
        <w:rPr>
          <w:b/>
        </w:rPr>
        <w:t>84</w:t>
      </w:r>
    </w:p>
    <w:p w14:paraId="5F952555" w14:textId="4C593CDD" w:rsidR="00D7230D" w:rsidRPr="0064094E" w:rsidRDefault="00D7230D" w:rsidP="00F27E16">
      <w:pPr>
        <w:spacing w:after="360" w:line="240" w:lineRule="auto"/>
        <w:ind w:firstLine="720"/>
        <w:jc w:val="both"/>
        <w:rPr>
          <w:bCs/>
        </w:rPr>
      </w:pPr>
      <w:r w:rsidRPr="0064094E">
        <w:rPr>
          <w:bCs/>
        </w:rPr>
        <w:t>England</w:t>
      </w:r>
    </w:p>
    <w:p w14:paraId="3230AE25" w14:textId="4512579A" w:rsidR="00EF1E94" w:rsidRDefault="00D7230D" w:rsidP="00EF1E94">
      <w:pPr>
        <w:spacing w:after="0" w:line="240" w:lineRule="auto"/>
        <w:rPr>
          <w:b/>
          <w:bCs/>
        </w:rPr>
      </w:pPr>
      <w:r>
        <w:rPr>
          <w:b/>
          <w:bCs/>
        </w:rPr>
        <w:t xml:space="preserve">Chapter Two – </w:t>
      </w:r>
      <w:r w:rsidRPr="005B5E47">
        <w:rPr>
          <w:b/>
          <w:bCs/>
        </w:rPr>
        <w:t xml:space="preserve">Two Local Societies: </w:t>
      </w:r>
      <w:proofErr w:type="gramStart"/>
      <w:r w:rsidRPr="005B5E47">
        <w:rPr>
          <w:b/>
          <w:bCs/>
        </w:rPr>
        <w:t>the</w:t>
      </w:r>
      <w:proofErr w:type="gramEnd"/>
      <w:r w:rsidRPr="005B5E47">
        <w:rPr>
          <w:b/>
          <w:bCs/>
        </w:rPr>
        <w:t xml:space="preserve"> Middling Sorts in Bolton-le-Sands </w:t>
      </w:r>
      <w:r w:rsidR="00D8744F">
        <w:rPr>
          <w:b/>
          <w:bCs/>
        </w:rPr>
        <w:tab/>
      </w:r>
      <w:r w:rsidR="00D8744F">
        <w:rPr>
          <w:b/>
          <w:bCs/>
        </w:rPr>
        <w:tab/>
        <w:t>101</w:t>
      </w:r>
    </w:p>
    <w:p w14:paraId="77C627C9" w14:textId="019AFEE1" w:rsidR="00D7230D" w:rsidRDefault="00D7230D" w:rsidP="00D7230D">
      <w:pPr>
        <w:spacing w:after="360" w:line="240" w:lineRule="auto"/>
      </w:pPr>
      <w:r w:rsidRPr="005B5E47">
        <w:rPr>
          <w:b/>
          <w:bCs/>
        </w:rPr>
        <w:t>and Prestbury</w:t>
      </w:r>
    </w:p>
    <w:p w14:paraId="07F1382B" w14:textId="16F08F9E" w:rsidR="00D7230D" w:rsidRPr="00A8774A" w:rsidRDefault="001B71CA" w:rsidP="00D7230D">
      <w:pPr>
        <w:spacing w:after="360" w:line="240" w:lineRule="auto"/>
        <w:jc w:val="both"/>
      </w:pPr>
      <w:r>
        <w:t xml:space="preserve">       -</w:t>
      </w:r>
      <w:r>
        <w:tab/>
      </w:r>
      <w:r w:rsidR="00D7230D" w:rsidRPr="00A8774A">
        <w:t>Population, Wealth and Status in Bolton-le-Sands and Prestbury</w:t>
      </w:r>
      <w:r w:rsidR="00D8744F">
        <w:tab/>
      </w:r>
      <w:r w:rsidR="00D8744F">
        <w:tab/>
      </w:r>
      <w:r w:rsidR="00D8744F">
        <w:tab/>
      </w:r>
      <w:r w:rsidR="00D8744F" w:rsidRPr="00BB1E1A">
        <w:rPr>
          <w:b/>
          <w:bCs/>
        </w:rPr>
        <w:t>106</w:t>
      </w:r>
    </w:p>
    <w:p w14:paraId="4C047DB2" w14:textId="721BD8B2" w:rsidR="00D7230D" w:rsidRDefault="001B71CA" w:rsidP="00D7230D">
      <w:pPr>
        <w:spacing w:after="360" w:line="240" w:lineRule="auto"/>
        <w:jc w:val="both"/>
      </w:pPr>
      <w:r>
        <w:rPr>
          <w:b/>
          <w:bCs/>
        </w:rPr>
        <w:t xml:space="preserve">       </w:t>
      </w:r>
      <w:r w:rsidRPr="001B71CA">
        <w:t>-</w:t>
      </w:r>
      <w:r>
        <w:rPr>
          <w:b/>
          <w:bCs/>
        </w:rPr>
        <w:t xml:space="preserve"> </w:t>
      </w:r>
      <w:r>
        <w:rPr>
          <w:b/>
          <w:bCs/>
        </w:rPr>
        <w:tab/>
      </w:r>
      <w:r w:rsidR="00D7230D" w:rsidRPr="00101F3C">
        <w:t>Work Activities in Bolton-le-Sands and Prestbury</w:t>
      </w:r>
      <w:r w:rsidR="00D8744F">
        <w:tab/>
      </w:r>
      <w:r w:rsidR="00D8744F">
        <w:tab/>
      </w:r>
      <w:r w:rsidR="00D8744F">
        <w:tab/>
      </w:r>
      <w:r w:rsidR="00D8744F">
        <w:tab/>
      </w:r>
      <w:r w:rsidR="00D8744F">
        <w:tab/>
      </w:r>
      <w:r w:rsidR="00D8744F" w:rsidRPr="00BB1E1A">
        <w:rPr>
          <w:b/>
          <w:bCs/>
        </w:rPr>
        <w:t>124</w:t>
      </w:r>
    </w:p>
    <w:p w14:paraId="6356F8B8" w14:textId="04A4CFAD" w:rsidR="00D7230D" w:rsidRDefault="001B71CA" w:rsidP="00D7230D">
      <w:pPr>
        <w:spacing w:after="360" w:line="240" w:lineRule="auto"/>
        <w:jc w:val="both"/>
      </w:pPr>
      <w:r>
        <w:t xml:space="preserve">       -</w:t>
      </w:r>
      <w:r w:rsidR="00D7230D">
        <w:tab/>
      </w:r>
      <w:r w:rsidR="00D7230D" w:rsidRPr="00E13288">
        <w:t>Literacy and ‘</w:t>
      </w:r>
      <w:proofErr w:type="spellStart"/>
      <w:r w:rsidR="00D7230D" w:rsidRPr="00E13288">
        <w:t>Letteracy</w:t>
      </w:r>
      <w:proofErr w:type="spellEnd"/>
      <w:r w:rsidR="00D7230D" w:rsidRPr="00E13288">
        <w:t>’ in Bolton-le-Sands and Prestbury</w:t>
      </w:r>
      <w:r w:rsidR="00D8744F">
        <w:tab/>
      </w:r>
      <w:r w:rsidR="00D8744F">
        <w:tab/>
      </w:r>
      <w:r w:rsidR="00D8744F">
        <w:tab/>
      </w:r>
      <w:r w:rsidR="00D8744F">
        <w:tab/>
      </w:r>
      <w:r w:rsidR="00D8744F" w:rsidRPr="00BB1E1A">
        <w:rPr>
          <w:b/>
          <w:bCs/>
        </w:rPr>
        <w:t>142</w:t>
      </w:r>
    </w:p>
    <w:p w14:paraId="1A9089A1" w14:textId="35705686" w:rsidR="00D7230D" w:rsidRDefault="001B71CA" w:rsidP="00D7230D">
      <w:pPr>
        <w:spacing w:after="360" w:line="240" w:lineRule="auto"/>
        <w:jc w:val="both"/>
      </w:pPr>
      <w:r>
        <w:t xml:space="preserve">      </w:t>
      </w:r>
      <w:r w:rsidR="005175B4">
        <w:t xml:space="preserve"> </w:t>
      </w:r>
      <w:r>
        <w:t>-</w:t>
      </w:r>
      <w:r w:rsidR="00D7230D">
        <w:tab/>
      </w:r>
      <w:r w:rsidR="00D7230D" w:rsidRPr="002B0CDA">
        <w:t>Bequeathing Practices in Bolton-le-Sands and Prestbury</w:t>
      </w:r>
      <w:r w:rsidR="00D8744F">
        <w:tab/>
      </w:r>
      <w:r w:rsidR="00D8744F">
        <w:tab/>
      </w:r>
      <w:r w:rsidR="00D8744F">
        <w:tab/>
      </w:r>
      <w:r w:rsidR="00D8744F">
        <w:tab/>
      </w:r>
      <w:r w:rsidR="00D8744F" w:rsidRPr="00BB1E1A">
        <w:rPr>
          <w:b/>
          <w:bCs/>
        </w:rPr>
        <w:t>155</w:t>
      </w:r>
    </w:p>
    <w:p w14:paraId="35FCB6B6" w14:textId="77777777" w:rsidR="00D7230D" w:rsidRDefault="00D7230D" w:rsidP="00D7230D">
      <w:r>
        <w:br w:type="page"/>
      </w:r>
    </w:p>
    <w:p w14:paraId="242CAEDC" w14:textId="0678C296" w:rsidR="00B05F30" w:rsidRDefault="00D7230D" w:rsidP="00B05F30">
      <w:pPr>
        <w:spacing w:after="0" w:line="240" w:lineRule="auto"/>
        <w:rPr>
          <w:b/>
          <w:bCs/>
        </w:rPr>
      </w:pPr>
      <w:r>
        <w:rPr>
          <w:b/>
          <w:bCs/>
        </w:rPr>
        <w:lastRenderedPageBreak/>
        <w:t xml:space="preserve">Chapter Three – </w:t>
      </w:r>
      <w:r w:rsidRPr="005B5E47">
        <w:rPr>
          <w:b/>
          <w:bCs/>
        </w:rPr>
        <w:t xml:space="preserve">Household Formation and Inscription Culture in </w:t>
      </w:r>
      <w:r w:rsidR="00D8744F">
        <w:rPr>
          <w:b/>
          <w:bCs/>
        </w:rPr>
        <w:tab/>
      </w:r>
      <w:r w:rsidR="00D8744F">
        <w:rPr>
          <w:b/>
          <w:bCs/>
        </w:rPr>
        <w:tab/>
      </w:r>
      <w:r w:rsidR="00D8744F">
        <w:rPr>
          <w:b/>
          <w:bCs/>
        </w:rPr>
        <w:tab/>
      </w:r>
      <w:r w:rsidR="00D8744F">
        <w:rPr>
          <w:b/>
          <w:bCs/>
        </w:rPr>
        <w:tab/>
      </w:r>
      <w:r w:rsidR="008F2BFC">
        <w:rPr>
          <w:b/>
          <w:bCs/>
        </w:rPr>
        <w:t>169</w:t>
      </w:r>
    </w:p>
    <w:p w14:paraId="2C923867" w14:textId="11EBF542" w:rsidR="00D7230D" w:rsidRDefault="00D7230D" w:rsidP="00D7230D">
      <w:pPr>
        <w:spacing w:after="360" w:line="240" w:lineRule="auto"/>
      </w:pPr>
      <w:r w:rsidRPr="005B5E47">
        <w:rPr>
          <w:b/>
          <w:bCs/>
        </w:rPr>
        <w:t>Bolton-le-Sands and Prestbury</w:t>
      </w:r>
    </w:p>
    <w:p w14:paraId="008A90ED" w14:textId="2A55F4FE" w:rsidR="00D7230D" w:rsidRDefault="001B71CA" w:rsidP="00D7230D">
      <w:pPr>
        <w:spacing w:after="360" w:line="240" w:lineRule="auto"/>
        <w:jc w:val="both"/>
      </w:pPr>
      <w:r>
        <w:t xml:space="preserve">      </w:t>
      </w:r>
      <w:r w:rsidR="005175B4">
        <w:t xml:space="preserve"> </w:t>
      </w:r>
      <w:r>
        <w:t>-</w:t>
      </w:r>
      <w:r w:rsidR="00D7230D">
        <w:tab/>
        <w:t xml:space="preserve">Case Study Properties in </w:t>
      </w:r>
      <w:r w:rsidR="00D7230D" w:rsidRPr="00237283">
        <w:t>Bolton-le-Sands Parish</w:t>
      </w:r>
      <w:r w:rsidR="008F2BFC">
        <w:tab/>
      </w:r>
      <w:r w:rsidR="008F2BFC">
        <w:tab/>
      </w:r>
      <w:r w:rsidR="008F2BFC">
        <w:tab/>
      </w:r>
      <w:r w:rsidR="008F2BFC">
        <w:tab/>
      </w:r>
      <w:r w:rsidR="008F2BFC">
        <w:tab/>
      </w:r>
      <w:r w:rsidR="008F2BFC" w:rsidRPr="00BB1E1A">
        <w:rPr>
          <w:b/>
          <w:bCs/>
        </w:rPr>
        <w:t>172</w:t>
      </w:r>
    </w:p>
    <w:p w14:paraId="5EE68ED7" w14:textId="66E4CB27" w:rsidR="00D7230D" w:rsidRDefault="005175B4" w:rsidP="00D7230D">
      <w:pPr>
        <w:spacing w:after="360" w:line="240" w:lineRule="auto"/>
        <w:jc w:val="both"/>
      </w:pPr>
      <w:r>
        <w:t xml:space="preserve">       -</w:t>
      </w:r>
      <w:r w:rsidR="00D7230D">
        <w:tab/>
        <w:t>Case Study Properties in Prestbury Parish</w:t>
      </w:r>
      <w:r w:rsidR="008F2BFC">
        <w:tab/>
      </w:r>
      <w:r w:rsidR="008F2BFC">
        <w:tab/>
      </w:r>
      <w:r w:rsidR="008F2BFC">
        <w:tab/>
      </w:r>
      <w:r w:rsidR="008F2BFC">
        <w:tab/>
      </w:r>
      <w:r w:rsidR="008F2BFC">
        <w:tab/>
      </w:r>
      <w:r w:rsidR="008F2BFC">
        <w:tab/>
      </w:r>
      <w:r w:rsidR="008F2BFC" w:rsidRPr="00BB1E1A">
        <w:rPr>
          <w:b/>
          <w:bCs/>
        </w:rPr>
        <w:t>204</w:t>
      </w:r>
    </w:p>
    <w:p w14:paraId="6334AB7B" w14:textId="592E3B54" w:rsidR="00B05F30" w:rsidRDefault="00D7230D" w:rsidP="00B05F30">
      <w:pPr>
        <w:spacing w:after="0" w:line="240" w:lineRule="auto"/>
        <w:jc w:val="both"/>
        <w:rPr>
          <w:b/>
          <w:bCs/>
        </w:rPr>
      </w:pPr>
      <w:r>
        <w:rPr>
          <w:b/>
          <w:bCs/>
        </w:rPr>
        <w:t xml:space="preserve">Chapter Four – </w:t>
      </w:r>
      <w:r w:rsidRPr="005B5E47">
        <w:rPr>
          <w:b/>
          <w:bCs/>
        </w:rPr>
        <w:t xml:space="preserve">Material </w:t>
      </w:r>
      <w:r>
        <w:rPr>
          <w:b/>
          <w:bCs/>
        </w:rPr>
        <w:t>Culture and Inscription</w:t>
      </w:r>
      <w:r w:rsidRPr="005B5E47">
        <w:rPr>
          <w:b/>
          <w:bCs/>
        </w:rPr>
        <w:t xml:space="preserve"> in Bolton-le-Sands </w:t>
      </w:r>
      <w:r w:rsidR="008F2BFC">
        <w:rPr>
          <w:b/>
          <w:bCs/>
        </w:rPr>
        <w:tab/>
      </w:r>
      <w:r w:rsidR="008F2BFC">
        <w:rPr>
          <w:b/>
          <w:bCs/>
        </w:rPr>
        <w:tab/>
      </w:r>
      <w:r w:rsidR="008F2BFC">
        <w:rPr>
          <w:b/>
          <w:bCs/>
        </w:rPr>
        <w:tab/>
        <w:t>237</w:t>
      </w:r>
    </w:p>
    <w:p w14:paraId="4E02B788" w14:textId="42D0E6D7" w:rsidR="00D7230D" w:rsidRPr="00FE1546" w:rsidRDefault="00D7230D" w:rsidP="00D7230D">
      <w:pPr>
        <w:spacing w:after="360" w:line="240" w:lineRule="auto"/>
        <w:jc w:val="both"/>
      </w:pPr>
      <w:r w:rsidRPr="005B5E47">
        <w:rPr>
          <w:b/>
          <w:bCs/>
        </w:rPr>
        <w:t>and Prestbury</w:t>
      </w:r>
    </w:p>
    <w:p w14:paraId="5947B126" w14:textId="4E98F187" w:rsidR="00D7230D" w:rsidRPr="00BC3E65" w:rsidRDefault="005175B4" w:rsidP="005175B4">
      <w:pPr>
        <w:spacing w:after="360" w:line="240" w:lineRule="auto"/>
        <w:jc w:val="both"/>
      </w:pPr>
      <w:r>
        <w:t xml:space="preserve">       - </w:t>
      </w:r>
      <w:r>
        <w:tab/>
      </w:r>
      <w:r w:rsidR="00D7230D" w:rsidRPr="00BC3E65">
        <w:t>Documentary Traces</w:t>
      </w:r>
      <w:r w:rsidR="00D7230D">
        <w:t>: Consumption and Household Goods</w:t>
      </w:r>
      <w:r w:rsidR="008F2BFC">
        <w:tab/>
      </w:r>
      <w:r w:rsidR="008F2BFC">
        <w:tab/>
      </w:r>
      <w:r w:rsidR="008F2BFC">
        <w:tab/>
      </w:r>
      <w:r w:rsidR="008F2BFC">
        <w:tab/>
      </w:r>
      <w:r w:rsidR="008F2BFC" w:rsidRPr="00BB1E1A">
        <w:rPr>
          <w:b/>
          <w:bCs/>
        </w:rPr>
        <w:t>239</w:t>
      </w:r>
    </w:p>
    <w:p w14:paraId="2E63E95B" w14:textId="310889B7" w:rsidR="00D7230D" w:rsidRPr="00F91C90" w:rsidRDefault="004702AD" w:rsidP="004702AD">
      <w:pPr>
        <w:spacing w:after="360" w:line="240" w:lineRule="auto"/>
        <w:jc w:val="both"/>
      </w:pPr>
      <w:r>
        <w:t xml:space="preserve">       - </w:t>
      </w:r>
      <w:r>
        <w:tab/>
      </w:r>
      <w:r w:rsidR="00D7230D">
        <w:t xml:space="preserve">Personal Property: </w:t>
      </w:r>
      <w:r w:rsidR="00D7230D" w:rsidRPr="00F91C90">
        <w:t xml:space="preserve">Inscriptions </w:t>
      </w:r>
      <w:r w:rsidR="00D7230D">
        <w:t>w</w:t>
      </w:r>
      <w:r w:rsidR="00D7230D" w:rsidRPr="00F91C90">
        <w:t>ithin the Home</w:t>
      </w:r>
      <w:r w:rsidR="008F2BFC">
        <w:tab/>
      </w:r>
      <w:r w:rsidR="008F2BFC">
        <w:tab/>
      </w:r>
      <w:r w:rsidR="008F2BFC">
        <w:tab/>
      </w:r>
      <w:r w:rsidR="008F2BFC">
        <w:tab/>
      </w:r>
      <w:r w:rsidR="008F2BFC">
        <w:tab/>
      </w:r>
      <w:r w:rsidR="008F2BFC" w:rsidRPr="00BB1E1A">
        <w:rPr>
          <w:b/>
          <w:bCs/>
        </w:rPr>
        <w:t>252</w:t>
      </w:r>
    </w:p>
    <w:p w14:paraId="0D24F549" w14:textId="6D4AECD3" w:rsidR="00EE4C4F" w:rsidRDefault="001173A0" w:rsidP="001173A0">
      <w:pPr>
        <w:spacing w:after="0" w:line="240" w:lineRule="auto"/>
        <w:jc w:val="both"/>
      </w:pPr>
      <w:r>
        <w:t xml:space="preserve">       -</w:t>
      </w:r>
      <w:r>
        <w:tab/>
      </w:r>
      <w:r w:rsidR="00D7230D">
        <w:t>The Inscribed Façade: Inscriptions and Iconography</w:t>
      </w:r>
      <w:r w:rsidR="00640C62">
        <w:t xml:space="preserve"> on the </w:t>
      </w:r>
      <w:r w:rsidR="008F2BFC">
        <w:tab/>
      </w:r>
      <w:r w:rsidR="008F2BFC">
        <w:tab/>
      </w:r>
      <w:r w:rsidR="008F2BFC">
        <w:tab/>
      </w:r>
      <w:r w:rsidR="008F2BFC">
        <w:tab/>
      </w:r>
      <w:r w:rsidR="008F2BFC" w:rsidRPr="00BB1E1A">
        <w:rPr>
          <w:b/>
          <w:bCs/>
        </w:rPr>
        <w:t>277</w:t>
      </w:r>
    </w:p>
    <w:p w14:paraId="49FC06C6" w14:textId="434019A7" w:rsidR="00D7230D" w:rsidRPr="00FE2A6D" w:rsidRDefault="00640C62" w:rsidP="00D7230D">
      <w:pPr>
        <w:spacing w:after="360" w:line="240" w:lineRule="auto"/>
        <w:ind w:firstLine="720"/>
        <w:jc w:val="both"/>
      </w:pPr>
      <w:r>
        <w:t>Fabric of the Home</w:t>
      </w:r>
    </w:p>
    <w:p w14:paraId="649CB50A" w14:textId="4BD3322B" w:rsidR="00D7230D" w:rsidRPr="000265CA" w:rsidRDefault="00D7230D" w:rsidP="00D7230D">
      <w:pPr>
        <w:spacing w:after="360" w:line="240" w:lineRule="auto"/>
        <w:rPr>
          <w:b/>
          <w:bCs/>
        </w:rPr>
      </w:pPr>
      <w:r w:rsidRPr="000265CA">
        <w:rPr>
          <w:b/>
          <w:bCs/>
        </w:rPr>
        <w:t>Conclusion</w:t>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t>302</w:t>
      </w:r>
    </w:p>
    <w:p w14:paraId="6ADA3C0A" w14:textId="66BB2DF3" w:rsidR="00D7230D" w:rsidRPr="00561599" w:rsidRDefault="00D7230D" w:rsidP="00D7230D">
      <w:pPr>
        <w:spacing w:after="360" w:line="240" w:lineRule="auto"/>
        <w:rPr>
          <w:b/>
          <w:bCs/>
        </w:rPr>
      </w:pPr>
      <w:r>
        <w:rPr>
          <w:b/>
          <w:bCs/>
        </w:rPr>
        <w:t>Appendix 1: Maps</w:t>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t>307</w:t>
      </w:r>
    </w:p>
    <w:p w14:paraId="513E2BB1" w14:textId="5E8D8582" w:rsidR="00D7230D" w:rsidRPr="00B75B7E" w:rsidRDefault="00D7230D" w:rsidP="00D7230D">
      <w:pPr>
        <w:spacing w:after="360" w:line="240" w:lineRule="auto"/>
        <w:rPr>
          <w:b/>
          <w:bCs/>
        </w:rPr>
      </w:pPr>
      <w:r w:rsidRPr="00B75B7E">
        <w:rPr>
          <w:b/>
          <w:bCs/>
        </w:rPr>
        <w:t xml:space="preserve">Appendix </w:t>
      </w:r>
      <w:r>
        <w:rPr>
          <w:b/>
          <w:bCs/>
        </w:rPr>
        <w:t>2: Figures</w:t>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t>314</w:t>
      </w:r>
    </w:p>
    <w:p w14:paraId="591EFA0B" w14:textId="0B29A78A" w:rsidR="00D7230D" w:rsidRPr="00B75B7E" w:rsidRDefault="00D7230D" w:rsidP="00D7230D">
      <w:pPr>
        <w:spacing w:after="360" w:line="240" w:lineRule="auto"/>
        <w:rPr>
          <w:b/>
          <w:bCs/>
        </w:rPr>
      </w:pPr>
      <w:r w:rsidRPr="00B75B7E">
        <w:rPr>
          <w:b/>
          <w:bCs/>
        </w:rPr>
        <w:t xml:space="preserve">Appendix </w:t>
      </w:r>
      <w:r>
        <w:rPr>
          <w:b/>
          <w:bCs/>
        </w:rPr>
        <w:t>3: Tables</w:t>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t>394</w:t>
      </w:r>
    </w:p>
    <w:p w14:paraId="76B05392" w14:textId="3C93A484" w:rsidR="00D7230D" w:rsidRDefault="00D7230D" w:rsidP="008F2BFC">
      <w:pPr>
        <w:spacing w:after="360" w:line="240" w:lineRule="auto"/>
        <w:rPr>
          <w:b/>
          <w:bCs/>
          <w:sz w:val="32"/>
          <w:szCs w:val="32"/>
          <w:u w:val="single"/>
        </w:rPr>
      </w:pPr>
      <w:proofErr w:type="gramStart"/>
      <w:r w:rsidRPr="00B75B7E">
        <w:rPr>
          <w:b/>
          <w:bCs/>
        </w:rPr>
        <w:t>Bibliography</w:t>
      </w:r>
      <w:r w:rsidR="008F2BFC">
        <w:rPr>
          <w:b/>
          <w:bCs/>
        </w:rPr>
        <w:t xml:space="preserve">  </w:t>
      </w:r>
      <w:r w:rsidR="008F2BFC">
        <w:rPr>
          <w:b/>
          <w:bCs/>
        </w:rPr>
        <w:tab/>
      </w:r>
      <w:proofErr w:type="gramEnd"/>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r>
      <w:r w:rsidR="008F2BFC">
        <w:rPr>
          <w:b/>
          <w:bCs/>
        </w:rPr>
        <w:tab/>
        <w:t>439</w:t>
      </w:r>
      <w:r>
        <w:br w:type="page"/>
      </w:r>
      <w:r w:rsidRPr="006869E2">
        <w:rPr>
          <w:b/>
          <w:bCs/>
          <w:sz w:val="32"/>
          <w:szCs w:val="32"/>
          <w:u w:val="single"/>
        </w:rPr>
        <w:lastRenderedPageBreak/>
        <w:t>List of Abbreviations</w:t>
      </w:r>
    </w:p>
    <w:p w14:paraId="65830983" w14:textId="77777777" w:rsidR="00D7230D" w:rsidRPr="006869E2" w:rsidRDefault="00D7230D" w:rsidP="00D7230D">
      <w:pPr>
        <w:rPr>
          <w:b/>
          <w:bCs/>
          <w:sz w:val="32"/>
          <w:szCs w:val="32"/>
          <w:u w:val="single"/>
        </w:rPr>
      </w:pPr>
    </w:p>
    <w:p w14:paraId="4C07B8BD" w14:textId="77777777" w:rsidR="004317BA" w:rsidRDefault="004317BA" w:rsidP="00D7230D">
      <w:r>
        <w:t>AEA – Adlington Estate Archive</w:t>
      </w:r>
    </w:p>
    <w:p w14:paraId="38058692" w14:textId="77777777" w:rsidR="004317BA" w:rsidRDefault="004317BA" w:rsidP="00D7230D"/>
    <w:p w14:paraId="7709C537" w14:textId="77777777" w:rsidR="00F0397E" w:rsidRDefault="00F0397E" w:rsidP="00F0397E">
      <w:r>
        <w:t>CA – Cumbria Archives</w:t>
      </w:r>
    </w:p>
    <w:p w14:paraId="41ABC95B" w14:textId="77777777" w:rsidR="00F0397E" w:rsidRDefault="00F0397E" w:rsidP="00D7230D"/>
    <w:p w14:paraId="5F46FA62" w14:textId="4CDFD2EE" w:rsidR="004317BA" w:rsidRDefault="004317BA" w:rsidP="00D7230D">
      <w:r>
        <w:t>CRO – Cheshire Record Office</w:t>
      </w:r>
    </w:p>
    <w:p w14:paraId="333ABFB8" w14:textId="77777777" w:rsidR="004317BA" w:rsidRDefault="004317BA" w:rsidP="00D7230D"/>
    <w:p w14:paraId="4747BE22" w14:textId="688AE331" w:rsidR="004317BA" w:rsidRDefault="004317BA" w:rsidP="00D7230D">
      <w:r>
        <w:t>KRO – Kendal Record Office</w:t>
      </w:r>
    </w:p>
    <w:p w14:paraId="10776FF8" w14:textId="77777777" w:rsidR="004317BA" w:rsidRDefault="004317BA" w:rsidP="00D7230D"/>
    <w:p w14:paraId="265606BB" w14:textId="6FD9C56A" w:rsidR="004317BA" w:rsidRDefault="004317BA" w:rsidP="00D7230D">
      <w:r>
        <w:t>LA – Lancashire Archives</w:t>
      </w:r>
    </w:p>
    <w:p w14:paraId="4D17F61C" w14:textId="77777777" w:rsidR="004317BA" w:rsidRDefault="004317BA" w:rsidP="00D7230D"/>
    <w:p w14:paraId="4D4CE862" w14:textId="510F2554" w:rsidR="004317BA" w:rsidRDefault="004317BA" w:rsidP="00D7230D">
      <w:r>
        <w:t>NHLE – National Heritage List for England</w:t>
      </w:r>
    </w:p>
    <w:p w14:paraId="3B0A400A" w14:textId="77777777" w:rsidR="004317BA" w:rsidRDefault="004317BA" w:rsidP="00D7230D"/>
    <w:p w14:paraId="1A7BD723" w14:textId="2B496DE9" w:rsidR="004317BA" w:rsidRDefault="004317BA" w:rsidP="00D7230D">
      <w:r>
        <w:t>OED – Oxford English Dictionary</w:t>
      </w:r>
    </w:p>
    <w:p w14:paraId="3967F034" w14:textId="77777777" w:rsidR="004317BA" w:rsidRDefault="004317BA" w:rsidP="00D7230D"/>
    <w:p w14:paraId="1BF923E5" w14:textId="1347828C" w:rsidR="004317BA" w:rsidRDefault="004317BA" w:rsidP="00D7230D">
      <w:r>
        <w:t>TNA – The National Archives</w:t>
      </w:r>
    </w:p>
    <w:p w14:paraId="4376D123" w14:textId="77777777" w:rsidR="00D7230D" w:rsidRDefault="00D7230D" w:rsidP="00D7230D">
      <w:r>
        <w:br w:type="page"/>
      </w:r>
    </w:p>
    <w:p w14:paraId="4042081A" w14:textId="77777777" w:rsidR="00D7230D" w:rsidRDefault="00D7230D" w:rsidP="00D7230D">
      <w:pPr>
        <w:rPr>
          <w:b/>
          <w:bCs/>
          <w:sz w:val="32"/>
          <w:szCs w:val="32"/>
          <w:u w:val="single"/>
        </w:rPr>
      </w:pPr>
      <w:r>
        <w:rPr>
          <w:b/>
          <w:bCs/>
          <w:sz w:val="32"/>
          <w:szCs w:val="32"/>
          <w:u w:val="single"/>
        </w:rPr>
        <w:lastRenderedPageBreak/>
        <w:t>List of Maps, Figures and Tables</w:t>
      </w:r>
    </w:p>
    <w:p w14:paraId="4E66C5F8" w14:textId="77777777" w:rsidR="00A659BB" w:rsidRDefault="00A659BB" w:rsidP="00D7230D">
      <w:pPr>
        <w:spacing w:after="240" w:line="240" w:lineRule="auto"/>
        <w:rPr>
          <w:b/>
          <w:bCs/>
        </w:rPr>
      </w:pPr>
    </w:p>
    <w:p w14:paraId="403DA5DC" w14:textId="62E0393E" w:rsidR="00D7230D" w:rsidRDefault="00D7230D" w:rsidP="00D7230D">
      <w:pPr>
        <w:spacing w:after="240" w:line="240" w:lineRule="auto"/>
        <w:rPr>
          <w:b/>
          <w:bCs/>
        </w:rPr>
      </w:pPr>
      <w:r>
        <w:rPr>
          <w:b/>
          <w:bCs/>
        </w:rPr>
        <w:t>List of Maps (Appendix 1)</w:t>
      </w:r>
    </w:p>
    <w:p w14:paraId="1810CFA7" w14:textId="1905573D" w:rsidR="00D7230D" w:rsidRDefault="00D7230D" w:rsidP="00D7230D">
      <w:pPr>
        <w:spacing w:after="240" w:line="240" w:lineRule="auto"/>
      </w:pPr>
      <w:r>
        <w:t>Map 1: Locations of Bolton-le-Sands and Prestbury parishes within northern England</w:t>
      </w:r>
      <w:r w:rsidR="0075325B">
        <w:tab/>
      </w:r>
      <w:r w:rsidR="00CD24D4" w:rsidRPr="00810C93">
        <w:rPr>
          <w:b/>
          <w:bCs/>
        </w:rPr>
        <w:t>308</w:t>
      </w:r>
    </w:p>
    <w:p w14:paraId="57FAEE44" w14:textId="7FEDFEC5" w:rsidR="00D7230D" w:rsidRDefault="00D7230D" w:rsidP="00D7230D">
      <w:pPr>
        <w:spacing w:after="240" w:line="240" w:lineRule="auto"/>
      </w:pPr>
      <w:r>
        <w:t>Map 2: Locations of Bolton-le-Sands townships within Bolton-le-Sands parish</w:t>
      </w:r>
      <w:r w:rsidR="00CD24D4">
        <w:tab/>
      </w:r>
      <w:r w:rsidR="00CD24D4">
        <w:tab/>
      </w:r>
      <w:r w:rsidR="00CD24D4" w:rsidRPr="00810C93">
        <w:rPr>
          <w:b/>
          <w:bCs/>
        </w:rPr>
        <w:t>309</w:t>
      </w:r>
    </w:p>
    <w:p w14:paraId="5093942C" w14:textId="2E1D3BE7" w:rsidR="00D7230D" w:rsidRDefault="00D7230D" w:rsidP="00D7230D">
      <w:pPr>
        <w:spacing w:after="240" w:line="240" w:lineRule="auto"/>
      </w:pPr>
      <w:r>
        <w:t>Map 3: Locations of Prestbury townships within Prestbury parish</w:t>
      </w:r>
      <w:r w:rsidR="00CD24D4">
        <w:tab/>
      </w:r>
      <w:r w:rsidR="00CD24D4">
        <w:tab/>
      </w:r>
      <w:r w:rsidR="00CD24D4">
        <w:tab/>
      </w:r>
      <w:r w:rsidR="00CD24D4">
        <w:tab/>
      </w:r>
      <w:r w:rsidR="00CD24D4" w:rsidRPr="00810C93">
        <w:rPr>
          <w:b/>
          <w:bCs/>
        </w:rPr>
        <w:t>310</w:t>
      </w:r>
    </w:p>
    <w:p w14:paraId="48A84449" w14:textId="47D295B4" w:rsidR="00D7230D" w:rsidRDefault="00D7230D" w:rsidP="00D7230D">
      <w:pPr>
        <w:spacing w:after="240" w:line="240" w:lineRule="auto"/>
      </w:pPr>
      <w:r>
        <w:t>Map 4: Locations of six case study properties within Bolton-le-Sands parish</w:t>
      </w:r>
      <w:r w:rsidR="00CD24D4">
        <w:tab/>
      </w:r>
      <w:r w:rsidR="00CD24D4">
        <w:tab/>
      </w:r>
      <w:r w:rsidR="00CD24D4" w:rsidRPr="00810C93">
        <w:rPr>
          <w:b/>
          <w:bCs/>
        </w:rPr>
        <w:t>311</w:t>
      </w:r>
    </w:p>
    <w:p w14:paraId="7A50785C" w14:textId="2A855754" w:rsidR="00D7230D" w:rsidRDefault="00D7230D" w:rsidP="00D7230D">
      <w:pPr>
        <w:spacing w:after="240" w:line="240" w:lineRule="auto"/>
      </w:pPr>
      <w:r>
        <w:t>Map 5: Locations of five case study properties within Prestbury parish</w:t>
      </w:r>
      <w:r w:rsidR="00CD24D4">
        <w:tab/>
      </w:r>
      <w:r w:rsidR="00CD24D4">
        <w:tab/>
      </w:r>
      <w:r w:rsidR="00CD24D4">
        <w:tab/>
      </w:r>
      <w:r w:rsidR="00CD24D4" w:rsidRPr="00810C93">
        <w:rPr>
          <w:b/>
          <w:bCs/>
        </w:rPr>
        <w:t>312</w:t>
      </w:r>
    </w:p>
    <w:p w14:paraId="7C266B70" w14:textId="716C721F" w:rsidR="00D7230D" w:rsidRDefault="00D7230D" w:rsidP="00D7230D">
      <w:pPr>
        <w:spacing w:after="240" w:line="240" w:lineRule="auto"/>
      </w:pPr>
      <w:r>
        <w:t>Map 6: Location of five inscribed properties at Meg Lane in Sutton, Prestbury</w:t>
      </w:r>
      <w:r w:rsidR="00CD24D4">
        <w:tab/>
      </w:r>
      <w:r w:rsidR="00CD24D4">
        <w:tab/>
      </w:r>
      <w:r w:rsidR="00CD24D4" w:rsidRPr="00810C93">
        <w:rPr>
          <w:b/>
          <w:bCs/>
        </w:rPr>
        <w:t>313</w:t>
      </w:r>
    </w:p>
    <w:p w14:paraId="68F49801" w14:textId="77777777" w:rsidR="00D7230D" w:rsidRDefault="00D7230D" w:rsidP="00D7230D">
      <w:pPr>
        <w:spacing w:after="240" w:line="240" w:lineRule="auto"/>
      </w:pPr>
    </w:p>
    <w:p w14:paraId="0A7842FF" w14:textId="77777777" w:rsidR="00D7230D" w:rsidRDefault="00D7230D" w:rsidP="00D7230D">
      <w:pPr>
        <w:spacing w:after="240" w:line="240" w:lineRule="auto"/>
        <w:rPr>
          <w:b/>
          <w:bCs/>
        </w:rPr>
      </w:pPr>
      <w:r>
        <w:rPr>
          <w:b/>
          <w:bCs/>
        </w:rPr>
        <w:t>List of Figures (Appendix 2)</w:t>
      </w:r>
    </w:p>
    <w:p w14:paraId="42AEE1F1" w14:textId="746F21E4" w:rsidR="00D7230D" w:rsidRDefault="00D7230D" w:rsidP="00D7230D">
      <w:pPr>
        <w:spacing w:after="240" w:line="240" w:lineRule="auto"/>
      </w:pPr>
      <w:r>
        <w:t>Figure 1: Inscribed entryway at Hall Farmhouse, Over Kellet, Bolton-le-Sands parish</w:t>
      </w:r>
      <w:r w:rsidR="00CD24D4">
        <w:tab/>
      </w:r>
      <w:r w:rsidR="00CD24D4" w:rsidRPr="00DE4D51">
        <w:rPr>
          <w:b/>
          <w:bCs/>
        </w:rPr>
        <w:t>315</w:t>
      </w:r>
    </w:p>
    <w:p w14:paraId="4A1EA1F5" w14:textId="5AB932B4" w:rsidR="00D7230D" w:rsidRPr="002C1BCA" w:rsidRDefault="00D7230D" w:rsidP="00D7230D">
      <w:pPr>
        <w:spacing w:after="240" w:line="240" w:lineRule="auto"/>
      </w:pPr>
      <w:r>
        <w:t>Figure 2: Inscribed cupboard</w:t>
      </w:r>
      <w:r w:rsidRPr="002C1BCA">
        <w:t xml:space="preserve"> at Hall Farmhouse, Over Kellet, Bolton-le-Sands parish</w:t>
      </w:r>
      <w:r w:rsidR="00CD24D4">
        <w:tab/>
      </w:r>
      <w:r w:rsidR="00CD24D4" w:rsidRPr="00DE4D51">
        <w:rPr>
          <w:b/>
          <w:bCs/>
        </w:rPr>
        <w:t>316</w:t>
      </w:r>
    </w:p>
    <w:p w14:paraId="143811D1" w14:textId="2B55A21E" w:rsidR="00D7230D" w:rsidRDefault="00D7230D" w:rsidP="00D7230D">
      <w:pPr>
        <w:spacing w:after="240" w:line="240" w:lineRule="auto"/>
      </w:pPr>
      <w:r>
        <w:t>Figure 3: Illustrated map of all townships within Prestbury parish</w:t>
      </w:r>
      <w:r w:rsidR="00CD24D4">
        <w:tab/>
      </w:r>
      <w:r w:rsidR="00CD24D4">
        <w:tab/>
      </w:r>
      <w:r w:rsidR="00CD24D4">
        <w:tab/>
      </w:r>
      <w:r w:rsidR="00CD24D4">
        <w:tab/>
      </w:r>
      <w:r w:rsidR="00CD24D4" w:rsidRPr="00DE4D51">
        <w:rPr>
          <w:b/>
          <w:bCs/>
        </w:rPr>
        <w:t>317</w:t>
      </w:r>
    </w:p>
    <w:p w14:paraId="46104249" w14:textId="063D8EF5" w:rsidR="00D7230D" w:rsidRDefault="00D7230D" w:rsidP="00D7230D">
      <w:pPr>
        <w:spacing w:after="240" w:line="240" w:lineRule="auto"/>
      </w:pPr>
      <w:r>
        <w:t>Figure 4: An early modern horn book</w:t>
      </w:r>
      <w:r w:rsidR="00CD24D4">
        <w:tab/>
      </w:r>
      <w:r w:rsidR="00CD24D4">
        <w:tab/>
      </w:r>
      <w:r w:rsidR="00CD24D4">
        <w:tab/>
      </w:r>
      <w:r w:rsidR="00CD24D4">
        <w:tab/>
      </w:r>
      <w:r w:rsidR="00CD24D4">
        <w:tab/>
      </w:r>
      <w:r w:rsidR="00CD24D4">
        <w:tab/>
      </w:r>
      <w:r w:rsidR="00CD24D4">
        <w:tab/>
      </w:r>
      <w:r w:rsidR="00CD24D4">
        <w:tab/>
      </w:r>
      <w:r w:rsidR="00CD24D4" w:rsidRPr="00DE4D51">
        <w:rPr>
          <w:b/>
          <w:bCs/>
        </w:rPr>
        <w:t>318</w:t>
      </w:r>
    </w:p>
    <w:p w14:paraId="1BDC81A7" w14:textId="4135E695" w:rsidR="00CD24D4" w:rsidRDefault="00D7230D" w:rsidP="00CD24D4">
      <w:pPr>
        <w:spacing w:after="0" w:line="240" w:lineRule="auto"/>
      </w:pPr>
      <w:r>
        <w:t xml:space="preserve">Figure 5: Subscription from the will of John Leaper of Over Kellet, Bolton-le-Sands </w:t>
      </w:r>
      <w:r w:rsidR="00CD24D4">
        <w:tab/>
      </w:r>
      <w:r w:rsidR="00CD24D4" w:rsidRPr="00DE4D51">
        <w:rPr>
          <w:b/>
          <w:bCs/>
        </w:rPr>
        <w:t>319</w:t>
      </w:r>
    </w:p>
    <w:p w14:paraId="78CBCFAB" w14:textId="02A1FFBC" w:rsidR="00D7230D" w:rsidRDefault="00D7230D" w:rsidP="00D7230D">
      <w:pPr>
        <w:spacing w:after="240" w:line="240" w:lineRule="auto"/>
      </w:pPr>
      <w:r>
        <w:t>parish</w:t>
      </w:r>
    </w:p>
    <w:p w14:paraId="3DEADB91" w14:textId="301B6E47" w:rsidR="00D7230D" w:rsidRDefault="00D7230D" w:rsidP="00D7230D">
      <w:pPr>
        <w:spacing w:after="240" w:line="240" w:lineRule="auto"/>
      </w:pPr>
      <w:r>
        <w:t>Figure 6:</w:t>
      </w:r>
      <w:r w:rsidRPr="00A37BF1">
        <w:t xml:space="preserve"> Subscription from the will of </w:t>
      </w:r>
      <w:r>
        <w:t>Isabell Dickinson</w:t>
      </w:r>
      <w:r w:rsidRPr="00A37BF1">
        <w:t xml:space="preserve"> of Bolton-le-Sands</w:t>
      </w:r>
      <w:r w:rsidR="00CD24D4">
        <w:tab/>
      </w:r>
      <w:r w:rsidR="00CD24D4">
        <w:tab/>
      </w:r>
      <w:r w:rsidR="00CD24D4">
        <w:tab/>
      </w:r>
      <w:r w:rsidR="00CD24D4" w:rsidRPr="00DE4D51">
        <w:rPr>
          <w:b/>
          <w:bCs/>
        </w:rPr>
        <w:t>320</w:t>
      </w:r>
    </w:p>
    <w:p w14:paraId="75F61AAC" w14:textId="46F73E51" w:rsidR="00D7230D" w:rsidRDefault="00D7230D" w:rsidP="00D7230D">
      <w:pPr>
        <w:spacing w:after="240" w:line="240" w:lineRule="auto"/>
      </w:pPr>
      <w:r>
        <w:t>Figure 7:</w:t>
      </w:r>
      <w:r w:rsidRPr="00D52B88">
        <w:t xml:space="preserve"> Inscribed entryway </w:t>
      </w:r>
      <w:r>
        <w:t>at Thwaite End Farmhouse,</w:t>
      </w:r>
      <w:r w:rsidRPr="00D52B88">
        <w:t xml:space="preserve"> Bolton-le-Sands</w:t>
      </w:r>
      <w:r w:rsidR="00BF3533">
        <w:tab/>
      </w:r>
      <w:r w:rsidR="00BF3533">
        <w:tab/>
      </w:r>
      <w:r w:rsidR="00BF3533">
        <w:tab/>
      </w:r>
      <w:r w:rsidR="00BF3533" w:rsidRPr="00DE4D51">
        <w:rPr>
          <w:b/>
          <w:bCs/>
        </w:rPr>
        <w:t>321</w:t>
      </w:r>
    </w:p>
    <w:p w14:paraId="7D6A1FE2" w14:textId="5E0D05D2" w:rsidR="00D7230D" w:rsidRDefault="00D7230D" w:rsidP="00D7230D">
      <w:pPr>
        <w:spacing w:after="240" w:line="240" w:lineRule="auto"/>
      </w:pPr>
      <w:r>
        <w:t>Figure 8: Datestone at the Manor House, Slyne-with-Hest, Bolton-le-Sands parish</w:t>
      </w:r>
      <w:r w:rsidR="00BF3533">
        <w:tab/>
      </w:r>
      <w:r w:rsidR="00BF3533">
        <w:tab/>
      </w:r>
      <w:r w:rsidR="00BF3533" w:rsidRPr="00DE4D51">
        <w:rPr>
          <w:b/>
          <w:bCs/>
        </w:rPr>
        <w:t>322</w:t>
      </w:r>
    </w:p>
    <w:p w14:paraId="6B56146A" w14:textId="5D64A656" w:rsidR="00D7230D" w:rsidRPr="00D52B88" w:rsidRDefault="00D7230D" w:rsidP="00D7230D">
      <w:pPr>
        <w:spacing w:after="240" w:line="240" w:lineRule="auto"/>
      </w:pPr>
      <w:r>
        <w:t xml:space="preserve">Figure 9: Façade of </w:t>
      </w:r>
      <w:r w:rsidRPr="00D52B88">
        <w:t>the Manor House, Slyne-with-Hest, Bolton-le-Sands parish</w:t>
      </w:r>
      <w:r w:rsidR="00BF3533">
        <w:tab/>
      </w:r>
      <w:r w:rsidR="00BF3533">
        <w:tab/>
      </w:r>
      <w:r w:rsidR="00BF3533" w:rsidRPr="00DE4D51">
        <w:rPr>
          <w:b/>
          <w:bCs/>
        </w:rPr>
        <w:t>323</w:t>
      </w:r>
    </w:p>
    <w:p w14:paraId="605A1553" w14:textId="1AC7A46B" w:rsidR="00D7230D" w:rsidRDefault="00D7230D" w:rsidP="00D7230D">
      <w:pPr>
        <w:spacing w:after="240" w:line="240" w:lineRule="auto"/>
      </w:pPr>
      <w:r>
        <w:t xml:space="preserve">Figure 10: Façade of </w:t>
      </w:r>
      <w:r w:rsidRPr="00D52B88">
        <w:t>Hall Farmhouse, Over Kellet, Bolton-le-Sands parish</w:t>
      </w:r>
      <w:r w:rsidR="00BF3533">
        <w:tab/>
      </w:r>
      <w:r w:rsidR="00BF3533">
        <w:tab/>
      </w:r>
      <w:r w:rsidR="00BF3533">
        <w:tab/>
      </w:r>
      <w:r w:rsidR="00BF3533" w:rsidRPr="00DE4D51">
        <w:rPr>
          <w:b/>
          <w:bCs/>
        </w:rPr>
        <w:t>324</w:t>
      </w:r>
    </w:p>
    <w:p w14:paraId="7AF103DD" w14:textId="7B86EB52" w:rsidR="00D7230D" w:rsidRDefault="00D7230D" w:rsidP="00D7230D">
      <w:pPr>
        <w:spacing w:after="240" w:line="240" w:lineRule="auto"/>
      </w:pPr>
      <w:r>
        <w:t xml:space="preserve">Figure 11: </w:t>
      </w:r>
      <w:r w:rsidRPr="00193E80">
        <w:t xml:space="preserve">Inscribed entryway at </w:t>
      </w:r>
      <w:r>
        <w:t>End Cottage</w:t>
      </w:r>
      <w:r w:rsidRPr="00193E80">
        <w:t>, Bolton-le-Sands</w:t>
      </w:r>
      <w:r w:rsidR="00BF3533">
        <w:tab/>
      </w:r>
      <w:r w:rsidR="00BF3533">
        <w:tab/>
      </w:r>
      <w:r w:rsidR="00BF3533">
        <w:tab/>
      </w:r>
      <w:r w:rsidR="00BF3533">
        <w:tab/>
      </w:r>
      <w:r w:rsidR="00BF3533" w:rsidRPr="00DE4D51">
        <w:rPr>
          <w:b/>
          <w:bCs/>
        </w:rPr>
        <w:t>325</w:t>
      </w:r>
    </w:p>
    <w:p w14:paraId="0B2E3903" w14:textId="3EEEAAEA" w:rsidR="00D7230D" w:rsidRDefault="00D7230D" w:rsidP="00D7230D">
      <w:pPr>
        <w:spacing w:after="240" w:line="240" w:lineRule="auto"/>
      </w:pPr>
      <w:r>
        <w:t xml:space="preserve">Figure 12: </w:t>
      </w:r>
      <w:r w:rsidRPr="00193E80">
        <w:t xml:space="preserve">Inscribed </w:t>
      </w:r>
      <w:r>
        <w:t>fireplace</w:t>
      </w:r>
      <w:r w:rsidRPr="00193E80">
        <w:t xml:space="preserve"> at </w:t>
      </w:r>
      <w:r>
        <w:t>Cobblers’ Lodge</w:t>
      </w:r>
      <w:r w:rsidRPr="00193E80">
        <w:t>, Bolton-le-Sands</w:t>
      </w:r>
      <w:r w:rsidR="00BF3533">
        <w:tab/>
      </w:r>
      <w:r w:rsidR="00BF3533">
        <w:tab/>
      </w:r>
      <w:r w:rsidR="00BF3533">
        <w:tab/>
      </w:r>
      <w:r w:rsidR="00BF3533">
        <w:tab/>
      </w:r>
      <w:r w:rsidR="00BF3533" w:rsidRPr="00DE4D51">
        <w:rPr>
          <w:b/>
          <w:bCs/>
        </w:rPr>
        <w:t>326</w:t>
      </w:r>
    </w:p>
    <w:p w14:paraId="138DBEAC" w14:textId="7E1BF6C1" w:rsidR="00CD2254" w:rsidRDefault="00D7230D" w:rsidP="00CD2254">
      <w:pPr>
        <w:spacing w:after="0" w:line="240" w:lineRule="auto"/>
      </w:pPr>
      <w:r>
        <w:t xml:space="preserve">Figure 13: Marriage entry for William and Elizabeth Wilkinson, 1687, </w:t>
      </w:r>
      <w:r w:rsidR="00CD2254">
        <w:tab/>
      </w:r>
      <w:r w:rsidR="00CD2254">
        <w:tab/>
      </w:r>
      <w:r w:rsidR="00CD2254">
        <w:tab/>
      </w:r>
      <w:r w:rsidR="00CD2254" w:rsidRPr="00DE4D51">
        <w:rPr>
          <w:b/>
          <w:bCs/>
        </w:rPr>
        <w:t>327</w:t>
      </w:r>
    </w:p>
    <w:p w14:paraId="074DE828" w14:textId="71B04D2D" w:rsidR="00D7230D" w:rsidRDefault="00CD2254" w:rsidP="00D7230D">
      <w:pPr>
        <w:spacing w:after="240" w:line="240" w:lineRule="auto"/>
      </w:pPr>
      <w:r>
        <w:t>f</w:t>
      </w:r>
      <w:r w:rsidR="00D7230D">
        <w:t xml:space="preserve">acsimile </w:t>
      </w:r>
      <w:r>
        <w:t xml:space="preserve">of </w:t>
      </w:r>
      <w:r w:rsidR="00D7230D">
        <w:t>Bolton-le-Sands parish register</w:t>
      </w:r>
    </w:p>
    <w:p w14:paraId="6342E226" w14:textId="77777777" w:rsidR="009A32F9" w:rsidRDefault="009A32F9">
      <w:pPr>
        <w:spacing w:after="0" w:line="240" w:lineRule="auto"/>
      </w:pPr>
      <w:r>
        <w:br w:type="page"/>
      </w:r>
    </w:p>
    <w:p w14:paraId="637B07EE" w14:textId="76617060" w:rsidR="00CD2254" w:rsidRDefault="00D7230D" w:rsidP="009A32F9">
      <w:pPr>
        <w:spacing w:after="0" w:line="240" w:lineRule="auto"/>
      </w:pPr>
      <w:r>
        <w:lastRenderedPageBreak/>
        <w:t xml:space="preserve">Figure 14: </w:t>
      </w:r>
      <w:r w:rsidRPr="00D82FD2">
        <w:t>Marriage entry for William and Elizabeth Wilkinson</w:t>
      </w:r>
      <w:r>
        <w:t>, 1687,</w:t>
      </w:r>
      <w:r w:rsidRPr="00D82FD2">
        <w:t xml:space="preserve"> </w:t>
      </w:r>
      <w:r w:rsidR="009A32F9">
        <w:tab/>
      </w:r>
      <w:r w:rsidR="009A32F9">
        <w:tab/>
      </w:r>
      <w:r w:rsidR="009A32F9">
        <w:tab/>
      </w:r>
      <w:r w:rsidR="009A32F9" w:rsidRPr="00DE4D51">
        <w:rPr>
          <w:b/>
          <w:bCs/>
        </w:rPr>
        <w:t>328</w:t>
      </w:r>
    </w:p>
    <w:p w14:paraId="52D0059F" w14:textId="11D640A7" w:rsidR="00D7230D" w:rsidRDefault="00D7230D" w:rsidP="00D7230D">
      <w:pPr>
        <w:spacing w:after="240" w:line="240" w:lineRule="auto"/>
      </w:pPr>
      <w:r>
        <w:t>print edition of Bolton-le-Sands parish register</w:t>
      </w:r>
    </w:p>
    <w:p w14:paraId="76E2D837" w14:textId="5EFF9F9D" w:rsidR="009A32F9" w:rsidRDefault="00D7230D" w:rsidP="009A32F9">
      <w:pPr>
        <w:spacing w:after="0" w:line="240" w:lineRule="auto"/>
      </w:pPr>
      <w:r>
        <w:t>Figure 15: Illustration of the i</w:t>
      </w:r>
      <w:r w:rsidRPr="00D82FD2">
        <w:t xml:space="preserve">nscribed entryway at </w:t>
      </w:r>
      <w:r>
        <w:t xml:space="preserve">Old </w:t>
      </w:r>
      <w:r w:rsidRPr="00D82FD2">
        <w:t xml:space="preserve">Hall Farmhouse, </w:t>
      </w:r>
      <w:r w:rsidR="009A32F9">
        <w:tab/>
      </w:r>
      <w:r w:rsidR="009A32F9">
        <w:tab/>
      </w:r>
      <w:r w:rsidR="009A32F9">
        <w:tab/>
      </w:r>
      <w:r w:rsidR="009A32F9" w:rsidRPr="00DE4D51">
        <w:rPr>
          <w:b/>
          <w:bCs/>
        </w:rPr>
        <w:t>329</w:t>
      </w:r>
    </w:p>
    <w:p w14:paraId="668311FD" w14:textId="77777777" w:rsidR="009A32F9" w:rsidRDefault="00D7230D" w:rsidP="009A32F9">
      <w:pPr>
        <w:spacing w:after="0" w:line="240" w:lineRule="auto"/>
        <w:rPr>
          <w:i/>
          <w:iCs/>
        </w:rPr>
      </w:pPr>
      <w:r w:rsidRPr="00D82FD2">
        <w:t>Over Kellet, Bolton-le-Sands parish</w:t>
      </w:r>
      <w:r>
        <w:t xml:space="preserve"> from Emmeline Garnett’s </w:t>
      </w:r>
      <w:r w:rsidRPr="000932B1">
        <w:rPr>
          <w:i/>
          <w:iCs/>
        </w:rPr>
        <w:t xml:space="preserve">The Dated </w:t>
      </w:r>
    </w:p>
    <w:p w14:paraId="11747C5B" w14:textId="1A526896" w:rsidR="00D7230D" w:rsidRDefault="00D7230D" w:rsidP="00D7230D">
      <w:pPr>
        <w:spacing w:after="240" w:line="240" w:lineRule="auto"/>
      </w:pPr>
      <w:r w:rsidRPr="000932B1">
        <w:rPr>
          <w:i/>
          <w:iCs/>
        </w:rPr>
        <w:t xml:space="preserve">Buildings of South Lonsdale, </w:t>
      </w:r>
      <w:r w:rsidRPr="000932B1">
        <w:t>(Lancaster, 1994</w:t>
      </w:r>
      <w:r>
        <w:t>)</w:t>
      </w:r>
    </w:p>
    <w:p w14:paraId="3CD36F7F" w14:textId="63CC992E" w:rsidR="00D7230D" w:rsidRPr="00193E80" w:rsidRDefault="00D7230D" w:rsidP="00D7230D">
      <w:pPr>
        <w:spacing w:after="240" w:line="240" w:lineRule="auto"/>
      </w:pPr>
      <w:r>
        <w:t>Figure 16: Initialled datestone at Gap House, Kettleshulme, Prestbury parish</w:t>
      </w:r>
      <w:r w:rsidR="009A32F9">
        <w:tab/>
      </w:r>
      <w:r w:rsidR="009A32F9">
        <w:tab/>
      </w:r>
      <w:r w:rsidR="009A32F9" w:rsidRPr="00DE4D51">
        <w:rPr>
          <w:b/>
          <w:bCs/>
        </w:rPr>
        <w:t>330</w:t>
      </w:r>
    </w:p>
    <w:p w14:paraId="16693D12" w14:textId="6D335DD0" w:rsidR="00D7230D" w:rsidRDefault="00D7230D" w:rsidP="00D7230D">
      <w:pPr>
        <w:spacing w:after="240" w:line="240" w:lineRule="auto"/>
      </w:pPr>
      <w:r>
        <w:t xml:space="preserve">Figure 17: </w:t>
      </w:r>
      <w:r w:rsidRPr="001E757F">
        <w:t>Inscri</w:t>
      </w:r>
      <w:r>
        <w:t>bed entryway</w:t>
      </w:r>
      <w:r w:rsidRPr="001E757F">
        <w:t xml:space="preserve"> at Gap House, Kettleshulme, Prestbury parish</w:t>
      </w:r>
      <w:r w:rsidR="009A32F9">
        <w:tab/>
      </w:r>
      <w:r w:rsidR="009A32F9">
        <w:tab/>
      </w:r>
      <w:r w:rsidR="009A32F9" w:rsidRPr="00DE4D51">
        <w:rPr>
          <w:b/>
          <w:bCs/>
        </w:rPr>
        <w:t>331</w:t>
      </w:r>
    </w:p>
    <w:p w14:paraId="5E589E86" w14:textId="5645981A" w:rsidR="00D7230D" w:rsidRDefault="00D7230D" w:rsidP="00D7230D">
      <w:pPr>
        <w:spacing w:after="240" w:line="240" w:lineRule="auto"/>
      </w:pPr>
      <w:r>
        <w:t>Figure 18: Initialled hopper head</w:t>
      </w:r>
      <w:r w:rsidRPr="001E757F">
        <w:t xml:space="preserve"> at Gap House, Kettleshulme, Prestbury parish</w:t>
      </w:r>
      <w:r w:rsidR="009A32F9">
        <w:tab/>
      </w:r>
      <w:r w:rsidR="009A32F9">
        <w:tab/>
      </w:r>
      <w:r w:rsidR="009A32F9" w:rsidRPr="00DE4D51">
        <w:rPr>
          <w:b/>
          <w:bCs/>
        </w:rPr>
        <w:t>332</w:t>
      </w:r>
    </w:p>
    <w:p w14:paraId="08C6635C" w14:textId="0A101A5F" w:rsidR="00D7230D" w:rsidRDefault="00D7230D" w:rsidP="00D7230D">
      <w:pPr>
        <w:spacing w:after="240" w:line="240" w:lineRule="auto"/>
      </w:pPr>
      <w:r>
        <w:t>Figure 19:</w:t>
      </w:r>
      <w:r w:rsidRPr="0087317C">
        <w:t xml:space="preserve"> </w:t>
      </w:r>
      <w:r>
        <w:t>Façade</w:t>
      </w:r>
      <w:r w:rsidRPr="0087317C">
        <w:t xml:space="preserve"> </w:t>
      </w:r>
      <w:r>
        <w:t>of</w:t>
      </w:r>
      <w:r w:rsidRPr="0087317C">
        <w:t xml:space="preserve"> Gap House, Kettleshulme, Prestbury parish</w:t>
      </w:r>
      <w:r w:rsidR="009A32F9">
        <w:tab/>
      </w:r>
      <w:r w:rsidR="009A32F9">
        <w:tab/>
      </w:r>
      <w:r w:rsidR="009A32F9">
        <w:tab/>
      </w:r>
      <w:r w:rsidR="009A32F9">
        <w:tab/>
      </w:r>
      <w:r w:rsidR="009A32F9" w:rsidRPr="00DE4D51">
        <w:rPr>
          <w:b/>
          <w:bCs/>
        </w:rPr>
        <w:t>333</w:t>
      </w:r>
    </w:p>
    <w:p w14:paraId="3DDE6A62" w14:textId="12916A47" w:rsidR="00D7230D" w:rsidRDefault="00D7230D" w:rsidP="00D7230D">
      <w:pPr>
        <w:spacing w:after="240" w:line="240" w:lineRule="auto"/>
      </w:pPr>
      <w:r>
        <w:t xml:space="preserve">Figure 20: Rear of </w:t>
      </w:r>
      <w:r w:rsidRPr="0087317C">
        <w:t>Gap House, Kettleshulme, Prestbury parish</w:t>
      </w:r>
      <w:r w:rsidR="009A32F9">
        <w:tab/>
      </w:r>
      <w:r w:rsidR="009A32F9">
        <w:tab/>
      </w:r>
      <w:r w:rsidR="009A32F9">
        <w:tab/>
      </w:r>
      <w:r w:rsidR="009A32F9">
        <w:tab/>
      </w:r>
      <w:r w:rsidR="009A32F9" w:rsidRPr="00DE4D51">
        <w:rPr>
          <w:b/>
          <w:bCs/>
        </w:rPr>
        <w:t>334</w:t>
      </w:r>
    </w:p>
    <w:p w14:paraId="18A400A7" w14:textId="643319A5" w:rsidR="00D7230D" w:rsidRDefault="00D7230D" w:rsidP="00D7230D">
      <w:pPr>
        <w:spacing w:after="240" w:line="240" w:lineRule="auto"/>
      </w:pPr>
      <w:r>
        <w:t>Figure 21: Façade of Langley Hall, Sutton, Prestbury parish</w:t>
      </w:r>
      <w:r w:rsidR="009A32F9">
        <w:tab/>
      </w:r>
      <w:r w:rsidR="009A32F9">
        <w:tab/>
      </w:r>
      <w:r w:rsidR="009A32F9">
        <w:tab/>
      </w:r>
      <w:r w:rsidR="009A32F9">
        <w:tab/>
      </w:r>
      <w:r w:rsidR="009A32F9">
        <w:tab/>
      </w:r>
      <w:r w:rsidR="009A32F9" w:rsidRPr="00DE4D51">
        <w:rPr>
          <w:b/>
          <w:bCs/>
        </w:rPr>
        <w:t>335</w:t>
      </w:r>
    </w:p>
    <w:p w14:paraId="66B9D258" w14:textId="5843DEA5" w:rsidR="00D7230D" w:rsidRDefault="00D7230D" w:rsidP="00D7230D">
      <w:pPr>
        <w:spacing w:after="240" w:line="240" w:lineRule="auto"/>
      </w:pPr>
      <w:r>
        <w:t xml:space="preserve">Figure 22: Inscribed entryway at </w:t>
      </w:r>
      <w:r w:rsidRPr="0087317C">
        <w:t>Langley Hall, Sutton, Prestbury parish</w:t>
      </w:r>
      <w:r w:rsidR="009A32F9">
        <w:tab/>
      </w:r>
      <w:r w:rsidR="009A32F9">
        <w:tab/>
      </w:r>
      <w:r w:rsidR="009A32F9">
        <w:tab/>
      </w:r>
      <w:r w:rsidR="009A32F9" w:rsidRPr="00DE4D51">
        <w:rPr>
          <w:b/>
          <w:bCs/>
        </w:rPr>
        <w:t>336</w:t>
      </w:r>
    </w:p>
    <w:p w14:paraId="01C76558" w14:textId="05911E5D" w:rsidR="00D7230D" w:rsidRPr="00BA0B8E" w:rsidRDefault="00D7230D" w:rsidP="00D7230D">
      <w:pPr>
        <w:spacing w:after="240" w:line="240" w:lineRule="auto"/>
      </w:pPr>
      <w:r>
        <w:t xml:space="preserve">Figure 23: Door jambs at </w:t>
      </w:r>
      <w:r w:rsidRPr="00BA0B8E">
        <w:t>Langley Hall, Sutton, Prestbury parish</w:t>
      </w:r>
      <w:r w:rsidR="009A32F9">
        <w:tab/>
      </w:r>
      <w:r w:rsidR="009A32F9">
        <w:tab/>
      </w:r>
      <w:r w:rsidR="009A32F9">
        <w:tab/>
      </w:r>
      <w:r w:rsidR="009A32F9">
        <w:tab/>
      </w:r>
      <w:r w:rsidR="009A32F9" w:rsidRPr="003B51F3">
        <w:rPr>
          <w:b/>
          <w:bCs/>
        </w:rPr>
        <w:t>337</w:t>
      </w:r>
    </w:p>
    <w:p w14:paraId="59879F9C" w14:textId="1854FCC0" w:rsidR="00D7230D" w:rsidRDefault="00D7230D" w:rsidP="00D7230D">
      <w:pPr>
        <w:spacing w:after="240" w:line="240" w:lineRule="auto"/>
      </w:pPr>
      <w:r>
        <w:t>Figure 24: Inscribed plaque at Brooks Cottage, Butley, Prestbury parish</w:t>
      </w:r>
      <w:r w:rsidR="009A32F9">
        <w:tab/>
      </w:r>
      <w:r w:rsidR="009A32F9">
        <w:tab/>
      </w:r>
      <w:r w:rsidR="009A32F9">
        <w:tab/>
      </w:r>
      <w:r w:rsidR="009A32F9" w:rsidRPr="003B51F3">
        <w:rPr>
          <w:b/>
          <w:bCs/>
        </w:rPr>
        <w:t>338</w:t>
      </w:r>
    </w:p>
    <w:p w14:paraId="4302F7D2" w14:textId="2F805B5A" w:rsidR="00D7230D" w:rsidRDefault="00D7230D" w:rsidP="00D7230D">
      <w:pPr>
        <w:spacing w:after="240" w:line="240" w:lineRule="auto"/>
      </w:pPr>
      <w:r>
        <w:t xml:space="preserve">Figure 25: </w:t>
      </w:r>
      <w:r w:rsidRPr="00BA0B8E">
        <w:t>Inscribed plaque</w:t>
      </w:r>
      <w:r>
        <w:t xml:space="preserve"> (1715) inside lychgate of St Peter’s Church, Prestbury</w:t>
      </w:r>
      <w:r w:rsidR="009A32F9">
        <w:tab/>
      </w:r>
      <w:r w:rsidR="009A32F9">
        <w:tab/>
      </w:r>
      <w:r w:rsidR="009A32F9" w:rsidRPr="003B51F3">
        <w:rPr>
          <w:b/>
          <w:bCs/>
        </w:rPr>
        <w:t>339</w:t>
      </w:r>
    </w:p>
    <w:p w14:paraId="63E9FD17" w14:textId="14944616" w:rsidR="00D7230D" w:rsidRDefault="00D7230D" w:rsidP="00D7230D">
      <w:pPr>
        <w:spacing w:after="240" w:line="240" w:lineRule="auto"/>
      </w:pPr>
      <w:r>
        <w:t xml:space="preserve">Figure 26: </w:t>
      </w:r>
      <w:r w:rsidRPr="004169D2">
        <w:t>Inscribed plaque (17</w:t>
      </w:r>
      <w:r>
        <w:t>28</w:t>
      </w:r>
      <w:r w:rsidRPr="004169D2">
        <w:t>) inside lychgate of St Peter’s Church, Prestbury</w:t>
      </w:r>
      <w:r w:rsidR="009A32F9">
        <w:tab/>
      </w:r>
      <w:r w:rsidR="009A32F9">
        <w:tab/>
      </w:r>
      <w:r w:rsidR="009A32F9" w:rsidRPr="003B51F3">
        <w:rPr>
          <w:b/>
          <w:bCs/>
        </w:rPr>
        <w:t>340</w:t>
      </w:r>
    </w:p>
    <w:p w14:paraId="229F5857" w14:textId="56EAA320" w:rsidR="00D7230D" w:rsidRDefault="00D7230D" w:rsidP="00D7230D">
      <w:pPr>
        <w:spacing w:after="240" w:line="240" w:lineRule="auto"/>
      </w:pPr>
      <w:r>
        <w:t>Figure 27: Inscribed plaque (1721) in Prestbury village</w:t>
      </w:r>
      <w:r w:rsidR="009A32F9">
        <w:tab/>
      </w:r>
      <w:r w:rsidR="009A32F9">
        <w:tab/>
      </w:r>
      <w:r w:rsidR="009A32F9">
        <w:tab/>
      </w:r>
      <w:r w:rsidR="009A32F9">
        <w:tab/>
      </w:r>
      <w:r w:rsidR="009A32F9">
        <w:tab/>
      </w:r>
      <w:r w:rsidR="009A32F9" w:rsidRPr="003B51F3">
        <w:rPr>
          <w:b/>
          <w:bCs/>
        </w:rPr>
        <w:t>341</w:t>
      </w:r>
    </w:p>
    <w:p w14:paraId="560CB42E" w14:textId="48BE8760" w:rsidR="00D7230D" w:rsidRDefault="00D7230D" w:rsidP="00D7230D">
      <w:pPr>
        <w:spacing w:after="240" w:line="240" w:lineRule="auto"/>
      </w:pPr>
      <w:r>
        <w:t xml:space="preserve">Figure 28: </w:t>
      </w:r>
      <w:r w:rsidRPr="00B5296D">
        <w:t>Inscribed plaque (17</w:t>
      </w:r>
      <w:r>
        <w:t>51</w:t>
      </w:r>
      <w:r w:rsidRPr="00B5296D">
        <w:t>) in Prestbury village</w:t>
      </w:r>
      <w:r w:rsidR="009A32F9">
        <w:tab/>
      </w:r>
      <w:r w:rsidR="009A32F9">
        <w:tab/>
      </w:r>
      <w:r w:rsidR="009A32F9">
        <w:tab/>
      </w:r>
      <w:r w:rsidR="009A32F9">
        <w:tab/>
      </w:r>
      <w:r w:rsidR="009A32F9">
        <w:tab/>
      </w:r>
      <w:r w:rsidR="009A32F9" w:rsidRPr="003B51F3">
        <w:rPr>
          <w:b/>
          <w:bCs/>
        </w:rPr>
        <w:t>342</w:t>
      </w:r>
    </w:p>
    <w:p w14:paraId="406939DA" w14:textId="2FADE942" w:rsidR="00D7230D" w:rsidRDefault="00D7230D" w:rsidP="00D7230D">
      <w:pPr>
        <w:spacing w:after="240" w:line="240" w:lineRule="auto"/>
      </w:pPr>
      <w:r>
        <w:t>Figure 29: Façade of Heybridge Farmhouse, Butley, Prestbury parish</w:t>
      </w:r>
      <w:r w:rsidR="009A32F9">
        <w:tab/>
      </w:r>
      <w:r w:rsidR="009A32F9">
        <w:tab/>
      </w:r>
      <w:r w:rsidR="009A32F9">
        <w:tab/>
      </w:r>
      <w:r w:rsidR="009A32F9" w:rsidRPr="003B51F3">
        <w:rPr>
          <w:b/>
          <w:bCs/>
        </w:rPr>
        <w:t>343</w:t>
      </w:r>
    </w:p>
    <w:p w14:paraId="1FDD44AD" w14:textId="454FD95A" w:rsidR="00D7230D" w:rsidRPr="00B5296D" w:rsidRDefault="00D7230D" w:rsidP="00D7230D">
      <w:pPr>
        <w:spacing w:after="240" w:line="240" w:lineRule="auto"/>
      </w:pPr>
      <w:r>
        <w:t xml:space="preserve">Figure 30: Initialled datestone at </w:t>
      </w:r>
      <w:r w:rsidRPr="00B5296D">
        <w:t>Heybridge Farmhouse, Butley, Prestbury parish</w:t>
      </w:r>
      <w:r w:rsidR="009A32F9">
        <w:tab/>
      </w:r>
      <w:r w:rsidR="009A32F9">
        <w:tab/>
      </w:r>
      <w:r w:rsidR="009A32F9" w:rsidRPr="003B51F3">
        <w:rPr>
          <w:b/>
          <w:bCs/>
        </w:rPr>
        <w:t>344</w:t>
      </w:r>
    </w:p>
    <w:p w14:paraId="06A06A95" w14:textId="6026762E" w:rsidR="00D7230D" w:rsidRDefault="00D7230D" w:rsidP="00D7230D">
      <w:pPr>
        <w:spacing w:after="240" w:line="240" w:lineRule="auto"/>
      </w:pPr>
      <w:r>
        <w:t xml:space="preserve">Figure 31: Dated hopper head at </w:t>
      </w:r>
      <w:r w:rsidRPr="00B5296D">
        <w:t>Heybridge Farmhouse, Butley, Prestbury parish</w:t>
      </w:r>
      <w:r w:rsidR="009A32F9">
        <w:tab/>
      </w:r>
      <w:r w:rsidR="009A32F9">
        <w:tab/>
      </w:r>
      <w:r w:rsidR="009A32F9" w:rsidRPr="003B51F3">
        <w:rPr>
          <w:b/>
          <w:bCs/>
        </w:rPr>
        <w:t>345</w:t>
      </w:r>
    </w:p>
    <w:p w14:paraId="53257F6A" w14:textId="08EB344A" w:rsidR="00D7230D" w:rsidRDefault="00D7230D" w:rsidP="00D7230D">
      <w:pPr>
        <w:spacing w:after="240" w:line="240" w:lineRule="auto"/>
      </w:pPr>
      <w:r>
        <w:t>Figure 32: Initialled hopper head at Eyam Hall, Derbyshire</w:t>
      </w:r>
      <w:r w:rsidR="009A32F9">
        <w:tab/>
      </w:r>
      <w:r w:rsidR="009A32F9">
        <w:tab/>
      </w:r>
      <w:r w:rsidR="009A32F9">
        <w:tab/>
      </w:r>
      <w:r w:rsidR="009A32F9">
        <w:tab/>
      </w:r>
      <w:r w:rsidR="009A32F9">
        <w:tab/>
      </w:r>
      <w:r w:rsidR="009A32F9" w:rsidRPr="003B51F3">
        <w:rPr>
          <w:b/>
          <w:bCs/>
        </w:rPr>
        <w:t>346</w:t>
      </w:r>
    </w:p>
    <w:p w14:paraId="6095E291" w14:textId="14F6A2C7" w:rsidR="00D7230D" w:rsidRDefault="00D7230D" w:rsidP="00D7230D">
      <w:pPr>
        <w:spacing w:after="240" w:line="240" w:lineRule="auto"/>
      </w:pPr>
      <w:r>
        <w:t>Figure 33: Initialled hopper head at Parliament Street, York</w:t>
      </w:r>
      <w:r w:rsidR="009A32F9">
        <w:tab/>
      </w:r>
      <w:r w:rsidR="009A32F9">
        <w:tab/>
      </w:r>
      <w:r w:rsidR="009A32F9">
        <w:tab/>
      </w:r>
      <w:r w:rsidR="009A32F9">
        <w:tab/>
      </w:r>
      <w:r w:rsidR="009A32F9">
        <w:tab/>
      </w:r>
      <w:r w:rsidR="009A32F9" w:rsidRPr="003B51F3">
        <w:rPr>
          <w:b/>
          <w:bCs/>
        </w:rPr>
        <w:t>347</w:t>
      </w:r>
    </w:p>
    <w:p w14:paraId="7121C571" w14:textId="02F8BE49" w:rsidR="00D7230D" w:rsidRDefault="00D7230D" w:rsidP="00D7230D">
      <w:pPr>
        <w:spacing w:after="240" w:line="240" w:lineRule="auto"/>
      </w:pPr>
      <w:r>
        <w:t>Figure 34: Initialled datestone at Yew Tree House, Butley, Prestbury parish</w:t>
      </w:r>
      <w:r w:rsidR="009A32F9">
        <w:tab/>
      </w:r>
      <w:r w:rsidR="009A32F9">
        <w:tab/>
      </w:r>
      <w:r w:rsidR="009A32F9" w:rsidRPr="003B51F3">
        <w:rPr>
          <w:b/>
          <w:bCs/>
        </w:rPr>
        <w:t>348</w:t>
      </w:r>
    </w:p>
    <w:p w14:paraId="37A0680D" w14:textId="677B2F2F" w:rsidR="00D7230D" w:rsidRDefault="00D7230D" w:rsidP="00D7230D">
      <w:pPr>
        <w:spacing w:after="240" w:line="240" w:lineRule="auto"/>
      </w:pPr>
      <w:r>
        <w:t>Figure 35: Subscription from the will of Elizabeth Wales of Bolton-le-Sands</w:t>
      </w:r>
      <w:r w:rsidR="009A32F9">
        <w:tab/>
      </w:r>
      <w:r w:rsidR="009A32F9">
        <w:tab/>
      </w:r>
      <w:r w:rsidR="009A32F9" w:rsidRPr="003B51F3">
        <w:rPr>
          <w:b/>
          <w:bCs/>
        </w:rPr>
        <w:t>349</w:t>
      </w:r>
    </w:p>
    <w:p w14:paraId="2B755219" w14:textId="4B5D1B73" w:rsidR="009A32F9" w:rsidRDefault="00D7230D" w:rsidP="009A32F9">
      <w:pPr>
        <w:spacing w:after="0" w:line="240" w:lineRule="auto"/>
      </w:pPr>
      <w:r>
        <w:t xml:space="preserve">Figure 36: Illustration of a Gloucestershire spice cupboard from Nat Alcock </w:t>
      </w:r>
      <w:r w:rsidR="009A32F9">
        <w:tab/>
      </w:r>
      <w:r w:rsidR="009A32F9">
        <w:tab/>
      </w:r>
      <w:r w:rsidR="009A32F9" w:rsidRPr="003B51F3">
        <w:rPr>
          <w:b/>
          <w:bCs/>
        </w:rPr>
        <w:t>350</w:t>
      </w:r>
    </w:p>
    <w:p w14:paraId="1FC4990F" w14:textId="7BCE1129" w:rsidR="00D7230D" w:rsidRDefault="00D7230D" w:rsidP="00D7230D">
      <w:pPr>
        <w:spacing w:after="240" w:line="240" w:lineRule="auto"/>
      </w:pPr>
      <w:r>
        <w:t xml:space="preserve">and Linda Hall’s </w:t>
      </w:r>
      <w:r w:rsidRPr="00954751">
        <w:rPr>
          <w:i/>
          <w:iCs/>
        </w:rPr>
        <w:t xml:space="preserve">Fixtures and Fittings in Dated Houses 1567-1763, </w:t>
      </w:r>
      <w:r w:rsidRPr="00954751">
        <w:t>(York, 1994)</w:t>
      </w:r>
    </w:p>
    <w:p w14:paraId="50A946D7" w14:textId="77777777" w:rsidR="009A32F9" w:rsidRDefault="009A32F9" w:rsidP="009A32F9">
      <w:pPr>
        <w:spacing w:after="0" w:line="240" w:lineRule="auto"/>
      </w:pPr>
    </w:p>
    <w:p w14:paraId="7A5EB163" w14:textId="0245F3DE" w:rsidR="009A32F9" w:rsidRDefault="00D7230D" w:rsidP="009A32F9">
      <w:pPr>
        <w:spacing w:after="0" w:line="240" w:lineRule="auto"/>
      </w:pPr>
      <w:r>
        <w:lastRenderedPageBreak/>
        <w:t>Figure 37: Illustration of an inscribed Westmoreland spice cupboard</w:t>
      </w:r>
      <w:r w:rsidRPr="00954751">
        <w:t xml:space="preserve"> from Nat </w:t>
      </w:r>
      <w:r w:rsidR="009A32F9">
        <w:tab/>
      </w:r>
      <w:r w:rsidR="009A32F9">
        <w:tab/>
      </w:r>
      <w:r w:rsidR="009A32F9" w:rsidRPr="003B51F3">
        <w:rPr>
          <w:b/>
          <w:bCs/>
        </w:rPr>
        <w:t>351</w:t>
      </w:r>
    </w:p>
    <w:p w14:paraId="5430A239" w14:textId="4DF2E597" w:rsidR="00D7230D" w:rsidRDefault="00D7230D" w:rsidP="00D7230D">
      <w:pPr>
        <w:spacing w:after="240" w:line="240" w:lineRule="auto"/>
      </w:pPr>
      <w:r w:rsidRPr="00954751">
        <w:t xml:space="preserve">Alcock and Linda Hall’s </w:t>
      </w:r>
      <w:r w:rsidRPr="00954751">
        <w:rPr>
          <w:i/>
          <w:iCs/>
        </w:rPr>
        <w:t xml:space="preserve">Fixtures and Fittings in Dated Houses 1567-1763, </w:t>
      </w:r>
      <w:r w:rsidRPr="00954751">
        <w:t>(York, 1994)</w:t>
      </w:r>
    </w:p>
    <w:p w14:paraId="604FB0CF" w14:textId="59D2AD0F" w:rsidR="009A32F9" w:rsidRDefault="00D7230D" w:rsidP="009A32F9">
      <w:pPr>
        <w:spacing w:after="0" w:line="240" w:lineRule="auto"/>
      </w:pPr>
      <w:r>
        <w:t xml:space="preserve">Figure 38: Illustration of an inscribed spice cupboard at Church Cottage, </w:t>
      </w:r>
      <w:r w:rsidR="009A32F9">
        <w:tab/>
      </w:r>
      <w:r w:rsidR="009A32F9">
        <w:tab/>
      </w:r>
      <w:r w:rsidR="009A32F9">
        <w:tab/>
      </w:r>
      <w:r w:rsidR="009A32F9" w:rsidRPr="003B51F3">
        <w:rPr>
          <w:b/>
          <w:bCs/>
        </w:rPr>
        <w:t>352</w:t>
      </w:r>
    </w:p>
    <w:p w14:paraId="4331866E" w14:textId="77777777" w:rsidR="009A32F9" w:rsidRDefault="00D7230D" w:rsidP="009A32F9">
      <w:pPr>
        <w:spacing w:after="0" w:line="240" w:lineRule="auto"/>
        <w:rPr>
          <w:i/>
          <w:iCs/>
        </w:rPr>
      </w:pPr>
      <w:r>
        <w:t xml:space="preserve">Bolton-le-Sands from Emmeline Garnett’s </w:t>
      </w:r>
      <w:r w:rsidRPr="000932B1">
        <w:rPr>
          <w:i/>
          <w:iCs/>
        </w:rPr>
        <w:t>The Dated Buildings of South Lonsdale,</w:t>
      </w:r>
    </w:p>
    <w:p w14:paraId="68CC5360" w14:textId="090F92FB" w:rsidR="00D7230D" w:rsidRDefault="00D7230D" w:rsidP="00D7230D">
      <w:pPr>
        <w:spacing w:after="240" w:line="240" w:lineRule="auto"/>
      </w:pPr>
      <w:r w:rsidRPr="000932B1">
        <w:t>(Lancaster, 1994)</w:t>
      </w:r>
    </w:p>
    <w:p w14:paraId="0F880997" w14:textId="1F6E70F2" w:rsidR="00E25BE5" w:rsidRDefault="00D7230D" w:rsidP="00E25BE5">
      <w:pPr>
        <w:spacing w:after="0" w:line="240" w:lineRule="auto"/>
      </w:pPr>
      <w:r>
        <w:t>Figure 39: Inscribed cupboard</w:t>
      </w:r>
      <w:r w:rsidRPr="00EE1DC4">
        <w:t xml:space="preserve"> </w:t>
      </w:r>
      <w:r>
        <w:t xml:space="preserve">at </w:t>
      </w:r>
      <w:r w:rsidRPr="00EE1DC4">
        <w:t xml:space="preserve">the Manor House, Slyne-with-Hest, </w:t>
      </w:r>
      <w:r w:rsidR="00E25BE5">
        <w:tab/>
      </w:r>
      <w:r w:rsidR="00E25BE5">
        <w:tab/>
      </w:r>
      <w:r w:rsidR="00E25BE5">
        <w:tab/>
      </w:r>
      <w:r w:rsidR="00E25BE5" w:rsidRPr="003B51F3">
        <w:rPr>
          <w:b/>
          <w:bCs/>
        </w:rPr>
        <w:t>353</w:t>
      </w:r>
    </w:p>
    <w:p w14:paraId="01A76E95" w14:textId="1E070CF0" w:rsidR="00D7230D" w:rsidRDefault="00D7230D" w:rsidP="00D7230D">
      <w:pPr>
        <w:spacing w:after="240" w:line="240" w:lineRule="auto"/>
      </w:pPr>
      <w:r w:rsidRPr="00EE1DC4">
        <w:t>Bolton-le-Sands parish</w:t>
      </w:r>
    </w:p>
    <w:p w14:paraId="0C1D6C17" w14:textId="5E56945B" w:rsidR="00E25BE5" w:rsidRDefault="00D7230D" w:rsidP="00E25BE5">
      <w:pPr>
        <w:spacing w:after="0" w:line="240" w:lineRule="auto"/>
      </w:pPr>
      <w:r>
        <w:t>Figure 40: Detail of the i</w:t>
      </w:r>
      <w:r w:rsidRPr="0094739E">
        <w:t xml:space="preserve">nscribed cupboard at the Manor House, Slyne-with-Hest, </w:t>
      </w:r>
      <w:r w:rsidR="00E25BE5">
        <w:tab/>
      </w:r>
      <w:r w:rsidR="00E25BE5" w:rsidRPr="003B51F3">
        <w:rPr>
          <w:b/>
          <w:bCs/>
        </w:rPr>
        <w:t>354</w:t>
      </w:r>
    </w:p>
    <w:p w14:paraId="0F4A0267" w14:textId="70E49462" w:rsidR="00D7230D" w:rsidRDefault="00D7230D" w:rsidP="00D7230D">
      <w:pPr>
        <w:spacing w:after="240" w:line="240" w:lineRule="auto"/>
      </w:pPr>
      <w:r w:rsidRPr="0094739E">
        <w:t>Bolton-le-Sands parish</w:t>
      </w:r>
    </w:p>
    <w:p w14:paraId="254AECB5" w14:textId="153551DD" w:rsidR="00D7230D" w:rsidRDefault="00D7230D" w:rsidP="00D7230D">
      <w:pPr>
        <w:spacing w:after="240" w:line="240" w:lineRule="auto"/>
      </w:pPr>
      <w:r>
        <w:t>Figure 41: Illustration of an inscribed Lancastrian press cupboard</w:t>
      </w:r>
      <w:r w:rsidR="00E25BE5">
        <w:tab/>
      </w:r>
      <w:r w:rsidR="00E25BE5">
        <w:tab/>
      </w:r>
      <w:r w:rsidR="00E25BE5">
        <w:tab/>
      </w:r>
      <w:r w:rsidR="00E25BE5">
        <w:tab/>
      </w:r>
      <w:r w:rsidR="00E25BE5" w:rsidRPr="003B51F3">
        <w:rPr>
          <w:b/>
          <w:bCs/>
        </w:rPr>
        <w:t>355</w:t>
      </w:r>
    </w:p>
    <w:p w14:paraId="3A30F401" w14:textId="73EE65D0" w:rsidR="00E25BE5" w:rsidRDefault="00D7230D" w:rsidP="00E25BE5">
      <w:pPr>
        <w:spacing w:after="0" w:line="240" w:lineRule="auto"/>
      </w:pPr>
      <w:r>
        <w:t xml:space="preserve">Figure 42: Illustration of a </w:t>
      </w:r>
      <w:proofErr w:type="gramStart"/>
      <w:r>
        <w:t>partially-completed</w:t>
      </w:r>
      <w:proofErr w:type="gramEnd"/>
      <w:r>
        <w:t xml:space="preserve"> inscription on a </w:t>
      </w:r>
      <w:r w:rsidR="00E25BE5">
        <w:tab/>
      </w:r>
      <w:r w:rsidR="00E25BE5">
        <w:tab/>
      </w:r>
      <w:r w:rsidR="00E25BE5">
        <w:tab/>
      </w:r>
      <w:r w:rsidR="00E25BE5">
        <w:tab/>
      </w:r>
      <w:r w:rsidR="00AF12D9" w:rsidRPr="003B51F3">
        <w:rPr>
          <w:b/>
          <w:bCs/>
        </w:rPr>
        <w:t>356</w:t>
      </w:r>
    </w:p>
    <w:p w14:paraId="46679F14" w14:textId="39923CBD" w:rsidR="00D7230D" w:rsidRDefault="00D7230D" w:rsidP="00D7230D">
      <w:pPr>
        <w:spacing w:after="240" w:line="240" w:lineRule="auto"/>
      </w:pPr>
      <w:r>
        <w:t>mid-seventeenth-century cupboard</w:t>
      </w:r>
    </w:p>
    <w:p w14:paraId="104E90C2" w14:textId="6A9B0386" w:rsidR="00D7230D" w:rsidRPr="00AE6656" w:rsidRDefault="00D7230D" w:rsidP="00D7230D">
      <w:pPr>
        <w:spacing w:after="240" w:line="240" w:lineRule="auto"/>
      </w:pPr>
      <w:r>
        <w:t xml:space="preserve">Figure 43: Detail of the inscribed fireplace at </w:t>
      </w:r>
      <w:r w:rsidRPr="00AE6656">
        <w:t>Cobblers’ Lodge, Bolton-le-Sands</w:t>
      </w:r>
      <w:r w:rsidR="00AF12D9">
        <w:tab/>
      </w:r>
      <w:r w:rsidR="00AF12D9">
        <w:tab/>
      </w:r>
      <w:r w:rsidR="00AF12D9" w:rsidRPr="003B51F3">
        <w:rPr>
          <w:b/>
          <w:bCs/>
        </w:rPr>
        <w:t>357</w:t>
      </w:r>
    </w:p>
    <w:p w14:paraId="31140D09" w14:textId="1CD44751" w:rsidR="00D7230D" w:rsidRDefault="00D7230D" w:rsidP="00D7230D">
      <w:pPr>
        <w:spacing w:after="240" w:line="240" w:lineRule="auto"/>
      </w:pPr>
      <w:r>
        <w:t xml:space="preserve">Figure 44: Detail of the inscribed entryway at </w:t>
      </w:r>
      <w:proofErr w:type="spellStart"/>
      <w:r>
        <w:t>McGaffigans</w:t>
      </w:r>
      <w:proofErr w:type="spellEnd"/>
      <w:r>
        <w:t xml:space="preserve"> Yard, Bolton-le-Sands</w:t>
      </w:r>
      <w:r w:rsidR="00AF12D9">
        <w:tab/>
      </w:r>
      <w:r w:rsidR="00AF12D9">
        <w:tab/>
      </w:r>
      <w:r w:rsidR="00AF12D9" w:rsidRPr="003B51F3">
        <w:rPr>
          <w:b/>
          <w:bCs/>
        </w:rPr>
        <w:t>358</w:t>
      </w:r>
    </w:p>
    <w:p w14:paraId="6944F2B3" w14:textId="2790B0CE" w:rsidR="00D7230D" w:rsidRPr="00AE6656" w:rsidRDefault="00D7230D" w:rsidP="00D7230D">
      <w:pPr>
        <w:spacing w:after="240" w:line="240" w:lineRule="auto"/>
      </w:pPr>
      <w:r>
        <w:t xml:space="preserve">Figure 45: Façade </w:t>
      </w:r>
      <w:r w:rsidRPr="00AE6656">
        <w:t xml:space="preserve">at </w:t>
      </w:r>
      <w:proofErr w:type="spellStart"/>
      <w:r w:rsidRPr="00AE6656">
        <w:t>McGaffigans</w:t>
      </w:r>
      <w:proofErr w:type="spellEnd"/>
      <w:r w:rsidRPr="00AE6656">
        <w:t xml:space="preserve"> Yard, Bolton-le-Sands</w:t>
      </w:r>
      <w:r w:rsidR="00AF12D9">
        <w:tab/>
      </w:r>
      <w:r w:rsidR="00AF12D9">
        <w:tab/>
      </w:r>
      <w:r w:rsidR="00AF12D9">
        <w:tab/>
      </w:r>
      <w:r w:rsidR="00AF12D9">
        <w:tab/>
      </w:r>
      <w:r w:rsidR="00AF12D9">
        <w:tab/>
      </w:r>
      <w:r w:rsidR="00AF12D9" w:rsidRPr="003B51F3">
        <w:rPr>
          <w:b/>
          <w:bCs/>
        </w:rPr>
        <w:t>359</w:t>
      </w:r>
    </w:p>
    <w:p w14:paraId="151FB477" w14:textId="03225949" w:rsidR="00D7230D" w:rsidRDefault="00D7230D" w:rsidP="00D7230D">
      <w:pPr>
        <w:spacing w:after="240" w:line="240" w:lineRule="auto"/>
      </w:pPr>
      <w:r>
        <w:t>Figure 46: Datestone at Arnold House, Corsham, Wiltshire</w:t>
      </w:r>
      <w:r w:rsidR="00AF12D9">
        <w:tab/>
      </w:r>
      <w:r w:rsidR="00AF12D9">
        <w:tab/>
      </w:r>
      <w:r w:rsidR="00AF12D9">
        <w:tab/>
      </w:r>
      <w:r w:rsidR="00AF12D9">
        <w:tab/>
      </w:r>
      <w:r w:rsidR="00AF12D9">
        <w:tab/>
      </w:r>
      <w:r w:rsidR="00AF12D9" w:rsidRPr="003B51F3">
        <w:rPr>
          <w:b/>
          <w:bCs/>
        </w:rPr>
        <w:t>360</w:t>
      </w:r>
    </w:p>
    <w:p w14:paraId="7C5B013C" w14:textId="1C6A4D38" w:rsidR="00D7230D" w:rsidRDefault="00D7230D" w:rsidP="00D7230D">
      <w:pPr>
        <w:spacing w:after="240" w:line="240" w:lineRule="auto"/>
      </w:pPr>
      <w:r>
        <w:t xml:space="preserve">Figure 47: Initialled hopper head at the Manor House, </w:t>
      </w:r>
      <w:proofErr w:type="spellStart"/>
      <w:r>
        <w:t>Bracondale</w:t>
      </w:r>
      <w:proofErr w:type="spellEnd"/>
      <w:r>
        <w:t>, Norwich</w:t>
      </w:r>
      <w:r w:rsidR="00AF12D9">
        <w:tab/>
      </w:r>
      <w:r w:rsidR="00AF12D9">
        <w:tab/>
      </w:r>
      <w:r w:rsidR="00AF12D9" w:rsidRPr="003B51F3">
        <w:rPr>
          <w:b/>
          <w:bCs/>
        </w:rPr>
        <w:t>361</w:t>
      </w:r>
    </w:p>
    <w:p w14:paraId="4A4B49FD" w14:textId="3ECA1B72" w:rsidR="00D7230D" w:rsidRDefault="00D7230D" w:rsidP="00D7230D">
      <w:pPr>
        <w:spacing w:after="240" w:line="240" w:lineRule="auto"/>
      </w:pPr>
      <w:r>
        <w:t>Figure 48: Inscribed entryway at 12 High Street, Galway</w:t>
      </w:r>
      <w:r w:rsidR="00AF12D9">
        <w:tab/>
      </w:r>
      <w:r w:rsidR="00AF12D9">
        <w:tab/>
      </w:r>
      <w:r w:rsidR="00AF12D9">
        <w:tab/>
      </w:r>
      <w:r w:rsidR="00AF12D9">
        <w:tab/>
      </w:r>
      <w:r w:rsidR="00AF12D9">
        <w:tab/>
      </w:r>
      <w:r w:rsidR="00AF12D9" w:rsidRPr="003B51F3">
        <w:rPr>
          <w:b/>
          <w:bCs/>
        </w:rPr>
        <w:t>362</w:t>
      </w:r>
    </w:p>
    <w:p w14:paraId="45625E07" w14:textId="30E1C08A" w:rsidR="00D7230D" w:rsidRDefault="00D7230D" w:rsidP="00D7230D">
      <w:pPr>
        <w:spacing w:after="240" w:line="240" w:lineRule="auto"/>
      </w:pPr>
      <w:r>
        <w:t>Figure 49: Inscribed entryway at New Capernwray Farmhouse, Bolton-le-Sands</w:t>
      </w:r>
      <w:r w:rsidR="00AF12D9">
        <w:tab/>
      </w:r>
      <w:r w:rsidR="00AF12D9">
        <w:tab/>
      </w:r>
      <w:r w:rsidR="00AF12D9" w:rsidRPr="003B51F3">
        <w:rPr>
          <w:b/>
          <w:bCs/>
        </w:rPr>
        <w:t>363</w:t>
      </w:r>
    </w:p>
    <w:p w14:paraId="3CCBA8BB" w14:textId="39339267" w:rsidR="00AF12D9" w:rsidRDefault="00D7230D" w:rsidP="00AF12D9">
      <w:pPr>
        <w:spacing w:after="0" w:line="240" w:lineRule="auto"/>
      </w:pPr>
      <w:r>
        <w:t xml:space="preserve">Figure 50: Illustration of the astrological symbol for cancer from Joseph Moxon’s </w:t>
      </w:r>
      <w:r w:rsidR="00AF12D9">
        <w:tab/>
      </w:r>
      <w:r w:rsidR="00AF12D9">
        <w:tab/>
      </w:r>
      <w:r w:rsidR="00AF12D9" w:rsidRPr="003B51F3">
        <w:rPr>
          <w:b/>
          <w:bCs/>
        </w:rPr>
        <w:t>364</w:t>
      </w:r>
    </w:p>
    <w:p w14:paraId="69BE1AB1" w14:textId="5FA44A85" w:rsidR="00D7230D" w:rsidRDefault="00D7230D" w:rsidP="00D7230D">
      <w:pPr>
        <w:spacing w:after="240" w:line="240" w:lineRule="auto"/>
      </w:pPr>
      <w:r w:rsidRPr="00F86138">
        <w:rPr>
          <w:i/>
          <w:iCs/>
        </w:rPr>
        <w:t xml:space="preserve">A tutor to astronomy and geography, </w:t>
      </w:r>
      <w:r w:rsidRPr="00F86138">
        <w:t>(London, 1698</w:t>
      </w:r>
      <w:r>
        <w:t>)</w:t>
      </w:r>
    </w:p>
    <w:p w14:paraId="3D12E493" w14:textId="5B7B6701" w:rsidR="00D7230D" w:rsidRDefault="00D7230D" w:rsidP="00D7230D">
      <w:pPr>
        <w:spacing w:after="240" w:line="240" w:lineRule="auto"/>
      </w:pPr>
      <w:r>
        <w:t>Figure 51: Inscribed entryway at Hawkshead Farmhouse, Bolton-le-Sands</w:t>
      </w:r>
      <w:r w:rsidR="00AF12D9">
        <w:tab/>
      </w:r>
      <w:r w:rsidR="00AF12D9">
        <w:tab/>
      </w:r>
      <w:r w:rsidR="00AF12D9">
        <w:tab/>
      </w:r>
      <w:r w:rsidR="00AF12D9" w:rsidRPr="003B51F3">
        <w:rPr>
          <w:b/>
          <w:bCs/>
        </w:rPr>
        <w:t>365</w:t>
      </w:r>
    </w:p>
    <w:p w14:paraId="18D7A0F0" w14:textId="25E94FB8" w:rsidR="00D7230D" w:rsidRDefault="00D7230D" w:rsidP="00D7230D">
      <w:pPr>
        <w:spacing w:after="240" w:line="240" w:lineRule="auto"/>
      </w:pPr>
      <w:r>
        <w:t>Figure 52: Inscribed entryway at Hall Farmhouse, Over Kellet, Bolton-le-Sands</w:t>
      </w:r>
      <w:r w:rsidR="00AF12D9">
        <w:tab/>
      </w:r>
      <w:r w:rsidR="00AF12D9">
        <w:tab/>
      </w:r>
      <w:r w:rsidR="00AF12D9" w:rsidRPr="003B51F3">
        <w:rPr>
          <w:b/>
          <w:bCs/>
        </w:rPr>
        <w:t>366</w:t>
      </w:r>
    </w:p>
    <w:p w14:paraId="2345E03F" w14:textId="2451DCB5" w:rsidR="00D7230D" w:rsidRDefault="00D7230D" w:rsidP="00D7230D">
      <w:pPr>
        <w:spacing w:after="240" w:line="240" w:lineRule="auto"/>
      </w:pPr>
      <w:r>
        <w:t>Figure 53: Inscribed entryway at Old Edge, Heptonstall, West Yorkshire</w:t>
      </w:r>
      <w:r w:rsidR="00AF12D9">
        <w:tab/>
      </w:r>
      <w:r w:rsidR="00AF12D9">
        <w:tab/>
      </w:r>
      <w:r w:rsidR="00AF12D9">
        <w:tab/>
      </w:r>
      <w:r w:rsidR="00AF12D9" w:rsidRPr="003B51F3">
        <w:rPr>
          <w:b/>
          <w:bCs/>
        </w:rPr>
        <w:t>367</w:t>
      </w:r>
    </w:p>
    <w:p w14:paraId="4AB8882F" w14:textId="6E992F05" w:rsidR="00D7230D" w:rsidRDefault="00D7230D" w:rsidP="00D7230D">
      <w:pPr>
        <w:spacing w:after="240" w:line="240" w:lineRule="auto"/>
      </w:pPr>
      <w:r>
        <w:t xml:space="preserve">Figure 54: Datestone at Old World Cottages, </w:t>
      </w:r>
      <w:proofErr w:type="spellStart"/>
      <w:r>
        <w:t>Rollesby</w:t>
      </w:r>
      <w:proofErr w:type="spellEnd"/>
      <w:r>
        <w:t>, Norfolk</w:t>
      </w:r>
      <w:r w:rsidR="00AF12D9">
        <w:tab/>
      </w:r>
      <w:r w:rsidR="00AF12D9">
        <w:tab/>
      </w:r>
      <w:r w:rsidR="00AF12D9">
        <w:tab/>
      </w:r>
      <w:r w:rsidR="00AF12D9">
        <w:tab/>
      </w:r>
      <w:r w:rsidR="00AF12D9" w:rsidRPr="003B51F3">
        <w:rPr>
          <w:b/>
          <w:bCs/>
        </w:rPr>
        <w:t>368</w:t>
      </w:r>
    </w:p>
    <w:p w14:paraId="244D4EDD" w14:textId="76857FAC" w:rsidR="00D7230D" w:rsidRDefault="00D7230D" w:rsidP="00D7230D">
      <w:pPr>
        <w:spacing w:after="240" w:line="240" w:lineRule="auto"/>
      </w:pPr>
      <w:r>
        <w:t>Figure 55: Datestone at Drove Hey Farmhouse, Sutton, Prestbury parish</w:t>
      </w:r>
      <w:r w:rsidR="00AF12D9">
        <w:tab/>
      </w:r>
      <w:r w:rsidR="00AF12D9">
        <w:tab/>
      </w:r>
      <w:r w:rsidR="00AF12D9">
        <w:tab/>
      </w:r>
      <w:r w:rsidR="00AF12D9" w:rsidRPr="003B51F3">
        <w:rPr>
          <w:b/>
          <w:bCs/>
        </w:rPr>
        <w:t>369</w:t>
      </w:r>
    </w:p>
    <w:p w14:paraId="44D73B51" w14:textId="21E0E3B8" w:rsidR="00D7230D" w:rsidRDefault="00D7230D" w:rsidP="00D7230D">
      <w:pPr>
        <w:spacing w:after="240" w:line="240" w:lineRule="auto"/>
      </w:pPr>
      <w:r>
        <w:t xml:space="preserve">Figure 56: Façade at </w:t>
      </w:r>
      <w:r w:rsidRPr="00C81D89">
        <w:t>Drove Hey Farmhouse, Sutton, Prestbury parish</w:t>
      </w:r>
      <w:r w:rsidR="00AF12D9">
        <w:tab/>
      </w:r>
      <w:r w:rsidR="00AF12D9">
        <w:tab/>
      </w:r>
      <w:r w:rsidR="00AF12D9">
        <w:tab/>
      </w:r>
      <w:r w:rsidR="00AF12D9" w:rsidRPr="003B51F3">
        <w:rPr>
          <w:b/>
          <w:bCs/>
        </w:rPr>
        <w:t>370</w:t>
      </w:r>
    </w:p>
    <w:p w14:paraId="100B73C3" w14:textId="12C5727B" w:rsidR="00D7230D" w:rsidRDefault="00D7230D" w:rsidP="00D7230D">
      <w:pPr>
        <w:spacing w:after="240" w:line="240" w:lineRule="auto"/>
      </w:pPr>
      <w:r>
        <w:t>Figure 57: Datestone at Greendale House, Kettleshulme, Prestbury parish</w:t>
      </w:r>
      <w:r w:rsidR="00AF12D9">
        <w:tab/>
      </w:r>
      <w:r w:rsidR="00AF12D9">
        <w:tab/>
      </w:r>
      <w:r w:rsidR="00AF12D9">
        <w:tab/>
      </w:r>
      <w:r w:rsidR="00AF12D9" w:rsidRPr="003B51F3">
        <w:rPr>
          <w:b/>
          <w:bCs/>
        </w:rPr>
        <w:t>371</w:t>
      </w:r>
    </w:p>
    <w:p w14:paraId="2264B172" w14:textId="3A1EABCE" w:rsidR="00D7230D" w:rsidRDefault="00D7230D" w:rsidP="00D7230D">
      <w:pPr>
        <w:spacing w:after="240" w:line="240" w:lineRule="auto"/>
      </w:pPr>
      <w:r>
        <w:t>Figure 58: Datestone at the Malthouse, Slyne-with-Hest, Bolton-le-Sands parish</w:t>
      </w:r>
      <w:r w:rsidR="00AF12D9">
        <w:tab/>
      </w:r>
      <w:r w:rsidR="00AF12D9">
        <w:tab/>
      </w:r>
      <w:r w:rsidR="00AF12D9" w:rsidRPr="003B51F3">
        <w:rPr>
          <w:b/>
          <w:bCs/>
        </w:rPr>
        <w:t>372</w:t>
      </w:r>
    </w:p>
    <w:p w14:paraId="0BF81F56" w14:textId="18DCC957" w:rsidR="00D7230D" w:rsidRDefault="00D7230D" w:rsidP="00D7230D">
      <w:pPr>
        <w:spacing w:after="240" w:line="240" w:lineRule="auto"/>
      </w:pPr>
      <w:r>
        <w:lastRenderedPageBreak/>
        <w:t>Figure 59: Datestone at Thorneycroft Farmhouse, Kettleshulme, Prestbury parish</w:t>
      </w:r>
      <w:r w:rsidR="00AF12D9">
        <w:tab/>
      </w:r>
      <w:r w:rsidR="00AF12D9">
        <w:tab/>
      </w:r>
      <w:r w:rsidR="00AF12D9" w:rsidRPr="003B51F3">
        <w:rPr>
          <w:b/>
          <w:bCs/>
        </w:rPr>
        <w:t>373</w:t>
      </w:r>
    </w:p>
    <w:p w14:paraId="48D6CD34" w14:textId="78FEAFB8" w:rsidR="00D7230D" w:rsidRDefault="00D7230D" w:rsidP="00D7230D">
      <w:pPr>
        <w:spacing w:after="240" w:line="240" w:lineRule="auto"/>
      </w:pPr>
      <w:r>
        <w:t xml:space="preserve">Figure 60: Inscribed entryway at </w:t>
      </w:r>
      <w:proofErr w:type="spellStart"/>
      <w:r>
        <w:t>Kirkhouse</w:t>
      </w:r>
      <w:proofErr w:type="spellEnd"/>
      <w:r>
        <w:t>, Capernwray, Bolton-le-Sands parish</w:t>
      </w:r>
      <w:r w:rsidR="00AF12D9">
        <w:tab/>
      </w:r>
      <w:r w:rsidR="00AF12D9">
        <w:tab/>
      </w:r>
      <w:r w:rsidR="00AF12D9" w:rsidRPr="003B51F3">
        <w:rPr>
          <w:b/>
          <w:bCs/>
        </w:rPr>
        <w:t>374</w:t>
      </w:r>
    </w:p>
    <w:p w14:paraId="185ADA01" w14:textId="47CAFD7D" w:rsidR="00AF12D9" w:rsidRPr="00AF12D9" w:rsidRDefault="00D7230D" w:rsidP="00AF12D9">
      <w:pPr>
        <w:spacing w:after="0" w:line="240" w:lineRule="auto"/>
        <w:rPr>
          <w:b/>
          <w:bCs/>
        </w:rPr>
      </w:pPr>
      <w:r>
        <w:t xml:space="preserve">Figure 61: Illustration of an astrological chart from </w:t>
      </w:r>
      <w:r w:rsidRPr="005F6022">
        <w:t xml:space="preserve">Julius </w:t>
      </w:r>
      <w:proofErr w:type="spellStart"/>
      <w:r w:rsidRPr="005F6022">
        <w:t>Firmicus</w:t>
      </w:r>
      <w:proofErr w:type="spellEnd"/>
      <w:r>
        <w:t>’</w:t>
      </w:r>
      <w:r w:rsidRPr="005F6022">
        <w:t xml:space="preserve"> </w:t>
      </w:r>
      <w:proofErr w:type="spellStart"/>
      <w:r w:rsidRPr="005F6022">
        <w:rPr>
          <w:i/>
          <w:iCs/>
        </w:rPr>
        <w:t>Materni</w:t>
      </w:r>
      <w:proofErr w:type="spellEnd"/>
      <w:r w:rsidRPr="005F6022">
        <w:rPr>
          <w:i/>
          <w:iCs/>
        </w:rPr>
        <w:t xml:space="preserve"> </w:t>
      </w:r>
      <w:r w:rsidR="00AF12D9">
        <w:rPr>
          <w:i/>
          <w:iCs/>
        </w:rPr>
        <w:tab/>
      </w:r>
      <w:r w:rsidR="00AF12D9">
        <w:rPr>
          <w:i/>
          <w:iCs/>
        </w:rPr>
        <w:tab/>
      </w:r>
      <w:r w:rsidR="00AF12D9">
        <w:rPr>
          <w:b/>
          <w:bCs/>
        </w:rPr>
        <w:t>375</w:t>
      </w:r>
    </w:p>
    <w:p w14:paraId="738B2F1C" w14:textId="5DA83089" w:rsidR="00D7230D" w:rsidRDefault="00D7230D" w:rsidP="00D7230D">
      <w:pPr>
        <w:spacing w:after="240" w:line="240" w:lineRule="auto"/>
      </w:pPr>
      <w:proofErr w:type="spellStart"/>
      <w:r w:rsidRPr="005F6022">
        <w:rPr>
          <w:i/>
          <w:iCs/>
        </w:rPr>
        <w:t>Iunioris</w:t>
      </w:r>
      <w:proofErr w:type="spellEnd"/>
      <w:r w:rsidRPr="005F6022">
        <w:rPr>
          <w:i/>
          <w:iCs/>
        </w:rPr>
        <w:t xml:space="preserve"> </w:t>
      </w:r>
      <w:proofErr w:type="spellStart"/>
      <w:r w:rsidRPr="005F6022">
        <w:rPr>
          <w:i/>
          <w:iCs/>
        </w:rPr>
        <w:t>Siculi</w:t>
      </w:r>
      <w:proofErr w:type="spellEnd"/>
      <w:r w:rsidRPr="005F6022">
        <w:rPr>
          <w:i/>
          <w:iCs/>
        </w:rPr>
        <w:t xml:space="preserve"> V. C. ad </w:t>
      </w:r>
      <w:proofErr w:type="spellStart"/>
      <w:r w:rsidRPr="005F6022">
        <w:rPr>
          <w:i/>
          <w:iCs/>
        </w:rPr>
        <w:t>Mauortium</w:t>
      </w:r>
      <w:proofErr w:type="spellEnd"/>
      <w:r w:rsidRPr="005F6022">
        <w:rPr>
          <w:i/>
          <w:iCs/>
        </w:rPr>
        <w:t xml:space="preserve"> </w:t>
      </w:r>
      <w:proofErr w:type="spellStart"/>
      <w:r w:rsidRPr="005F6022">
        <w:rPr>
          <w:i/>
          <w:iCs/>
        </w:rPr>
        <w:t>Lollianum</w:t>
      </w:r>
      <w:proofErr w:type="spellEnd"/>
      <w:r w:rsidRPr="005F6022">
        <w:rPr>
          <w:i/>
          <w:iCs/>
        </w:rPr>
        <w:t xml:space="preserve"> </w:t>
      </w:r>
      <w:proofErr w:type="spellStart"/>
      <w:r w:rsidRPr="005F6022">
        <w:rPr>
          <w:i/>
          <w:iCs/>
        </w:rPr>
        <w:t>Astronomicon</w:t>
      </w:r>
      <w:proofErr w:type="spellEnd"/>
      <w:r w:rsidRPr="005F6022">
        <w:rPr>
          <w:i/>
          <w:iCs/>
        </w:rPr>
        <w:t xml:space="preserve">, </w:t>
      </w:r>
      <w:r w:rsidRPr="005F6022">
        <w:t>(Rome, 1551)</w:t>
      </w:r>
    </w:p>
    <w:p w14:paraId="3D9B429A" w14:textId="086EBE57" w:rsidR="00D7230D" w:rsidRDefault="00D7230D" w:rsidP="00D7230D">
      <w:pPr>
        <w:spacing w:after="240" w:line="240" w:lineRule="auto"/>
      </w:pPr>
      <w:r>
        <w:t xml:space="preserve">Figure 62: Inscribed fireplace at Postgate Farm, </w:t>
      </w:r>
      <w:proofErr w:type="spellStart"/>
      <w:r>
        <w:t>Glaisdale</w:t>
      </w:r>
      <w:proofErr w:type="spellEnd"/>
      <w:r>
        <w:t>, North Yorkshire</w:t>
      </w:r>
      <w:r w:rsidR="00AF12D9">
        <w:tab/>
      </w:r>
      <w:r w:rsidR="00AF12D9">
        <w:tab/>
      </w:r>
      <w:r w:rsidR="00AF12D9">
        <w:tab/>
      </w:r>
      <w:r w:rsidR="00AF12D9" w:rsidRPr="003B51F3">
        <w:rPr>
          <w:b/>
          <w:bCs/>
        </w:rPr>
        <w:t>376</w:t>
      </w:r>
    </w:p>
    <w:p w14:paraId="0856EA7C" w14:textId="773280CC" w:rsidR="00D7230D" w:rsidRDefault="00D7230D" w:rsidP="00D7230D">
      <w:pPr>
        <w:spacing w:after="240" w:line="240" w:lineRule="auto"/>
      </w:pPr>
      <w:r>
        <w:t>Figure 63: Initialled hopper head at Bollington, Prestbury parish</w:t>
      </w:r>
      <w:r w:rsidR="00AF12D9">
        <w:tab/>
      </w:r>
      <w:r w:rsidR="00AF12D9">
        <w:tab/>
      </w:r>
      <w:r w:rsidR="00AF12D9">
        <w:tab/>
      </w:r>
      <w:r w:rsidR="00AF12D9">
        <w:tab/>
      </w:r>
      <w:r w:rsidR="00AF12D9" w:rsidRPr="003B51F3">
        <w:rPr>
          <w:b/>
          <w:bCs/>
        </w:rPr>
        <w:t>377</w:t>
      </w:r>
    </w:p>
    <w:p w14:paraId="096E570A" w14:textId="06538CA8" w:rsidR="00D7230D" w:rsidRDefault="00D7230D" w:rsidP="00D7230D">
      <w:pPr>
        <w:spacing w:after="240" w:line="240" w:lineRule="auto"/>
      </w:pPr>
      <w:r>
        <w:t xml:space="preserve">Figure 64: </w:t>
      </w:r>
      <w:r w:rsidRPr="005F6022">
        <w:t>Initialled hopper head</w:t>
      </w:r>
      <w:r>
        <w:t xml:space="preserve"> at Lyme Hall, Disley, Cheshire</w:t>
      </w:r>
      <w:r w:rsidR="00AF12D9">
        <w:tab/>
      </w:r>
      <w:r w:rsidR="00AF12D9">
        <w:tab/>
      </w:r>
      <w:r w:rsidR="00AF12D9">
        <w:tab/>
      </w:r>
      <w:r w:rsidR="00AF12D9">
        <w:tab/>
      </w:r>
      <w:r w:rsidR="00AF12D9" w:rsidRPr="003B51F3">
        <w:rPr>
          <w:b/>
          <w:bCs/>
        </w:rPr>
        <w:t>378</w:t>
      </w:r>
    </w:p>
    <w:p w14:paraId="690DD2C0" w14:textId="599DE5DD" w:rsidR="00D7230D" w:rsidRDefault="00D7230D" w:rsidP="00D7230D">
      <w:pPr>
        <w:spacing w:after="240" w:line="240" w:lineRule="auto"/>
      </w:pPr>
      <w:r w:rsidRPr="005F6022">
        <w:t>Figure 6</w:t>
      </w:r>
      <w:r>
        <w:t>5</w:t>
      </w:r>
      <w:r w:rsidRPr="005F6022">
        <w:t xml:space="preserve">: </w:t>
      </w:r>
      <w:r>
        <w:t>Dat</w:t>
      </w:r>
      <w:r w:rsidRPr="005F6022">
        <w:t>ed hopper head at Lyme Hall, Disley, Cheshire</w:t>
      </w:r>
      <w:r w:rsidR="00AF12D9">
        <w:tab/>
      </w:r>
      <w:r w:rsidR="00AF12D9">
        <w:tab/>
      </w:r>
      <w:r w:rsidR="00AF12D9">
        <w:tab/>
      </w:r>
      <w:r w:rsidR="00AF12D9">
        <w:tab/>
      </w:r>
      <w:r w:rsidR="00AF12D9" w:rsidRPr="003B51F3">
        <w:rPr>
          <w:b/>
          <w:bCs/>
        </w:rPr>
        <w:t>379</w:t>
      </w:r>
    </w:p>
    <w:p w14:paraId="525B11D3" w14:textId="562EE72A" w:rsidR="00D7230D" w:rsidRDefault="00D7230D" w:rsidP="00D7230D">
      <w:pPr>
        <w:spacing w:after="240" w:line="240" w:lineRule="auto"/>
      </w:pPr>
      <w:r>
        <w:t xml:space="preserve">Figure 66: Datestone at </w:t>
      </w:r>
      <w:r w:rsidRPr="002D0F90">
        <w:t>The Dukes Head, Great Yarmouth, Norfolk</w:t>
      </w:r>
      <w:r w:rsidR="00AF12D9">
        <w:tab/>
      </w:r>
      <w:r w:rsidR="00AF12D9">
        <w:tab/>
      </w:r>
      <w:r w:rsidR="00AF12D9">
        <w:tab/>
      </w:r>
      <w:r w:rsidR="00AF12D9">
        <w:tab/>
      </w:r>
      <w:r w:rsidR="00AF12D9" w:rsidRPr="003B51F3">
        <w:rPr>
          <w:b/>
          <w:bCs/>
        </w:rPr>
        <w:t>380</w:t>
      </w:r>
    </w:p>
    <w:p w14:paraId="0AC7B215" w14:textId="51D76D8D" w:rsidR="00D7230D" w:rsidRDefault="00D7230D" w:rsidP="00D7230D">
      <w:pPr>
        <w:spacing w:after="240" w:line="240" w:lineRule="auto"/>
      </w:pPr>
      <w:r>
        <w:t xml:space="preserve">Figure 67: Dated entryway at </w:t>
      </w:r>
      <w:proofErr w:type="spellStart"/>
      <w:r>
        <w:t>Jordangate</w:t>
      </w:r>
      <w:proofErr w:type="spellEnd"/>
      <w:r>
        <w:t xml:space="preserve"> House, Macclesfield, Prestbury parish</w:t>
      </w:r>
      <w:r w:rsidR="00AF12D9">
        <w:tab/>
      </w:r>
      <w:r w:rsidR="00AF12D9">
        <w:tab/>
      </w:r>
      <w:r w:rsidR="00AF12D9" w:rsidRPr="003B51F3">
        <w:rPr>
          <w:b/>
          <w:bCs/>
        </w:rPr>
        <w:t>381</w:t>
      </w:r>
    </w:p>
    <w:p w14:paraId="2A078EB8" w14:textId="5F3187D3" w:rsidR="00D7230D" w:rsidRDefault="00D7230D" w:rsidP="00D7230D">
      <w:pPr>
        <w:spacing w:after="240" w:line="240" w:lineRule="auto"/>
      </w:pPr>
      <w:r>
        <w:t xml:space="preserve">Figure 68: Inscribed door hinge at </w:t>
      </w:r>
      <w:r w:rsidRPr="007B7CD2">
        <w:t>Yew Tree Farmhouse, Butley,</w:t>
      </w:r>
      <w:r>
        <w:t xml:space="preserve"> Prestbury parish</w:t>
      </w:r>
      <w:r w:rsidR="00AF12D9">
        <w:tab/>
      </w:r>
      <w:r w:rsidR="00AF12D9">
        <w:tab/>
      </w:r>
      <w:r w:rsidR="00AF12D9" w:rsidRPr="003B51F3">
        <w:rPr>
          <w:b/>
          <w:bCs/>
        </w:rPr>
        <w:t>382</w:t>
      </w:r>
    </w:p>
    <w:p w14:paraId="7EFB006E" w14:textId="7E2B2EAE" w:rsidR="00D7230D" w:rsidRPr="005F6022" w:rsidRDefault="00D7230D" w:rsidP="00D7230D">
      <w:pPr>
        <w:spacing w:after="240" w:line="240" w:lineRule="auto"/>
      </w:pPr>
      <w:r>
        <w:t>Figure 69: Inscribed door handle at Fern Lee Farmhouse, Sutton, Prestbury parish</w:t>
      </w:r>
      <w:r w:rsidR="00AF12D9">
        <w:tab/>
      </w:r>
      <w:r w:rsidR="00AF12D9">
        <w:tab/>
      </w:r>
      <w:r w:rsidR="00AF12D9" w:rsidRPr="003B51F3">
        <w:rPr>
          <w:b/>
          <w:bCs/>
        </w:rPr>
        <w:t>383</w:t>
      </w:r>
    </w:p>
    <w:p w14:paraId="7E4C891F" w14:textId="115A552C" w:rsidR="00D7230D" w:rsidRDefault="00D7230D" w:rsidP="00D7230D">
      <w:pPr>
        <w:spacing w:after="240" w:line="240" w:lineRule="auto"/>
      </w:pPr>
      <w:r w:rsidRPr="007B7CD2">
        <w:t xml:space="preserve">Figure </w:t>
      </w:r>
      <w:r>
        <w:t>70</w:t>
      </w:r>
      <w:r w:rsidRPr="007B7CD2">
        <w:t xml:space="preserve">: </w:t>
      </w:r>
      <w:r>
        <w:t>Datestone</w:t>
      </w:r>
      <w:r w:rsidRPr="007B7CD2">
        <w:t xml:space="preserve"> at Fern Lee Farmhouse, Sutton, Prestbury parish</w:t>
      </w:r>
      <w:r w:rsidR="00AF12D9">
        <w:tab/>
      </w:r>
      <w:r w:rsidR="00AF12D9">
        <w:tab/>
      </w:r>
      <w:r w:rsidR="00AF12D9">
        <w:tab/>
      </w:r>
      <w:r w:rsidR="00AF12D9" w:rsidRPr="003B51F3">
        <w:rPr>
          <w:b/>
          <w:bCs/>
        </w:rPr>
        <w:t>384</w:t>
      </w:r>
    </w:p>
    <w:p w14:paraId="5935728E" w14:textId="600B5111" w:rsidR="00D7230D" w:rsidRDefault="00D7230D" w:rsidP="00D7230D">
      <w:pPr>
        <w:spacing w:after="240" w:line="240" w:lineRule="auto"/>
      </w:pPr>
      <w:r>
        <w:t xml:space="preserve">Figure 71: </w:t>
      </w:r>
      <w:r w:rsidRPr="00A22836">
        <w:t>Datestone at Oak Cottage, Langley, Prestbury</w:t>
      </w:r>
      <w:r>
        <w:t xml:space="preserve"> parish</w:t>
      </w:r>
      <w:r w:rsidR="00AF12D9">
        <w:tab/>
      </w:r>
      <w:r w:rsidR="00AF12D9">
        <w:tab/>
      </w:r>
      <w:r w:rsidR="00AF12D9">
        <w:tab/>
      </w:r>
      <w:r w:rsidR="00AF12D9">
        <w:tab/>
      </w:r>
      <w:r w:rsidR="00AF12D9" w:rsidRPr="003B51F3">
        <w:rPr>
          <w:b/>
          <w:bCs/>
        </w:rPr>
        <w:t>385</w:t>
      </w:r>
    </w:p>
    <w:p w14:paraId="72789B02" w14:textId="7DCDD88F" w:rsidR="00D7230D" w:rsidRDefault="00D7230D" w:rsidP="00D7230D">
      <w:pPr>
        <w:spacing w:after="240" w:line="240" w:lineRule="auto"/>
      </w:pPr>
      <w:r>
        <w:t xml:space="preserve">Figure 72: </w:t>
      </w:r>
      <w:r w:rsidRPr="00211450">
        <w:t>Datestone at Ridge Hall Farmhouse, Sutton</w:t>
      </w:r>
      <w:r>
        <w:t xml:space="preserve">, </w:t>
      </w:r>
      <w:r w:rsidRPr="00211450">
        <w:t>Prestbury parish</w:t>
      </w:r>
      <w:r w:rsidR="00AF12D9">
        <w:tab/>
      </w:r>
      <w:r w:rsidR="00AF12D9">
        <w:tab/>
      </w:r>
      <w:r w:rsidR="00AF12D9">
        <w:tab/>
      </w:r>
      <w:r w:rsidR="00AF12D9" w:rsidRPr="003B51F3">
        <w:rPr>
          <w:b/>
          <w:bCs/>
        </w:rPr>
        <w:t>386</w:t>
      </w:r>
    </w:p>
    <w:p w14:paraId="17DF8B5F" w14:textId="7602FD33" w:rsidR="00D7230D" w:rsidRDefault="00D7230D" w:rsidP="00D7230D">
      <w:pPr>
        <w:spacing w:after="240" w:line="240" w:lineRule="auto"/>
      </w:pPr>
      <w:r>
        <w:t>Figure 73: D</w:t>
      </w:r>
      <w:r w:rsidRPr="00E66261">
        <w:t>atestone at Ridge Hill Farmhouse, Sutton, Prestbury parish</w:t>
      </w:r>
      <w:r w:rsidR="00AF12D9">
        <w:tab/>
      </w:r>
      <w:r w:rsidR="00AF12D9">
        <w:tab/>
      </w:r>
      <w:r w:rsidR="00AF12D9">
        <w:tab/>
      </w:r>
      <w:r w:rsidR="00AF12D9" w:rsidRPr="003B51F3">
        <w:rPr>
          <w:b/>
          <w:bCs/>
        </w:rPr>
        <w:t>387</w:t>
      </w:r>
    </w:p>
    <w:p w14:paraId="75F287DC" w14:textId="3F26596E" w:rsidR="00D7230D" w:rsidRDefault="00D7230D" w:rsidP="00D7230D">
      <w:pPr>
        <w:spacing w:after="240" w:line="240" w:lineRule="auto"/>
      </w:pPr>
      <w:r w:rsidRPr="00E66261">
        <w:t>Figure 7</w:t>
      </w:r>
      <w:r>
        <w:t>4</w:t>
      </w:r>
      <w:r w:rsidRPr="00E66261">
        <w:t xml:space="preserve">: </w:t>
      </w:r>
      <w:r>
        <w:t>Inscribed crest</w:t>
      </w:r>
      <w:r w:rsidRPr="00E66261">
        <w:t xml:space="preserve"> at Ridge Hill Farmhouse, Sutton, Prestbury parish</w:t>
      </w:r>
      <w:r w:rsidR="00AF12D9">
        <w:tab/>
      </w:r>
      <w:r w:rsidR="00AF12D9">
        <w:tab/>
      </w:r>
      <w:r w:rsidR="00AF12D9" w:rsidRPr="003B51F3">
        <w:rPr>
          <w:b/>
          <w:bCs/>
        </w:rPr>
        <w:t>388</w:t>
      </w:r>
    </w:p>
    <w:p w14:paraId="745306A5" w14:textId="7AB5F981" w:rsidR="00D7230D" w:rsidRDefault="00D7230D" w:rsidP="00D7230D">
      <w:pPr>
        <w:spacing w:after="240" w:line="240" w:lineRule="auto"/>
      </w:pPr>
      <w:r>
        <w:t>Figure 75: Inscribed crest at Pott Lords Farmhouse, Sutton, Prestbury parish</w:t>
      </w:r>
      <w:r w:rsidR="00AF12D9">
        <w:tab/>
      </w:r>
      <w:r w:rsidR="00AF12D9">
        <w:tab/>
      </w:r>
      <w:r w:rsidR="00AF12D9" w:rsidRPr="003B51F3">
        <w:rPr>
          <w:b/>
          <w:bCs/>
        </w:rPr>
        <w:t>389</w:t>
      </w:r>
    </w:p>
    <w:p w14:paraId="3032CE5F" w14:textId="0A150496" w:rsidR="00D7230D" w:rsidRDefault="00D7230D" w:rsidP="00D7230D">
      <w:pPr>
        <w:spacing w:after="240" w:line="240" w:lineRule="auto"/>
      </w:pPr>
      <w:r>
        <w:t xml:space="preserve">Figure 76: Façade at </w:t>
      </w:r>
      <w:r w:rsidRPr="00F90F3F">
        <w:t>the Malthouse, Slyne-with-Hest, Bolton-le-Sands parish</w:t>
      </w:r>
      <w:r w:rsidR="00AF12D9">
        <w:tab/>
      </w:r>
      <w:r w:rsidR="00AF12D9">
        <w:tab/>
      </w:r>
      <w:r w:rsidR="00AF12D9" w:rsidRPr="003B51F3">
        <w:rPr>
          <w:b/>
          <w:bCs/>
        </w:rPr>
        <w:t>390</w:t>
      </w:r>
    </w:p>
    <w:p w14:paraId="2823D1AE" w14:textId="7531C136" w:rsidR="00D7230D" w:rsidRDefault="00D7230D" w:rsidP="00D7230D">
      <w:pPr>
        <w:spacing w:after="240" w:line="240" w:lineRule="auto"/>
      </w:pPr>
      <w:r>
        <w:t xml:space="preserve">Figure 77: Datestone at </w:t>
      </w:r>
      <w:r w:rsidRPr="00CA1E7D">
        <w:t>6 Packet Lane, Bolton-le-Sands</w:t>
      </w:r>
      <w:r w:rsidR="00AF12D9">
        <w:tab/>
      </w:r>
      <w:r w:rsidR="00AF12D9">
        <w:tab/>
      </w:r>
      <w:r w:rsidR="00AF12D9">
        <w:tab/>
      </w:r>
      <w:r w:rsidR="00AF12D9">
        <w:tab/>
      </w:r>
      <w:r w:rsidR="00AF12D9">
        <w:tab/>
      </w:r>
      <w:r w:rsidR="00AF12D9" w:rsidRPr="003B51F3">
        <w:rPr>
          <w:b/>
          <w:bCs/>
        </w:rPr>
        <w:t>391</w:t>
      </w:r>
    </w:p>
    <w:p w14:paraId="012FB869" w14:textId="22751C46" w:rsidR="00D7230D" w:rsidRDefault="00D7230D" w:rsidP="00D7230D">
      <w:pPr>
        <w:spacing w:after="240" w:line="240" w:lineRule="auto"/>
      </w:pPr>
      <w:r>
        <w:t>Figure 78: Datestone at Hogarth House, Over Kellet, Bolton-le-Sands</w:t>
      </w:r>
      <w:r w:rsidR="00AF12D9">
        <w:tab/>
      </w:r>
      <w:r w:rsidR="00AF12D9">
        <w:tab/>
      </w:r>
      <w:r w:rsidR="00AF12D9">
        <w:tab/>
      </w:r>
      <w:r w:rsidR="00AF12D9" w:rsidRPr="003B51F3">
        <w:rPr>
          <w:b/>
          <w:bCs/>
        </w:rPr>
        <w:t>392</w:t>
      </w:r>
    </w:p>
    <w:p w14:paraId="1EC25077" w14:textId="2AB0DF2E" w:rsidR="00D7230D" w:rsidRDefault="00D7230D" w:rsidP="00D7230D">
      <w:pPr>
        <w:spacing w:after="240" w:line="240" w:lineRule="auto"/>
      </w:pPr>
      <w:r>
        <w:t xml:space="preserve">Figure 79: Datestone at </w:t>
      </w:r>
      <w:r w:rsidRPr="00307F48">
        <w:t>Walnut Tree Farmhouse, Butley, Prestbury parish</w:t>
      </w:r>
      <w:r w:rsidR="00AF12D9">
        <w:tab/>
      </w:r>
      <w:r w:rsidR="00AF12D9">
        <w:tab/>
      </w:r>
      <w:r w:rsidR="00AF12D9">
        <w:tab/>
      </w:r>
      <w:r w:rsidR="00AF12D9" w:rsidRPr="003B51F3">
        <w:rPr>
          <w:b/>
          <w:bCs/>
        </w:rPr>
        <w:t>393</w:t>
      </w:r>
    </w:p>
    <w:p w14:paraId="1F95A12D" w14:textId="77777777" w:rsidR="00D7230D" w:rsidRDefault="00D7230D" w:rsidP="00D7230D">
      <w:pPr>
        <w:spacing w:after="240" w:line="240" w:lineRule="auto"/>
      </w:pPr>
    </w:p>
    <w:p w14:paraId="4A550650" w14:textId="77777777" w:rsidR="00D7230D" w:rsidRDefault="00D7230D" w:rsidP="00D7230D">
      <w:pPr>
        <w:spacing w:after="240" w:line="240" w:lineRule="auto"/>
        <w:rPr>
          <w:b/>
          <w:bCs/>
        </w:rPr>
      </w:pPr>
      <w:r>
        <w:rPr>
          <w:b/>
          <w:bCs/>
        </w:rPr>
        <w:t>List of Tables (Appendix 3)</w:t>
      </w:r>
    </w:p>
    <w:p w14:paraId="58BF3E82" w14:textId="01FBC2BD" w:rsidR="00AF12D9" w:rsidRDefault="00D7230D" w:rsidP="00AF12D9">
      <w:pPr>
        <w:spacing w:after="0" w:line="240" w:lineRule="auto"/>
      </w:pPr>
      <w:r>
        <w:t>Table 1:</w:t>
      </w:r>
      <w:r w:rsidRPr="003A756F">
        <w:t xml:space="preserve"> Distribution of will and inventory pairs by decade within the </w:t>
      </w:r>
      <w:r w:rsidR="00AF12D9">
        <w:tab/>
      </w:r>
      <w:r w:rsidR="00AF12D9">
        <w:tab/>
      </w:r>
      <w:r w:rsidR="00AF12D9">
        <w:tab/>
      </w:r>
      <w:r w:rsidR="00AF12D9" w:rsidRPr="003B51F3">
        <w:rPr>
          <w:b/>
          <w:bCs/>
        </w:rPr>
        <w:t>395</w:t>
      </w:r>
    </w:p>
    <w:p w14:paraId="3AE00DC8" w14:textId="5E6EB915" w:rsidR="00D7230D" w:rsidRDefault="00D7230D" w:rsidP="00D7230D">
      <w:pPr>
        <w:spacing w:after="240" w:line="240" w:lineRule="auto"/>
      </w:pPr>
      <w:r w:rsidRPr="003A756F">
        <w:t>Bolton-le-Sands and Prestbury wider survey</w:t>
      </w:r>
    </w:p>
    <w:p w14:paraId="303D5CCA" w14:textId="77777777" w:rsidR="00AF12D9" w:rsidRDefault="00AF12D9" w:rsidP="00AF12D9">
      <w:pPr>
        <w:spacing w:after="0" w:line="240" w:lineRule="auto"/>
      </w:pPr>
    </w:p>
    <w:p w14:paraId="7700A22E" w14:textId="415D3815" w:rsidR="00AF12D9" w:rsidRDefault="00D7230D" w:rsidP="00AF12D9">
      <w:pPr>
        <w:spacing w:after="0" w:line="240" w:lineRule="auto"/>
      </w:pPr>
      <w:r>
        <w:lastRenderedPageBreak/>
        <w:t>Table 2: In</w:t>
      </w:r>
      <w:r w:rsidRPr="002362F6">
        <w:t xml:space="preserve">scribed properties and inscribers within the core sample in </w:t>
      </w:r>
      <w:r w:rsidR="00AF12D9">
        <w:tab/>
      </w:r>
      <w:r w:rsidR="00AF12D9">
        <w:tab/>
      </w:r>
      <w:r w:rsidR="00AF12D9">
        <w:tab/>
      </w:r>
      <w:r w:rsidR="00AF12D9" w:rsidRPr="003B51F3">
        <w:rPr>
          <w:b/>
          <w:bCs/>
        </w:rPr>
        <w:t>396</w:t>
      </w:r>
    </w:p>
    <w:p w14:paraId="407D843A" w14:textId="0E9EA3DA" w:rsidR="00D7230D" w:rsidRDefault="00D7230D" w:rsidP="00D7230D">
      <w:pPr>
        <w:spacing w:after="240" w:line="240" w:lineRule="auto"/>
      </w:pPr>
      <w:r w:rsidRPr="002362F6">
        <w:t>Bolton-le-Sands parish</w:t>
      </w:r>
    </w:p>
    <w:p w14:paraId="3D47AB6B" w14:textId="01C511D2" w:rsidR="00AF12D9" w:rsidRDefault="00D7230D" w:rsidP="00AF12D9">
      <w:pPr>
        <w:spacing w:after="0" w:line="240" w:lineRule="auto"/>
      </w:pPr>
      <w:r>
        <w:t>Table 3: I</w:t>
      </w:r>
      <w:r w:rsidRPr="006E335F">
        <w:t xml:space="preserve">nscribed properties and inscribers within the core sample </w:t>
      </w:r>
      <w:r w:rsidR="00CA65C3">
        <w:tab/>
      </w:r>
      <w:r w:rsidR="00CA65C3">
        <w:tab/>
      </w:r>
      <w:r w:rsidR="00CA65C3">
        <w:tab/>
      </w:r>
      <w:r w:rsidR="00CA65C3" w:rsidRPr="003B51F3">
        <w:rPr>
          <w:b/>
          <w:bCs/>
        </w:rPr>
        <w:t>397</w:t>
      </w:r>
    </w:p>
    <w:p w14:paraId="2A46855B" w14:textId="60C0ACF6" w:rsidR="00D7230D" w:rsidRDefault="00D7230D" w:rsidP="00D7230D">
      <w:pPr>
        <w:spacing w:after="240" w:line="240" w:lineRule="auto"/>
      </w:pPr>
      <w:r w:rsidRPr="006E335F">
        <w:t xml:space="preserve">in </w:t>
      </w:r>
      <w:r w:rsidRPr="006C1D5F">
        <w:t>Prestbury</w:t>
      </w:r>
      <w:r w:rsidRPr="006E335F">
        <w:t xml:space="preserve"> parish</w:t>
      </w:r>
    </w:p>
    <w:p w14:paraId="557BD54D" w14:textId="3DB993C5" w:rsidR="00AF12D9" w:rsidRDefault="00D7230D" w:rsidP="00AF12D9">
      <w:pPr>
        <w:spacing w:after="0" w:line="240" w:lineRule="auto"/>
      </w:pPr>
      <w:r>
        <w:t>Table 4:</w:t>
      </w:r>
      <w:r w:rsidRPr="007D2E66">
        <w:t xml:space="preserve"> </w:t>
      </w:r>
      <w:r w:rsidRPr="00966825">
        <w:t xml:space="preserve">Number of households in Bolton-le-Sands and Prestbury </w:t>
      </w:r>
      <w:r>
        <w:t xml:space="preserve">from </w:t>
      </w:r>
      <w:r w:rsidR="00CA65C3">
        <w:tab/>
      </w:r>
      <w:r w:rsidR="00CA65C3">
        <w:tab/>
      </w:r>
      <w:r w:rsidR="00CA65C3">
        <w:tab/>
      </w:r>
      <w:r w:rsidR="00CA65C3" w:rsidRPr="003B51F3">
        <w:rPr>
          <w:b/>
          <w:bCs/>
        </w:rPr>
        <w:t>398</w:t>
      </w:r>
    </w:p>
    <w:p w14:paraId="6E76B731" w14:textId="4BC1663B" w:rsidR="00D7230D" w:rsidRDefault="00D7230D" w:rsidP="00D7230D">
      <w:pPr>
        <w:spacing w:after="240" w:line="240" w:lineRule="auto"/>
      </w:pPr>
      <w:r>
        <w:t>the</w:t>
      </w:r>
      <w:r w:rsidRPr="00966825">
        <w:t xml:space="preserve"> 1664 hearth tax</w:t>
      </w:r>
    </w:p>
    <w:p w14:paraId="288CC5AA" w14:textId="0FE60EC1" w:rsidR="00AF12D9" w:rsidRDefault="00D7230D" w:rsidP="00AF12D9">
      <w:pPr>
        <w:spacing w:after="0" w:line="240" w:lineRule="auto"/>
      </w:pPr>
      <w:r>
        <w:t xml:space="preserve">Table 5: </w:t>
      </w:r>
      <w:r w:rsidRPr="00966825">
        <w:t xml:space="preserve">Population estimates for Bolton-le-Sands and Prestbury </w:t>
      </w:r>
      <w:r>
        <w:t xml:space="preserve">from </w:t>
      </w:r>
      <w:r w:rsidR="00CA65C3">
        <w:tab/>
      </w:r>
      <w:r w:rsidR="00CA65C3">
        <w:tab/>
      </w:r>
      <w:r w:rsidR="00CA65C3">
        <w:tab/>
      </w:r>
      <w:r w:rsidR="00CA65C3" w:rsidRPr="003B51F3">
        <w:rPr>
          <w:b/>
          <w:bCs/>
        </w:rPr>
        <w:t>399</w:t>
      </w:r>
    </w:p>
    <w:p w14:paraId="5B5EC969" w14:textId="3050D875" w:rsidR="00D7230D" w:rsidRDefault="00D7230D" w:rsidP="00D7230D">
      <w:pPr>
        <w:spacing w:after="240" w:line="240" w:lineRule="auto"/>
      </w:pPr>
      <w:r>
        <w:t xml:space="preserve">the </w:t>
      </w:r>
      <w:r w:rsidRPr="00966825">
        <w:t>1664 hearth tax</w:t>
      </w:r>
    </w:p>
    <w:p w14:paraId="17BADA65" w14:textId="6E24B1FB" w:rsidR="00AF12D9" w:rsidRDefault="00D7230D" w:rsidP="00AF12D9">
      <w:pPr>
        <w:spacing w:after="0" w:line="240" w:lineRule="auto"/>
      </w:pPr>
      <w:r>
        <w:t xml:space="preserve">Table 6: Chargeable and </w:t>
      </w:r>
      <w:r w:rsidRPr="00966825">
        <w:t xml:space="preserve">not-chargeable households in Bolton-le-Sands and </w:t>
      </w:r>
      <w:r w:rsidR="00CA65C3">
        <w:tab/>
      </w:r>
      <w:r w:rsidR="00CA65C3">
        <w:tab/>
      </w:r>
      <w:r w:rsidR="00CA65C3" w:rsidRPr="003B51F3">
        <w:rPr>
          <w:b/>
          <w:bCs/>
        </w:rPr>
        <w:t>400</w:t>
      </w:r>
    </w:p>
    <w:p w14:paraId="5E61AFAA" w14:textId="1865E2CF" w:rsidR="00D7230D" w:rsidRPr="00494A67" w:rsidRDefault="00D7230D" w:rsidP="00D7230D">
      <w:pPr>
        <w:spacing w:after="240" w:line="240" w:lineRule="auto"/>
      </w:pPr>
      <w:r w:rsidRPr="00966825">
        <w:t xml:space="preserve">Prestbury </w:t>
      </w:r>
      <w:r>
        <w:t>from the</w:t>
      </w:r>
      <w:r w:rsidRPr="00966825">
        <w:t xml:space="preserve"> 1664 hearth tax</w:t>
      </w:r>
    </w:p>
    <w:p w14:paraId="5BDA8CCF" w14:textId="7F919F80" w:rsidR="00AF12D9" w:rsidRDefault="00D7230D" w:rsidP="00AF12D9">
      <w:pPr>
        <w:spacing w:after="0" w:line="240" w:lineRule="auto"/>
      </w:pPr>
      <w:r>
        <w:t xml:space="preserve">Table 7: Number of hearths per household </w:t>
      </w:r>
      <w:r w:rsidRPr="00966825">
        <w:t xml:space="preserve">in Bolton-le-Sands and Prestbury </w:t>
      </w:r>
      <w:r w:rsidR="007C71B8">
        <w:tab/>
      </w:r>
      <w:r w:rsidR="007C71B8">
        <w:tab/>
      </w:r>
      <w:r w:rsidR="007C71B8" w:rsidRPr="003B51F3">
        <w:rPr>
          <w:b/>
          <w:bCs/>
        </w:rPr>
        <w:t>401</w:t>
      </w:r>
    </w:p>
    <w:p w14:paraId="649CE386" w14:textId="611E20BB" w:rsidR="00D7230D" w:rsidRPr="0071277E" w:rsidRDefault="00D7230D" w:rsidP="00D7230D">
      <w:pPr>
        <w:spacing w:after="240" w:line="240" w:lineRule="auto"/>
      </w:pPr>
      <w:r w:rsidRPr="0071277E">
        <w:t>from the</w:t>
      </w:r>
      <w:r w:rsidRPr="00966825">
        <w:t xml:space="preserve"> 1664 hearth tax</w:t>
      </w:r>
    </w:p>
    <w:p w14:paraId="1E05EBA6" w14:textId="73CECA65" w:rsidR="00AF12D9" w:rsidRDefault="00D7230D" w:rsidP="00AF12D9">
      <w:pPr>
        <w:spacing w:after="0" w:line="240" w:lineRule="auto"/>
      </w:pPr>
      <w:r>
        <w:t xml:space="preserve">Table 8: </w:t>
      </w:r>
      <w:r w:rsidRPr="0071277E">
        <w:t xml:space="preserve">Number of hearths per household </w:t>
      </w:r>
      <w:r w:rsidRPr="00966825">
        <w:t>in Bolton-le-Sands</w:t>
      </w:r>
      <w:r>
        <w:t xml:space="preserve"> from</w:t>
      </w:r>
      <w:r w:rsidRPr="00966825">
        <w:t xml:space="preserve"> </w:t>
      </w:r>
      <w:r w:rsidRPr="0071277E">
        <w:t>the</w:t>
      </w:r>
      <w:r w:rsidRPr="00966825">
        <w:t xml:space="preserve"> </w:t>
      </w:r>
      <w:r w:rsidR="007C71B8">
        <w:tab/>
      </w:r>
      <w:r w:rsidR="007C71B8">
        <w:tab/>
      </w:r>
      <w:r w:rsidR="007C71B8">
        <w:tab/>
      </w:r>
      <w:r w:rsidR="007C71B8" w:rsidRPr="003B51F3">
        <w:rPr>
          <w:b/>
          <w:bCs/>
        </w:rPr>
        <w:t>402</w:t>
      </w:r>
    </w:p>
    <w:p w14:paraId="71D1728E" w14:textId="1B29649F" w:rsidR="00D7230D" w:rsidRDefault="00D7230D" w:rsidP="00D7230D">
      <w:pPr>
        <w:spacing w:after="240" w:line="240" w:lineRule="auto"/>
      </w:pPr>
      <w:r w:rsidRPr="00966825">
        <w:t>16</w:t>
      </w:r>
      <w:r>
        <w:t>73</w:t>
      </w:r>
      <w:r w:rsidRPr="00966825">
        <w:t xml:space="preserve"> hearth tax</w:t>
      </w:r>
    </w:p>
    <w:p w14:paraId="4828665C" w14:textId="52229113" w:rsidR="00AF12D9" w:rsidRDefault="00D7230D" w:rsidP="00AF12D9">
      <w:pPr>
        <w:spacing w:after="0" w:line="240" w:lineRule="auto"/>
      </w:pPr>
      <w:r>
        <w:t xml:space="preserve">Table 9: </w:t>
      </w:r>
      <w:r w:rsidRPr="006B77E7">
        <w:rPr>
          <w:lang w:val="en-US"/>
        </w:rPr>
        <w:t xml:space="preserve">Number of hearths per household </w:t>
      </w:r>
      <w:r w:rsidRPr="00966825">
        <w:t xml:space="preserve">in </w:t>
      </w:r>
      <w:r>
        <w:t xml:space="preserve">Kettleshulme township, </w:t>
      </w:r>
      <w:r w:rsidR="007C71B8">
        <w:tab/>
      </w:r>
      <w:r w:rsidR="007C71B8">
        <w:tab/>
      </w:r>
      <w:r w:rsidR="007C71B8">
        <w:tab/>
      </w:r>
      <w:r w:rsidR="007C71B8" w:rsidRPr="003B51F3">
        <w:rPr>
          <w:b/>
          <w:bCs/>
        </w:rPr>
        <w:t>403</w:t>
      </w:r>
    </w:p>
    <w:p w14:paraId="0B249A7D" w14:textId="434BA5E7" w:rsidR="00D7230D" w:rsidRDefault="00D7230D" w:rsidP="00D7230D">
      <w:pPr>
        <w:spacing w:after="240" w:line="240" w:lineRule="auto"/>
      </w:pPr>
      <w:r>
        <w:t>Prestbury,</w:t>
      </w:r>
      <w:r w:rsidRPr="006B77E7">
        <w:t xml:space="preserve"> from</w:t>
      </w:r>
      <w:r w:rsidRPr="00966825">
        <w:t xml:space="preserve"> </w:t>
      </w:r>
      <w:r w:rsidRPr="006B77E7">
        <w:t>the</w:t>
      </w:r>
      <w:r w:rsidRPr="00966825">
        <w:t xml:space="preserve"> </w:t>
      </w:r>
      <w:r>
        <w:t xml:space="preserve">1662 and </w:t>
      </w:r>
      <w:r w:rsidRPr="00966825">
        <w:t>16</w:t>
      </w:r>
      <w:r w:rsidRPr="006B77E7">
        <w:t>73</w:t>
      </w:r>
      <w:r>
        <w:t>/4</w:t>
      </w:r>
      <w:r w:rsidRPr="00966825">
        <w:t xml:space="preserve"> hearth tax</w:t>
      </w:r>
    </w:p>
    <w:p w14:paraId="62959285" w14:textId="24F3C31F" w:rsidR="00AF12D9" w:rsidRDefault="00D7230D" w:rsidP="00AF12D9">
      <w:pPr>
        <w:spacing w:after="0" w:line="240" w:lineRule="auto"/>
      </w:pPr>
      <w:r>
        <w:t xml:space="preserve">Table 10: </w:t>
      </w:r>
      <w:r w:rsidRPr="00DF3703">
        <w:t xml:space="preserve">Gender and marital status </w:t>
      </w:r>
      <w:r>
        <w:t>among testators in the</w:t>
      </w:r>
      <w:r w:rsidRPr="00DF3703">
        <w:t xml:space="preserve"> Bolton-le-Sands </w:t>
      </w:r>
      <w:r w:rsidR="007C71B8">
        <w:tab/>
      </w:r>
      <w:r w:rsidR="007C71B8">
        <w:tab/>
      </w:r>
      <w:r w:rsidR="007C71B8" w:rsidRPr="003B51F3">
        <w:rPr>
          <w:b/>
          <w:bCs/>
        </w:rPr>
        <w:t>404</w:t>
      </w:r>
    </w:p>
    <w:p w14:paraId="16476C47" w14:textId="1FFA5B84" w:rsidR="00D7230D" w:rsidRDefault="00D7230D" w:rsidP="00D7230D">
      <w:pPr>
        <w:spacing w:after="240" w:line="240" w:lineRule="auto"/>
      </w:pPr>
      <w:r w:rsidRPr="00DF3703">
        <w:t>and Prestbury wider survey</w:t>
      </w:r>
    </w:p>
    <w:p w14:paraId="66122258" w14:textId="6A922C5F" w:rsidR="00AF12D9" w:rsidRDefault="00D7230D" w:rsidP="00AF12D9">
      <w:pPr>
        <w:spacing w:after="0" w:line="240" w:lineRule="auto"/>
      </w:pPr>
      <w:r>
        <w:t xml:space="preserve">Table 11: </w:t>
      </w:r>
      <w:r w:rsidRPr="00F14640">
        <w:t xml:space="preserve">Mean and median wealth according to gender and marital status </w:t>
      </w:r>
      <w:r w:rsidR="007C71B8">
        <w:tab/>
      </w:r>
      <w:r w:rsidR="007C71B8">
        <w:tab/>
      </w:r>
      <w:r w:rsidR="007C71B8" w:rsidRPr="003B51F3">
        <w:rPr>
          <w:b/>
          <w:bCs/>
        </w:rPr>
        <w:t>405</w:t>
      </w:r>
    </w:p>
    <w:p w14:paraId="4D11A27B" w14:textId="56D936A4" w:rsidR="00D7230D" w:rsidRDefault="00D7230D" w:rsidP="00D7230D">
      <w:pPr>
        <w:spacing w:after="240" w:line="240" w:lineRule="auto"/>
      </w:pPr>
      <w:r w:rsidRPr="00F14640">
        <w:t>in the Bolton-le-Sands and Prestbury wider survey</w:t>
      </w:r>
    </w:p>
    <w:p w14:paraId="609361C9" w14:textId="377AE1E3" w:rsidR="00AF12D9" w:rsidRDefault="00D7230D" w:rsidP="00AF12D9">
      <w:pPr>
        <w:spacing w:after="0" w:line="240" w:lineRule="auto"/>
      </w:pPr>
      <w:r>
        <w:t>Table 12: Prevalence and w</w:t>
      </w:r>
      <w:r w:rsidRPr="00305A80">
        <w:t xml:space="preserve">ealth of male testators within different occupational </w:t>
      </w:r>
      <w:r w:rsidR="007C71B8">
        <w:tab/>
      </w:r>
      <w:r w:rsidR="007C71B8">
        <w:tab/>
      </w:r>
      <w:r w:rsidR="007C71B8" w:rsidRPr="003B51F3">
        <w:rPr>
          <w:b/>
          <w:bCs/>
        </w:rPr>
        <w:t>406</w:t>
      </w:r>
    </w:p>
    <w:p w14:paraId="3893157C" w14:textId="66FBAFC7" w:rsidR="00D7230D" w:rsidRDefault="00D7230D" w:rsidP="00D7230D">
      <w:pPr>
        <w:spacing w:after="240" w:line="240" w:lineRule="auto"/>
      </w:pPr>
      <w:r w:rsidRPr="00305A80">
        <w:t>and status groups in the Bolton-le-Sands and Prestbury wider survey</w:t>
      </w:r>
    </w:p>
    <w:p w14:paraId="6C31D923" w14:textId="141140AA" w:rsidR="00AF12D9" w:rsidRDefault="00D7230D" w:rsidP="00AF12D9">
      <w:pPr>
        <w:spacing w:after="0" w:line="240" w:lineRule="auto"/>
      </w:pPr>
      <w:r>
        <w:t>Table 13: Prevalence and we</w:t>
      </w:r>
      <w:r w:rsidRPr="00E84939">
        <w:t xml:space="preserve">alth of male testators within different occupational </w:t>
      </w:r>
      <w:r w:rsidR="007C71B8">
        <w:tab/>
      </w:r>
      <w:r w:rsidR="007C71B8">
        <w:tab/>
      </w:r>
      <w:r w:rsidR="007C71B8" w:rsidRPr="003B51F3">
        <w:rPr>
          <w:b/>
          <w:bCs/>
        </w:rPr>
        <w:t>407</w:t>
      </w:r>
    </w:p>
    <w:p w14:paraId="7DAC16DA" w14:textId="50C3376B" w:rsidR="00D7230D" w:rsidRDefault="00D7230D" w:rsidP="00D7230D">
      <w:pPr>
        <w:spacing w:after="240" w:line="240" w:lineRule="auto"/>
      </w:pPr>
      <w:r w:rsidRPr="00E84939">
        <w:t>and status groups in the Bolton-le-Sands and Prestbury</w:t>
      </w:r>
      <w:r>
        <w:t xml:space="preserve"> core sample</w:t>
      </w:r>
    </w:p>
    <w:p w14:paraId="71A9631C" w14:textId="7500ECA0" w:rsidR="00AF12D9" w:rsidRDefault="00D7230D" w:rsidP="00AF12D9">
      <w:pPr>
        <w:spacing w:after="0" w:line="240" w:lineRule="auto"/>
      </w:pPr>
      <w:r>
        <w:t xml:space="preserve">Table 14: </w:t>
      </w:r>
      <w:r w:rsidRPr="00400A61">
        <w:t xml:space="preserve">Wealth of husbandmen and yeomen in the Bolton-le-Sands and </w:t>
      </w:r>
      <w:r w:rsidR="007C71B8">
        <w:tab/>
      </w:r>
      <w:r w:rsidR="007C71B8">
        <w:tab/>
      </w:r>
      <w:r w:rsidR="007C71B8">
        <w:tab/>
      </w:r>
      <w:r w:rsidR="007C71B8" w:rsidRPr="003B51F3">
        <w:rPr>
          <w:b/>
          <w:bCs/>
        </w:rPr>
        <w:t>408</w:t>
      </w:r>
    </w:p>
    <w:p w14:paraId="4DF59D1C" w14:textId="18C8FD48" w:rsidR="00D7230D" w:rsidRDefault="00D7230D" w:rsidP="00D7230D">
      <w:pPr>
        <w:spacing w:after="240" w:line="240" w:lineRule="auto"/>
      </w:pPr>
      <w:r w:rsidRPr="00400A61">
        <w:t>Prestbury wider survey</w:t>
      </w:r>
    </w:p>
    <w:p w14:paraId="49B43C6A" w14:textId="510CC260" w:rsidR="00AF12D9" w:rsidRDefault="00D7230D" w:rsidP="00AF12D9">
      <w:pPr>
        <w:spacing w:after="0" w:line="240" w:lineRule="auto"/>
      </w:pPr>
      <w:r>
        <w:t xml:space="preserve">Table 15: </w:t>
      </w:r>
      <w:r w:rsidRPr="00E12F9F">
        <w:t xml:space="preserve">Occurrence of different work activities in the Bolton-le-Sands and </w:t>
      </w:r>
      <w:r w:rsidR="007C71B8">
        <w:tab/>
      </w:r>
      <w:r w:rsidR="007C71B8">
        <w:tab/>
      </w:r>
      <w:r w:rsidR="007C71B8" w:rsidRPr="003B51F3">
        <w:rPr>
          <w:b/>
          <w:bCs/>
        </w:rPr>
        <w:t>409</w:t>
      </w:r>
    </w:p>
    <w:p w14:paraId="62991502" w14:textId="05EBFF77" w:rsidR="00D7230D" w:rsidRDefault="00D7230D" w:rsidP="00D7230D">
      <w:pPr>
        <w:spacing w:after="240" w:line="240" w:lineRule="auto"/>
      </w:pPr>
      <w:r w:rsidRPr="00E12F9F">
        <w:t>Prestbury wider survey</w:t>
      </w:r>
    </w:p>
    <w:p w14:paraId="669582E3" w14:textId="4CEB473A" w:rsidR="00AF12D9" w:rsidRDefault="00D7230D" w:rsidP="00AF12D9">
      <w:pPr>
        <w:spacing w:after="0" w:line="240" w:lineRule="auto"/>
      </w:pPr>
      <w:r>
        <w:t xml:space="preserve">Table 16: Occurrence and scale of livestock farming </w:t>
      </w:r>
      <w:r w:rsidRPr="00E12F9F">
        <w:t xml:space="preserve">in the Bolton-le-Sands and </w:t>
      </w:r>
      <w:r w:rsidR="007C71B8">
        <w:tab/>
      </w:r>
      <w:r w:rsidR="007C71B8">
        <w:tab/>
      </w:r>
      <w:r w:rsidR="007C71B8" w:rsidRPr="003B51F3">
        <w:rPr>
          <w:b/>
          <w:bCs/>
        </w:rPr>
        <w:t>410</w:t>
      </w:r>
    </w:p>
    <w:p w14:paraId="25C7E5C3" w14:textId="735031DB" w:rsidR="00D7230D" w:rsidRPr="009E2295" w:rsidRDefault="00D7230D" w:rsidP="00D7230D">
      <w:pPr>
        <w:spacing w:after="240" w:line="240" w:lineRule="auto"/>
      </w:pPr>
      <w:r w:rsidRPr="00E12F9F">
        <w:t>Prestbury wider survey</w:t>
      </w:r>
    </w:p>
    <w:p w14:paraId="4FE25D1E" w14:textId="183C6E25" w:rsidR="00AF12D9" w:rsidRDefault="00D7230D" w:rsidP="00AF12D9">
      <w:pPr>
        <w:spacing w:after="0" w:line="240" w:lineRule="auto"/>
      </w:pPr>
      <w:r>
        <w:t xml:space="preserve">Table 17: </w:t>
      </w:r>
      <w:r w:rsidRPr="009E2295">
        <w:t xml:space="preserve">Occurrence and scale of livestock farming </w:t>
      </w:r>
      <w:r w:rsidRPr="00E12F9F">
        <w:t xml:space="preserve">in the Bolton-le-Sands and </w:t>
      </w:r>
      <w:r w:rsidR="007C71B8">
        <w:tab/>
      </w:r>
      <w:r w:rsidR="007C71B8">
        <w:tab/>
      </w:r>
      <w:r w:rsidR="007C71B8" w:rsidRPr="003B51F3">
        <w:rPr>
          <w:b/>
          <w:bCs/>
        </w:rPr>
        <w:t>411</w:t>
      </w:r>
    </w:p>
    <w:p w14:paraId="00C6433C" w14:textId="52779029" w:rsidR="00D7230D" w:rsidRDefault="00D7230D" w:rsidP="00D7230D">
      <w:pPr>
        <w:spacing w:after="240" w:line="240" w:lineRule="auto"/>
      </w:pPr>
      <w:r w:rsidRPr="00E12F9F">
        <w:t xml:space="preserve">Prestbury </w:t>
      </w:r>
      <w:r>
        <w:t>core sample</w:t>
      </w:r>
    </w:p>
    <w:p w14:paraId="4EF162AC" w14:textId="07541B86" w:rsidR="00AF12D9" w:rsidRDefault="00D7230D" w:rsidP="00AF12D9">
      <w:pPr>
        <w:spacing w:after="0" w:line="240" w:lineRule="auto"/>
      </w:pPr>
      <w:r>
        <w:t xml:space="preserve">Table 18: Prevalence of different textiles and textile production equipment </w:t>
      </w:r>
      <w:r w:rsidR="007C71B8">
        <w:tab/>
      </w:r>
      <w:r w:rsidR="007C71B8">
        <w:tab/>
      </w:r>
      <w:r w:rsidR="007C71B8" w:rsidRPr="003B51F3">
        <w:rPr>
          <w:b/>
          <w:bCs/>
        </w:rPr>
        <w:t>412</w:t>
      </w:r>
    </w:p>
    <w:p w14:paraId="510DFCA8" w14:textId="30873B0E" w:rsidR="00D7230D" w:rsidRDefault="00D7230D" w:rsidP="00D7230D">
      <w:pPr>
        <w:spacing w:after="240" w:line="240" w:lineRule="auto"/>
      </w:pPr>
      <w:r>
        <w:t xml:space="preserve">in inventories within the </w:t>
      </w:r>
      <w:r w:rsidRPr="00E12F9F">
        <w:t>Bolton-le-Sands and Prestbury wider survey</w:t>
      </w:r>
    </w:p>
    <w:p w14:paraId="53195A64" w14:textId="2CA29C58" w:rsidR="007C71B8" w:rsidRDefault="00D7230D" w:rsidP="007C71B8">
      <w:pPr>
        <w:spacing w:after="0" w:line="240" w:lineRule="auto"/>
      </w:pPr>
      <w:r>
        <w:lastRenderedPageBreak/>
        <w:t>Table 19: Prevalence of</w:t>
      </w:r>
      <w:r w:rsidRPr="00E12F9F">
        <w:t xml:space="preserve"> different types of moneylending in </w:t>
      </w:r>
      <w:r>
        <w:t xml:space="preserve">inventories </w:t>
      </w:r>
      <w:r w:rsidR="004E09B7">
        <w:tab/>
      </w:r>
      <w:r w:rsidR="004E09B7">
        <w:tab/>
      </w:r>
      <w:r w:rsidR="004E09B7">
        <w:tab/>
      </w:r>
      <w:r w:rsidR="004E09B7" w:rsidRPr="003B51F3">
        <w:rPr>
          <w:b/>
          <w:bCs/>
        </w:rPr>
        <w:t>413</w:t>
      </w:r>
    </w:p>
    <w:p w14:paraId="20A2AB27" w14:textId="40B0A0E5" w:rsidR="00D7230D" w:rsidRPr="003B51F3" w:rsidRDefault="00D7230D" w:rsidP="00D7230D">
      <w:pPr>
        <w:spacing w:after="240" w:line="240" w:lineRule="auto"/>
        <w:rPr>
          <w:b/>
          <w:bCs/>
        </w:rPr>
      </w:pPr>
      <w:r>
        <w:t xml:space="preserve">within </w:t>
      </w:r>
      <w:r w:rsidRPr="00E12F9F">
        <w:t>the Bolton-le-Sands and Prestbury wider survey</w:t>
      </w:r>
    </w:p>
    <w:p w14:paraId="1EFB2CFE" w14:textId="3CB75E71" w:rsidR="007C71B8" w:rsidRDefault="00D7230D" w:rsidP="007C71B8">
      <w:pPr>
        <w:spacing w:after="0" w:line="240" w:lineRule="auto"/>
      </w:pPr>
      <w:r>
        <w:t xml:space="preserve">Table 20: </w:t>
      </w:r>
      <w:r w:rsidRPr="00E12F9F">
        <w:t xml:space="preserve">– Moneylenders by gender and marital status in </w:t>
      </w:r>
      <w:r>
        <w:t xml:space="preserve">the </w:t>
      </w:r>
      <w:r w:rsidRPr="00E12F9F">
        <w:t xml:space="preserve">Bolton-le-Sands </w:t>
      </w:r>
      <w:r w:rsidR="004E09B7">
        <w:tab/>
      </w:r>
      <w:r w:rsidR="004E09B7">
        <w:tab/>
      </w:r>
      <w:r w:rsidR="004E09B7" w:rsidRPr="003B51F3">
        <w:rPr>
          <w:b/>
          <w:bCs/>
        </w:rPr>
        <w:t>414</w:t>
      </w:r>
    </w:p>
    <w:p w14:paraId="1B8CA840" w14:textId="5331223C" w:rsidR="00D7230D" w:rsidRDefault="00D7230D" w:rsidP="00D7230D">
      <w:pPr>
        <w:spacing w:after="240" w:line="240" w:lineRule="auto"/>
      </w:pPr>
      <w:r w:rsidRPr="00E12F9F">
        <w:t>and Prestbury parish wider survey</w:t>
      </w:r>
    </w:p>
    <w:p w14:paraId="7BF4BF7B" w14:textId="0A1D2D6E" w:rsidR="004E09B7" w:rsidRDefault="00D7230D" w:rsidP="004E09B7">
      <w:pPr>
        <w:spacing w:after="0" w:line="240" w:lineRule="auto"/>
      </w:pPr>
      <w:r>
        <w:t xml:space="preserve">Table 21: </w:t>
      </w:r>
      <w:r w:rsidRPr="00E12F9F">
        <w:t xml:space="preserve">Mean amounts owed to </w:t>
      </w:r>
      <w:r>
        <w:t>moneylenders</w:t>
      </w:r>
      <w:r w:rsidRPr="00E12F9F">
        <w:t xml:space="preserve"> in the Bolton-le-Sands and </w:t>
      </w:r>
      <w:r w:rsidR="004E09B7">
        <w:tab/>
      </w:r>
      <w:r w:rsidR="004E09B7">
        <w:tab/>
      </w:r>
      <w:r w:rsidR="002F19EB" w:rsidRPr="003B51F3">
        <w:rPr>
          <w:b/>
          <w:bCs/>
        </w:rPr>
        <w:t>415</w:t>
      </w:r>
    </w:p>
    <w:p w14:paraId="7E1F51C0" w14:textId="648FCE93" w:rsidR="00D7230D" w:rsidRDefault="00D7230D" w:rsidP="00D7230D">
      <w:pPr>
        <w:spacing w:after="240" w:line="240" w:lineRule="auto"/>
      </w:pPr>
      <w:r w:rsidRPr="00E12F9F">
        <w:t>Prestbury wider survey</w:t>
      </w:r>
    </w:p>
    <w:p w14:paraId="4E033714" w14:textId="6DAAFB76" w:rsidR="004E09B7" w:rsidRDefault="00D7230D" w:rsidP="004E09B7">
      <w:pPr>
        <w:spacing w:after="0" w:line="240" w:lineRule="auto"/>
      </w:pPr>
      <w:r>
        <w:t xml:space="preserve">Table 22: </w:t>
      </w:r>
      <w:r w:rsidRPr="00677D3C">
        <w:t>Ownership of books</w:t>
      </w:r>
      <w:r>
        <w:t xml:space="preserve"> in</w:t>
      </w:r>
      <w:r w:rsidRPr="00677D3C">
        <w:t xml:space="preserve"> eight English regions, 1675-1725</w:t>
      </w:r>
      <w:r>
        <w:t>,</w:t>
      </w:r>
      <w:r w:rsidRPr="00677D3C">
        <w:t xml:space="preserve"> from Lorna </w:t>
      </w:r>
      <w:r w:rsidR="002F19EB">
        <w:tab/>
      </w:r>
      <w:r w:rsidR="002F19EB">
        <w:tab/>
      </w:r>
      <w:r w:rsidR="002F19EB" w:rsidRPr="003B51F3">
        <w:rPr>
          <w:b/>
          <w:bCs/>
        </w:rPr>
        <w:t>416</w:t>
      </w:r>
    </w:p>
    <w:p w14:paraId="7631FE8F" w14:textId="77777777" w:rsidR="004E09B7" w:rsidRDefault="00D7230D" w:rsidP="004E09B7">
      <w:pPr>
        <w:spacing w:after="0" w:line="240" w:lineRule="auto"/>
        <w:rPr>
          <w:i/>
          <w:iCs/>
        </w:rPr>
      </w:pPr>
      <w:r w:rsidRPr="00677D3C">
        <w:t>Weatherill</w:t>
      </w:r>
      <w:r>
        <w:t>’s</w:t>
      </w:r>
      <w:r w:rsidRPr="00677D3C">
        <w:t xml:space="preserve"> </w:t>
      </w:r>
      <w:r w:rsidRPr="00677D3C">
        <w:rPr>
          <w:i/>
          <w:iCs/>
        </w:rPr>
        <w:t xml:space="preserve">Consumer Behaviour and Material Culture in Britain, 1660-1760, </w:t>
      </w:r>
    </w:p>
    <w:p w14:paraId="12901CED" w14:textId="6C64E855" w:rsidR="00D7230D" w:rsidRDefault="00D7230D" w:rsidP="00D7230D">
      <w:pPr>
        <w:spacing w:after="240" w:line="240" w:lineRule="auto"/>
      </w:pPr>
      <w:r w:rsidRPr="00677D3C">
        <w:t>(London, 1996</w:t>
      </w:r>
      <w:r>
        <w:t>)</w:t>
      </w:r>
    </w:p>
    <w:p w14:paraId="450C92E7" w14:textId="359A3033" w:rsidR="004E09B7" w:rsidRDefault="00D7230D" w:rsidP="004E09B7">
      <w:pPr>
        <w:spacing w:after="0" w:line="240" w:lineRule="auto"/>
      </w:pPr>
      <w:r>
        <w:t xml:space="preserve">Table 23: </w:t>
      </w:r>
      <w:r w:rsidRPr="000F4E31">
        <w:t>Percentage of wills with no testators’ marks and full signatures</w:t>
      </w:r>
      <w:r w:rsidR="002F19EB">
        <w:tab/>
      </w:r>
      <w:r w:rsidR="002F19EB">
        <w:tab/>
      </w:r>
      <w:r w:rsidR="002F19EB">
        <w:tab/>
      </w:r>
      <w:r w:rsidR="002F19EB" w:rsidRPr="00E32F76">
        <w:rPr>
          <w:b/>
          <w:bCs/>
        </w:rPr>
        <w:t>417</w:t>
      </w:r>
    </w:p>
    <w:p w14:paraId="3DB27269" w14:textId="02565521" w:rsidR="00D7230D" w:rsidRDefault="00D7230D" w:rsidP="00D7230D">
      <w:pPr>
        <w:spacing w:after="240" w:line="240" w:lineRule="auto"/>
      </w:pPr>
      <w:r w:rsidRPr="000F4E31">
        <w:t xml:space="preserve"> in the Bolton-le-Sands and Prestbury wider survey</w:t>
      </w:r>
    </w:p>
    <w:p w14:paraId="7ACB4CC2" w14:textId="5B79D461" w:rsidR="004E09B7" w:rsidRDefault="00D7230D" w:rsidP="004E09B7">
      <w:pPr>
        <w:spacing w:after="0" w:line="240" w:lineRule="auto"/>
      </w:pPr>
      <w:r>
        <w:t xml:space="preserve">Table 24: </w:t>
      </w:r>
      <w:r w:rsidRPr="00211937">
        <w:t xml:space="preserve">Proportion of yeomen’s wills with full signatures in the Bolton-le-Sands </w:t>
      </w:r>
      <w:r w:rsidR="002F19EB">
        <w:tab/>
      </w:r>
      <w:r w:rsidR="002F19EB">
        <w:tab/>
      </w:r>
      <w:r w:rsidR="002F19EB" w:rsidRPr="00E32F76">
        <w:rPr>
          <w:b/>
          <w:bCs/>
        </w:rPr>
        <w:t>418</w:t>
      </w:r>
    </w:p>
    <w:p w14:paraId="01DBF679" w14:textId="077DA90F" w:rsidR="00D7230D" w:rsidRDefault="00D7230D" w:rsidP="00D7230D">
      <w:pPr>
        <w:spacing w:after="240" w:line="240" w:lineRule="auto"/>
      </w:pPr>
      <w:r w:rsidRPr="00211937">
        <w:t>and Prestbury wider survey</w:t>
      </w:r>
    </w:p>
    <w:p w14:paraId="6333D4E9" w14:textId="45F55F97" w:rsidR="004E09B7" w:rsidRDefault="00D7230D" w:rsidP="004E09B7">
      <w:pPr>
        <w:spacing w:after="0" w:line="240" w:lineRule="auto"/>
      </w:pPr>
      <w:r>
        <w:t>Table 25: Prevalence of</w:t>
      </w:r>
      <w:r w:rsidRPr="00185AB7">
        <w:t xml:space="preserve"> different types of </w:t>
      </w:r>
      <w:r w:rsidRPr="004D198E">
        <w:t xml:space="preserve">subscription </w:t>
      </w:r>
      <w:r w:rsidRPr="00185AB7">
        <w:t xml:space="preserve">marks in </w:t>
      </w:r>
      <w:r>
        <w:t xml:space="preserve">wills within </w:t>
      </w:r>
      <w:r w:rsidRPr="00185AB7">
        <w:t xml:space="preserve">the </w:t>
      </w:r>
      <w:r w:rsidR="002F19EB">
        <w:tab/>
      </w:r>
      <w:r w:rsidR="002F19EB">
        <w:tab/>
      </w:r>
      <w:r w:rsidR="002F19EB" w:rsidRPr="00E32F76">
        <w:rPr>
          <w:b/>
          <w:bCs/>
        </w:rPr>
        <w:t>419</w:t>
      </w:r>
    </w:p>
    <w:p w14:paraId="6E8B28A4" w14:textId="302A560C" w:rsidR="00D7230D" w:rsidRDefault="00D7230D" w:rsidP="00D7230D">
      <w:pPr>
        <w:spacing w:after="240" w:line="240" w:lineRule="auto"/>
      </w:pPr>
      <w:r w:rsidRPr="00185AB7">
        <w:t>Bolton-le-Sands and Prestbury wider survey</w:t>
      </w:r>
    </w:p>
    <w:p w14:paraId="299A08DB" w14:textId="0C92408C" w:rsidR="004E09B7" w:rsidRDefault="00D7230D" w:rsidP="004E09B7">
      <w:pPr>
        <w:spacing w:after="0" w:line="240" w:lineRule="auto"/>
      </w:pPr>
      <w:r>
        <w:t xml:space="preserve">Table 26: </w:t>
      </w:r>
      <w:r w:rsidRPr="00533EC2">
        <w:t xml:space="preserve">Availability of subscription evidence for inscribers in the Bolton-le-Sands </w:t>
      </w:r>
      <w:r w:rsidR="002F19EB">
        <w:tab/>
      </w:r>
      <w:r w:rsidR="002F19EB" w:rsidRPr="00E32F76">
        <w:rPr>
          <w:b/>
          <w:bCs/>
        </w:rPr>
        <w:t>420</w:t>
      </w:r>
    </w:p>
    <w:p w14:paraId="6BA30D9E" w14:textId="2F7B55DF" w:rsidR="00D7230D" w:rsidRDefault="00D7230D" w:rsidP="00D7230D">
      <w:pPr>
        <w:spacing w:after="240" w:line="240" w:lineRule="auto"/>
      </w:pPr>
      <w:r w:rsidRPr="00533EC2">
        <w:t>and Prestbury core sample</w:t>
      </w:r>
    </w:p>
    <w:p w14:paraId="039348AD" w14:textId="277410EC" w:rsidR="004E09B7" w:rsidRDefault="00D7230D" w:rsidP="004E09B7">
      <w:pPr>
        <w:spacing w:after="0" w:line="240" w:lineRule="auto"/>
      </w:pPr>
      <w:r>
        <w:t>Table 27:</w:t>
      </w:r>
      <w:r w:rsidRPr="00E5534C">
        <w:t xml:space="preserve"> </w:t>
      </w:r>
      <w:r w:rsidRPr="00B9725A">
        <w:t xml:space="preserve">Bequests of real property, moveable goods and personal estate </w:t>
      </w:r>
      <w:r w:rsidR="002F19EB">
        <w:tab/>
      </w:r>
      <w:r w:rsidR="002F19EB">
        <w:tab/>
      </w:r>
      <w:r w:rsidR="002F19EB">
        <w:tab/>
      </w:r>
      <w:r w:rsidR="002F19EB" w:rsidRPr="00E32F76">
        <w:rPr>
          <w:b/>
          <w:bCs/>
        </w:rPr>
        <w:t>421</w:t>
      </w:r>
    </w:p>
    <w:p w14:paraId="694E68D9" w14:textId="2354B43D" w:rsidR="00D7230D" w:rsidRDefault="00D7230D" w:rsidP="00D7230D">
      <w:pPr>
        <w:spacing w:after="240" w:line="240" w:lineRule="auto"/>
      </w:pPr>
      <w:r w:rsidRPr="00B9725A">
        <w:t>in wills within the Bolton-le-Sands and Prestbury wider survey</w:t>
      </w:r>
    </w:p>
    <w:p w14:paraId="40269345" w14:textId="388A03AF" w:rsidR="004E09B7" w:rsidRDefault="00D7230D" w:rsidP="004E09B7">
      <w:pPr>
        <w:spacing w:after="0" w:line="240" w:lineRule="auto"/>
      </w:pPr>
      <w:r>
        <w:t xml:space="preserve">Table 28: </w:t>
      </w:r>
      <w:r w:rsidRPr="00B9725A">
        <w:t xml:space="preserve">Proportions of testators in the wider survey bequeathing different </w:t>
      </w:r>
      <w:r w:rsidR="002F19EB">
        <w:tab/>
      </w:r>
      <w:r w:rsidR="002F19EB">
        <w:tab/>
      </w:r>
      <w:r w:rsidR="002F19EB" w:rsidRPr="00E32F76">
        <w:rPr>
          <w:b/>
        </w:rPr>
        <w:t>422</w:t>
      </w:r>
    </w:p>
    <w:p w14:paraId="6A166ABE" w14:textId="77777777" w:rsidR="004E09B7" w:rsidRDefault="00D7230D" w:rsidP="004E09B7">
      <w:pPr>
        <w:spacing w:after="0" w:line="240" w:lineRule="auto"/>
      </w:pPr>
      <w:r w:rsidRPr="00B9725A">
        <w:t xml:space="preserve">forms of personal property, </w:t>
      </w:r>
      <w:r>
        <w:t xml:space="preserve">differentiated by whether they were also </w:t>
      </w:r>
    </w:p>
    <w:p w14:paraId="00192FD1" w14:textId="22EC9B81" w:rsidR="00D7230D" w:rsidRDefault="00D7230D" w:rsidP="00D7230D">
      <w:pPr>
        <w:spacing w:after="240" w:line="240" w:lineRule="auto"/>
      </w:pPr>
      <w:r w:rsidRPr="00B9725A">
        <w:t>bequeathing real estate</w:t>
      </w:r>
    </w:p>
    <w:p w14:paraId="5D1991B4" w14:textId="0809F640" w:rsidR="004E09B7" w:rsidRDefault="00D7230D" w:rsidP="004E09B7">
      <w:pPr>
        <w:spacing w:after="0" w:line="240" w:lineRule="auto"/>
      </w:pPr>
      <w:r>
        <w:t xml:space="preserve">Table 29: </w:t>
      </w:r>
      <w:r w:rsidRPr="00B9725A">
        <w:t xml:space="preserve">Mean number of cash bequests </w:t>
      </w:r>
      <w:r>
        <w:t>according to gender</w:t>
      </w:r>
      <w:r w:rsidRPr="00B9725A">
        <w:t xml:space="preserve"> in </w:t>
      </w:r>
      <w:r>
        <w:t xml:space="preserve">wills </w:t>
      </w:r>
      <w:r w:rsidR="002F19EB">
        <w:tab/>
      </w:r>
      <w:r w:rsidR="002F19EB">
        <w:tab/>
      </w:r>
      <w:r w:rsidR="002F19EB">
        <w:tab/>
      </w:r>
      <w:r w:rsidR="002452E9" w:rsidRPr="00E32F76">
        <w:rPr>
          <w:b/>
          <w:bCs/>
        </w:rPr>
        <w:t>423</w:t>
      </w:r>
    </w:p>
    <w:p w14:paraId="614C1660" w14:textId="61217F32" w:rsidR="00D7230D" w:rsidRDefault="00D7230D" w:rsidP="00D7230D">
      <w:pPr>
        <w:spacing w:after="240" w:line="240" w:lineRule="auto"/>
      </w:pPr>
      <w:r>
        <w:t xml:space="preserve">within </w:t>
      </w:r>
      <w:r w:rsidRPr="00B9725A">
        <w:t>the Bolton-le-Sands and Prestbury wider survey</w:t>
      </w:r>
    </w:p>
    <w:p w14:paraId="3D8EAE31" w14:textId="128D8D24" w:rsidR="004E09B7" w:rsidRDefault="00D7230D" w:rsidP="004E09B7">
      <w:pPr>
        <w:spacing w:after="0" w:line="240" w:lineRule="auto"/>
      </w:pPr>
      <w:r>
        <w:t xml:space="preserve">Table 30: </w:t>
      </w:r>
      <w:r w:rsidRPr="00B9725A">
        <w:t xml:space="preserve">Recipients of cash bequests in the Bolton-le-Sands and Prestbury </w:t>
      </w:r>
      <w:r w:rsidR="002452E9">
        <w:tab/>
      </w:r>
      <w:r w:rsidR="002452E9">
        <w:tab/>
      </w:r>
      <w:r w:rsidR="002452E9" w:rsidRPr="00E32F76">
        <w:rPr>
          <w:b/>
          <w:bCs/>
        </w:rPr>
        <w:t>424</w:t>
      </w:r>
    </w:p>
    <w:p w14:paraId="3F035C95" w14:textId="268453C7" w:rsidR="00D7230D" w:rsidRDefault="00D7230D" w:rsidP="00D7230D">
      <w:pPr>
        <w:spacing w:after="240" w:line="240" w:lineRule="auto"/>
      </w:pPr>
      <w:r w:rsidRPr="00B9725A">
        <w:t>wider survey, differentiated according to their relationships with testators</w:t>
      </w:r>
    </w:p>
    <w:p w14:paraId="23B516CA" w14:textId="24FC7D2D" w:rsidR="004E09B7" w:rsidRDefault="00D7230D" w:rsidP="004E09B7">
      <w:pPr>
        <w:spacing w:after="0" w:line="240" w:lineRule="auto"/>
      </w:pPr>
      <w:r>
        <w:t xml:space="preserve">Table 31: </w:t>
      </w:r>
      <w:r w:rsidRPr="00B9725A">
        <w:t xml:space="preserve">Mean total cash gifted by testators making cash bequests </w:t>
      </w:r>
      <w:r w:rsidR="002452E9">
        <w:tab/>
      </w:r>
      <w:r w:rsidR="002452E9">
        <w:tab/>
      </w:r>
      <w:r w:rsidR="002452E9">
        <w:tab/>
      </w:r>
      <w:r w:rsidR="002452E9" w:rsidRPr="00E32F76">
        <w:rPr>
          <w:b/>
        </w:rPr>
        <w:t>425</w:t>
      </w:r>
    </w:p>
    <w:p w14:paraId="7F03A355" w14:textId="3A993C8F" w:rsidR="00D7230D" w:rsidRDefault="00D7230D" w:rsidP="00D7230D">
      <w:pPr>
        <w:spacing w:after="240" w:line="240" w:lineRule="auto"/>
      </w:pPr>
      <w:r w:rsidRPr="00B9725A">
        <w:t>in the Bolton-le-Sands and Prestbury wider survey</w:t>
      </w:r>
    </w:p>
    <w:p w14:paraId="36E31D81" w14:textId="73DAC6C0" w:rsidR="004E09B7" w:rsidRDefault="00D7230D" w:rsidP="004E09B7">
      <w:pPr>
        <w:spacing w:after="0" w:line="240" w:lineRule="auto"/>
      </w:pPr>
      <w:r>
        <w:t xml:space="preserve">Table 32: </w:t>
      </w:r>
      <w:r w:rsidRPr="00B9725A">
        <w:t xml:space="preserve">Mean number of cash bequests and mean total cash bequeathed </w:t>
      </w:r>
      <w:r w:rsidR="002452E9">
        <w:tab/>
      </w:r>
      <w:r w:rsidR="002452E9">
        <w:tab/>
      </w:r>
      <w:r w:rsidR="002452E9" w:rsidRPr="00E32F76">
        <w:rPr>
          <w:b/>
          <w:bCs/>
        </w:rPr>
        <w:t>426</w:t>
      </w:r>
    </w:p>
    <w:p w14:paraId="499DE099" w14:textId="11139260" w:rsidR="00D7230D" w:rsidRDefault="00D7230D" w:rsidP="00D7230D">
      <w:pPr>
        <w:spacing w:after="240" w:line="240" w:lineRule="auto"/>
      </w:pPr>
      <w:r w:rsidRPr="00B9725A">
        <w:t>among inscribers in the Bolton-le-Sands and Prestbury core sample</w:t>
      </w:r>
    </w:p>
    <w:p w14:paraId="5DAFAE77" w14:textId="0A2DF26B" w:rsidR="004E09B7" w:rsidRDefault="00D7230D" w:rsidP="004E09B7">
      <w:pPr>
        <w:spacing w:after="0" w:line="240" w:lineRule="auto"/>
      </w:pPr>
      <w:r>
        <w:t xml:space="preserve">Table 33: </w:t>
      </w:r>
      <w:r w:rsidRPr="00294562">
        <w:t xml:space="preserve">Relationships between testators and recipients of cash bequests </w:t>
      </w:r>
      <w:r w:rsidR="002452E9">
        <w:tab/>
      </w:r>
      <w:r w:rsidR="002452E9">
        <w:tab/>
      </w:r>
      <w:r w:rsidR="002452E9" w:rsidRPr="00E32F76">
        <w:rPr>
          <w:b/>
          <w:bCs/>
        </w:rPr>
        <w:t>427</w:t>
      </w:r>
    </w:p>
    <w:p w14:paraId="48BE3D00" w14:textId="3F0FD6C9" w:rsidR="00D7230D" w:rsidRDefault="00D7230D" w:rsidP="00D7230D">
      <w:pPr>
        <w:spacing w:after="240" w:line="240" w:lineRule="auto"/>
      </w:pPr>
      <w:r w:rsidRPr="00294562">
        <w:t>within both the core sample and wider survey in Bolton-le-Sands and Prestbury</w:t>
      </w:r>
    </w:p>
    <w:p w14:paraId="3AA377C3" w14:textId="7E6FAECB" w:rsidR="004E09B7" w:rsidRDefault="00D7230D" w:rsidP="004E09B7">
      <w:pPr>
        <w:spacing w:after="0" w:line="240" w:lineRule="auto"/>
      </w:pPr>
      <w:r>
        <w:t xml:space="preserve">Table 34: Prevalence of different degrees of room grouping in inventories </w:t>
      </w:r>
      <w:r w:rsidR="002452E9">
        <w:tab/>
      </w:r>
      <w:r w:rsidR="002452E9">
        <w:tab/>
      </w:r>
      <w:r w:rsidR="002452E9" w:rsidRPr="00E32F76">
        <w:rPr>
          <w:b/>
          <w:bCs/>
        </w:rPr>
        <w:t>428</w:t>
      </w:r>
    </w:p>
    <w:p w14:paraId="453706A9" w14:textId="51440C94" w:rsidR="00D7230D" w:rsidRDefault="00D7230D" w:rsidP="00D7230D">
      <w:pPr>
        <w:spacing w:after="240" w:line="240" w:lineRule="auto"/>
      </w:pPr>
      <w:r>
        <w:t xml:space="preserve">within the </w:t>
      </w:r>
      <w:r w:rsidRPr="00AD1399">
        <w:t>Bolton-le-Sands and Prestbury wider survey</w:t>
      </w:r>
    </w:p>
    <w:p w14:paraId="2DDBA615" w14:textId="030E25C7" w:rsidR="004E09B7" w:rsidRDefault="00D7230D" w:rsidP="004E09B7">
      <w:pPr>
        <w:spacing w:after="0" w:line="240" w:lineRule="auto"/>
      </w:pPr>
      <w:r>
        <w:lastRenderedPageBreak/>
        <w:t>Table 35: Prevalence of</w:t>
      </w:r>
      <w:r w:rsidRPr="00482812">
        <w:t xml:space="preserve"> different types of objects in</w:t>
      </w:r>
      <w:r>
        <w:t xml:space="preserve"> inventories within</w:t>
      </w:r>
      <w:r w:rsidRPr="00482812">
        <w:t xml:space="preserve"> </w:t>
      </w:r>
      <w:r w:rsidR="002452E9">
        <w:tab/>
      </w:r>
      <w:r w:rsidR="002452E9">
        <w:tab/>
      </w:r>
      <w:r w:rsidR="002452E9">
        <w:tab/>
      </w:r>
      <w:r w:rsidR="002452E9" w:rsidRPr="00E32F76">
        <w:rPr>
          <w:b/>
          <w:bCs/>
        </w:rPr>
        <w:t>429</w:t>
      </w:r>
    </w:p>
    <w:p w14:paraId="6B075D2E" w14:textId="67F7F0BE" w:rsidR="00D7230D" w:rsidRDefault="00D7230D" w:rsidP="00D7230D">
      <w:pPr>
        <w:spacing w:after="240" w:line="240" w:lineRule="auto"/>
      </w:pPr>
      <w:r w:rsidRPr="00482812">
        <w:t>the Bolton-le-Sands and Prestbury wider survey</w:t>
      </w:r>
    </w:p>
    <w:p w14:paraId="7FFA83B0" w14:textId="3D60F997" w:rsidR="004E09B7" w:rsidRDefault="00D7230D" w:rsidP="004E09B7">
      <w:pPr>
        <w:spacing w:after="0" w:line="240" w:lineRule="auto"/>
      </w:pPr>
      <w:r>
        <w:t>Table 36: Prevalence of</w:t>
      </w:r>
      <w:r w:rsidRPr="00482812">
        <w:t xml:space="preserve"> different types of cooking equipment in </w:t>
      </w:r>
      <w:r w:rsidR="002452E9">
        <w:tab/>
      </w:r>
      <w:r w:rsidR="002452E9">
        <w:tab/>
      </w:r>
      <w:r w:rsidR="002452E9">
        <w:tab/>
      </w:r>
      <w:r w:rsidR="002452E9">
        <w:tab/>
      </w:r>
      <w:r w:rsidR="00810C93" w:rsidRPr="00E32F76">
        <w:rPr>
          <w:b/>
          <w:bCs/>
        </w:rPr>
        <w:t>431</w:t>
      </w:r>
    </w:p>
    <w:p w14:paraId="148E9B1C" w14:textId="218B81AD" w:rsidR="00D7230D" w:rsidRDefault="00D7230D" w:rsidP="00D7230D">
      <w:pPr>
        <w:spacing w:after="240" w:line="240" w:lineRule="auto"/>
      </w:pPr>
      <w:r>
        <w:t xml:space="preserve">inventories within </w:t>
      </w:r>
      <w:r w:rsidRPr="00482812">
        <w:t>the Bolton-le-Sands and Prestbury wider survey</w:t>
      </w:r>
    </w:p>
    <w:p w14:paraId="0C497579" w14:textId="0DD7CF6D" w:rsidR="004E09B7" w:rsidRDefault="00D7230D" w:rsidP="004E09B7">
      <w:pPr>
        <w:spacing w:after="0" w:line="240" w:lineRule="auto"/>
      </w:pPr>
      <w:r>
        <w:t>Table 37: Prevalence of</w:t>
      </w:r>
      <w:r w:rsidRPr="00482812">
        <w:t xml:space="preserve"> different types of seating in</w:t>
      </w:r>
      <w:r>
        <w:t xml:space="preserve"> inventories within</w:t>
      </w:r>
      <w:r w:rsidRPr="00482812">
        <w:t xml:space="preserve"> </w:t>
      </w:r>
      <w:r w:rsidR="00810C93">
        <w:tab/>
      </w:r>
      <w:r w:rsidR="00810C93">
        <w:tab/>
      </w:r>
      <w:r w:rsidR="00810C93">
        <w:tab/>
      </w:r>
      <w:r w:rsidR="00810C93" w:rsidRPr="00E32F76">
        <w:rPr>
          <w:b/>
          <w:bCs/>
        </w:rPr>
        <w:t>433</w:t>
      </w:r>
    </w:p>
    <w:p w14:paraId="3DE13C24" w14:textId="6719B7DE" w:rsidR="00D7230D" w:rsidRDefault="00D7230D" w:rsidP="00D7230D">
      <w:pPr>
        <w:spacing w:after="240" w:line="240" w:lineRule="auto"/>
      </w:pPr>
      <w:r w:rsidRPr="00482812">
        <w:t>the Bolton-le-Sands and Prestbury wider survey</w:t>
      </w:r>
    </w:p>
    <w:p w14:paraId="3570755E" w14:textId="30ACD48F" w:rsidR="004E09B7" w:rsidRDefault="00D7230D" w:rsidP="004E09B7">
      <w:pPr>
        <w:spacing w:after="0" w:line="240" w:lineRule="auto"/>
      </w:pPr>
      <w:r>
        <w:t xml:space="preserve">Table 38: </w:t>
      </w:r>
      <w:r w:rsidRPr="001E6117">
        <w:t>Prevalence of</w:t>
      </w:r>
      <w:r w:rsidRPr="00482812">
        <w:t xml:space="preserve"> different kinds of beds and mattresses </w:t>
      </w:r>
      <w:r w:rsidRPr="001E6117">
        <w:t xml:space="preserve">in inventories </w:t>
      </w:r>
      <w:r w:rsidR="00810C93">
        <w:tab/>
      </w:r>
      <w:r w:rsidR="00810C93">
        <w:tab/>
      </w:r>
      <w:r w:rsidR="00810C93" w:rsidRPr="00E32F76">
        <w:rPr>
          <w:b/>
          <w:bCs/>
        </w:rPr>
        <w:t>434</w:t>
      </w:r>
    </w:p>
    <w:p w14:paraId="04CD090C" w14:textId="10E828C3" w:rsidR="00D7230D" w:rsidRDefault="00D7230D" w:rsidP="00D7230D">
      <w:pPr>
        <w:spacing w:after="240" w:line="240" w:lineRule="auto"/>
      </w:pPr>
      <w:r w:rsidRPr="001E6117">
        <w:t>within</w:t>
      </w:r>
      <w:r w:rsidRPr="00482812">
        <w:t xml:space="preserve"> the Bolton-le-Sands and Prestbury wider survey</w:t>
      </w:r>
    </w:p>
    <w:p w14:paraId="290B350B" w14:textId="1BDD77D1" w:rsidR="004E09B7" w:rsidRDefault="00D7230D" w:rsidP="004E09B7">
      <w:pPr>
        <w:spacing w:after="0" w:line="240" w:lineRule="auto"/>
      </w:pPr>
      <w:r>
        <w:t>Table 39: Prevalence of</w:t>
      </w:r>
      <w:r w:rsidRPr="00482812">
        <w:t xml:space="preserve"> different kinds of beds and mattresses </w:t>
      </w:r>
      <w:r>
        <w:t xml:space="preserve">in inventories </w:t>
      </w:r>
      <w:r w:rsidR="00810C93">
        <w:tab/>
      </w:r>
      <w:r w:rsidR="00810C93">
        <w:tab/>
      </w:r>
      <w:r w:rsidR="00810C93" w:rsidRPr="00E32F76">
        <w:rPr>
          <w:b/>
          <w:bCs/>
        </w:rPr>
        <w:t>435</w:t>
      </w:r>
    </w:p>
    <w:p w14:paraId="48E0CE47" w14:textId="2F389725" w:rsidR="00D7230D" w:rsidRDefault="00D7230D" w:rsidP="00D7230D">
      <w:pPr>
        <w:spacing w:after="240" w:line="240" w:lineRule="auto"/>
      </w:pPr>
      <w:r>
        <w:t>within</w:t>
      </w:r>
      <w:r w:rsidRPr="00482812">
        <w:t xml:space="preserve"> the Bolton-le-Sands and Prestbury wider survey</w:t>
      </w:r>
    </w:p>
    <w:p w14:paraId="59BADB90" w14:textId="5EA494AA" w:rsidR="004E09B7" w:rsidRDefault="00D7230D" w:rsidP="004E09B7">
      <w:pPr>
        <w:spacing w:after="0" w:line="240" w:lineRule="auto"/>
      </w:pPr>
      <w:r>
        <w:t>Table 40: Prevalence of</w:t>
      </w:r>
      <w:r w:rsidRPr="00482812">
        <w:t xml:space="preserve"> different bedding textiles </w:t>
      </w:r>
      <w:r>
        <w:t xml:space="preserve">in wills and inventories </w:t>
      </w:r>
      <w:r w:rsidR="00810C93">
        <w:tab/>
      </w:r>
      <w:r w:rsidR="00810C93">
        <w:tab/>
      </w:r>
      <w:r w:rsidR="00810C93">
        <w:tab/>
      </w:r>
      <w:r w:rsidR="00810C93" w:rsidRPr="00E32F76">
        <w:rPr>
          <w:b/>
          <w:bCs/>
        </w:rPr>
        <w:t>436</w:t>
      </w:r>
    </w:p>
    <w:p w14:paraId="7356471E" w14:textId="219E8757" w:rsidR="00D7230D" w:rsidRDefault="00D7230D" w:rsidP="00D7230D">
      <w:pPr>
        <w:spacing w:after="240" w:line="240" w:lineRule="auto"/>
      </w:pPr>
      <w:r>
        <w:t>with</w:t>
      </w:r>
      <w:r w:rsidRPr="00482812">
        <w:t>in the Bolton-le-Sands and Prestbury wider survey</w:t>
      </w:r>
    </w:p>
    <w:p w14:paraId="5AAEA833" w14:textId="5CC55D26" w:rsidR="004E09B7" w:rsidRDefault="00D7230D" w:rsidP="004E09B7">
      <w:pPr>
        <w:spacing w:after="0" w:line="240" w:lineRule="auto"/>
      </w:pPr>
      <w:r>
        <w:t>Table 41: Prevalence of</w:t>
      </w:r>
      <w:r w:rsidRPr="00482812">
        <w:t xml:space="preserve"> different types of tableware </w:t>
      </w:r>
      <w:r>
        <w:t xml:space="preserve">in inventories </w:t>
      </w:r>
      <w:r w:rsidR="00810C93">
        <w:tab/>
      </w:r>
      <w:r w:rsidR="00810C93">
        <w:tab/>
      </w:r>
      <w:r w:rsidR="00810C93">
        <w:tab/>
      </w:r>
      <w:r w:rsidR="00810C93" w:rsidRPr="00E32F76">
        <w:rPr>
          <w:b/>
          <w:bCs/>
        </w:rPr>
        <w:t>437</w:t>
      </w:r>
    </w:p>
    <w:p w14:paraId="4FF3351F" w14:textId="355360A0" w:rsidR="00D7230D" w:rsidRDefault="00D7230D" w:rsidP="00D7230D">
      <w:pPr>
        <w:spacing w:after="240" w:line="240" w:lineRule="auto"/>
      </w:pPr>
      <w:r>
        <w:t>with</w:t>
      </w:r>
      <w:r w:rsidRPr="00482812">
        <w:t>in the Bolton-le-Sands and Prestbury wider survey</w:t>
      </w:r>
    </w:p>
    <w:p w14:paraId="08FE3611" w14:textId="4BD614E5" w:rsidR="004E09B7" w:rsidRDefault="00D7230D" w:rsidP="004E09B7">
      <w:pPr>
        <w:spacing w:after="0" w:line="240" w:lineRule="auto"/>
      </w:pPr>
      <w:r>
        <w:t>Table 42: Prevalence of</w:t>
      </w:r>
      <w:r w:rsidRPr="00482812">
        <w:t xml:space="preserve"> different kinds of pottery in </w:t>
      </w:r>
      <w:r>
        <w:t xml:space="preserve">inventories within </w:t>
      </w:r>
      <w:r w:rsidR="00810C93">
        <w:tab/>
      </w:r>
      <w:r w:rsidR="00810C93">
        <w:tab/>
      </w:r>
      <w:r w:rsidR="00810C93">
        <w:tab/>
      </w:r>
      <w:r w:rsidR="00810C93" w:rsidRPr="00E32F76">
        <w:rPr>
          <w:b/>
          <w:bCs/>
        </w:rPr>
        <w:t>438</w:t>
      </w:r>
    </w:p>
    <w:p w14:paraId="4049BD67" w14:textId="231F75FD" w:rsidR="00D7230D" w:rsidRPr="003B5965" w:rsidRDefault="00D7230D" w:rsidP="00D7230D">
      <w:pPr>
        <w:spacing w:after="240" w:line="240" w:lineRule="auto"/>
      </w:pPr>
      <w:r w:rsidRPr="00482812">
        <w:t>the Bolton-le-Sands and Prestbury wider survey</w:t>
      </w:r>
    </w:p>
    <w:p w14:paraId="1F290361" w14:textId="77777777" w:rsidR="00D7230D" w:rsidRDefault="00D7230D">
      <w:pPr>
        <w:spacing w:after="0" w:line="240" w:lineRule="auto"/>
        <w:rPr>
          <w:rFonts w:eastAsia="Calibri"/>
          <w:b/>
          <w:bCs/>
          <w:sz w:val="32"/>
          <w:u w:val="single"/>
        </w:rPr>
      </w:pPr>
      <w:r>
        <w:rPr>
          <w:rFonts w:eastAsia="Calibri"/>
          <w:b/>
          <w:bCs/>
          <w:sz w:val="32"/>
          <w:u w:val="single"/>
        </w:rPr>
        <w:br w:type="page"/>
      </w:r>
    </w:p>
    <w:p w14:paraId="25D7CB12" w14:textId="7C7B3EE6" w:rsidR="00EC1EEB" w:rsidRPr="004D3351" w:rsidRDefault="00EC1EEB" w:rsidP="00C47014">
      <w:pPr>
        <w:spacing w:after="0" w:line="480" w:lineRule="auto"/>
        <w:jc w:val="both"/>
        <w:rPr>
          <w:rFonts w:eastAsia="Calibri"/>
          <w:b/>
          <w:bCs/>
          <w:sz w:val="32"/>
          <w:u w:val="single"/>
        </w:rPr>
      </w:pPr>
      <w:r w:rsidRPr="004D3351">
        <w:rPr>
          <w:rFonts w:eastAsia="Calibri"/>
          <w:b/>
          <w:bCs/>
          <w:sz w:val="32"/>
          <w:u w:val="single"/>
        </w:rPr>
        <w:lastRenderedPageBreak/>
        <w:t>Introduction</w:t>
      </w:r>
    </w:p>
    <w:p w14:paraId="62964070" w14:textId="0FEA1E6E" w:rsidR="00EC1EEB" w:rsidRDefault="00EC1EEB" w:rsidP="00C47014">
      <w:pPr>
        <w:spacing w:after="0" w:line="480" w:lineRule="auto"/>
        <w:ind w:firstLine="720"/>
        <w:jc w:val="both"/>
        <w:rPr>
          <w:rFonts w:eastAsia="Calibri"/>
        </w:rPr>
      </w:pPr>
      <w:r w:rsidRPr="13368066">
        <w:rPr>
          <w:rFonts w:eastAsia="Calibri"/>
        </w:rPr>
        <w:t>In the village of Over Kellet, just over six miles north of Lancaster and four miles inland from Morecambe Bay, the lintel of Hall Farmhouse has remained the same for over 300 years. Carved with the letters ‘R</w:t>
      </w:r>
      <w:r w:rsidRPr="13368066">
        <w:rPr>
          <w:rFonts w:eastAsia="Calibri"/>
          <w:vertAlign w:val="superscript"/>
        </w:rPr>
        <w:t>G</w:t>
      </w:r>
      <w:r w:rsidRPr="13368066">
        <w:rPr>
          <w:rFonts w:eastAsia="Calibri"/>
        </w:rPr>
        <w:t>D 1704’, it commemorates the couple who built it: Robert and Deborah Gibson</w:t>
      </w:r>
      <w:r>
        <w:rPr>
          <w:rFonts w:eastAsia="Calibri"/>
        </w:rPr>
        <w:t xml:space="preserve"> (Figure 1, p.</w:t>
      </w:r>
      <w:r w:rsidR="00A06B1E">
        <w:rPr>
          <w:rFonts w:eastAsia="Calibri"/>
        </w:rPr>
        <w:t>315</w:t>
      </w:r>
      <w:r>
        <w:rPr>
          <w:rFonts w:eastAsia="Calibri"/>
        </w:rPr>
        <w:t>)</w:t>
      </w:r>
      <w:r w:rsidRPr="13368066">
        <w:rPr>
          <w:rFonts w:eastAsia="Calibri"/>
        </w:rPr>
        <w:t>. Stepping over the threshold of the house, a cupboard set into the wall</w:t>
      </w:r>
      <w:r>
        <w:rPr>
          <w:rFonts w:eastAsia="Calibri"/>
        </w:rPr>
        <w:t xml:space="preserve"> by the fireplace</w:t>
      </w:r>
      <w:r w:rsidRPr="13368066">
        <w:rPr>
          <w:rFonts w:eastAsia="Calibri"/>
        </w:rPr>
        <w:t xml:space="preserve"> was discovered during recent renovations, hidden from view for generations but carved with an inscription </w:t>
      </w:r>
      <w:r>
        <w:rPr>
          <w:rFonts w:eastAsia="Calibri"/>
        </w:rPr>
        <w:t xml:space="preserve">that </w:t>
      </w:r>
      <w:r w:rsidRPr="13368066">
        <w:rPr>
          <w:rFonts w:eastAsia="Calibri"/>
        </w:rPr>
        <w:t>echo</w:t>
      </w:r>
      <w:r>
        <w:rPr>
          <w:rFonts w:eastAsia="Calibri"/>
        </w:rPr>
        <w:t>es</w:t>
      </w:r>
      <w:r w:rsidRPr="13368066">
        <w:rPr>
          <w:rFonts w:eastAsia="Calibri"/>
        </w:rPr>
        <w:t xml:space="preserve"> the lintel, reading ‘</w:t>
      </w:r>
      <w:bookmarkStart w:id="0" w:name="_Int_2TgpjDtV"/>
      <w:proofErr w:type="gramStart"/>
      <w:r w:rsidRPr="13368066">
        <w:rPr>
          <w:rFonts w:eastAsia="Calibri"/>
        </w:rPr>
        <w:t>RG :</w:t>
      </w:r>
      <w:bookmarkEnd w:id="0"/>
      <w:proofErr w:type="gramEnd"/>
      <w:r w:rsidRPr="13368066">
        <w:rPr>
          <w:rFonts w:eastAsia="Calibri"/>
        </w:rPr>
        <w:t xml:space="preserve"> DG 1715’</w:t>
      </w:r>
      <w:r>
        <w:rPr>
          <w:rFonts w:eastAsia="Calibri"/>
        </w:rPr>
        <w:t xml:space="preserve"> (Figure 2, p.</w:t>
      </w:r>
      <w:r w:rsidR="002B6C4E">
        <w:rPr>
          <w:rFonts w:eastAsia="Calibri"/>
        </w:rPr>
        <w:t>316</w:t>
      </w:r>
      <w:r>
        <w:rPr>
          <w:rFonts w:eastAsia="Calibri"/>
        </w:rPr>
        <w:t>)</w:t>
      </w:r>
      <w:r w:rsidRPr="13368066">
        <w:rPr>
          <w:rFonts w:eastAsia="Calibri"/>
        </w:rPr>
        <w:t xml:space="preserve">. A wealth of personalised objects </w:t>
      </w:r>
      <w:bookmarkStart w:id="1" w:name="_Int_DAM9cSt2"/>
      <w:proofErr w:type="gramStart"/>
      <w:r w:rsidRPr="13368066">
        <w:rPr>
          <w:rFonts w:eastAsia="Calibri"/>
        </w:rPr>
        <w:t>survive</w:t>
      </w:r>
      <w:bookmarkEnd w:id="1"/>
      <w:proofErr w:type="gramEnd"/>
      <w:r w:rsidRPr="13368066">
        <w:rPr>
          <w:rFonts w:eastAsia="Calibri"/>
        </w:rPr>
        <w:t xml:space="preserve"> from early modern England, with initials present upon anything from jewellery to snuffboxes, chairs to tankards, and cribs to cushions. While many of these objects survive </w:t>
      </w:r>
      <w:r>
        <w:rPr>
          <w:rFonts w:eastAsia="Calibri"/>
        </w:rPr>
        <w:t xml:space="preserve">primarily </w:t>
      </w:r>
      <w:r w:rsidRPr="13368066">
        <w:rPr>
          <w:rFonts w:eastAsia="Calibri"/>
        </w:rPr>
        <w:t xml:space="preserve">in museum collections or as antiques in private homes, the initials at Hall Farmhouse remain in situ. </w:t>
      </w:r>
      <w:r>
        <w:rPr>
          <w:rFonts w:eastAsia="Calibri"/>
        </w:rPr>
        <w:t>I</w:t>
      </w:r>
      <w:r w:rsidRPr="005F5264">
        <w:rPr>
          <w:rFonts w:eastAsia="Calibri"/>
        </w:rPr>
        <w:t>nscriptions carved into the fabric of homes</w:t>
      </w:r>
      <w:r>
        <w:rPr>
          <w:rFonts w:eastAsia="Calibri"/>
        </w:rPr>
        <w:t xml:space="preserve"> have traditionally been considered separately from those carved upon objects, divided along disciplinary lines. Consequently, the inscribed façades of houses have generally been examined by architectural historians while inscribed interiors, household goods and personal possessions have been discussed by scholars of material culture. </w:t>
      </w:r>
      <w:r w:rsidRPr="13368066">
        <w:rPr>
          <w:rFonts w:eastAsia="Calibri"/>
        </w:rPr>
        <w:t>With</w:t>
      </w:r>
      <w:r>
        <w:rPr>
          <w:rFonts w:eastAsia="Calibri"/>
        </w:rPr>
        <w:t xml:space="preserve"> two sets of marital</w:t>
      </w:r>
      <w:r w:rsidRPr="13368066">
        <w:rPr>
          <w:rFonts w:eastAsia="Calibri"/>
        </w:rPr>
        <w:t xml:space="preserve"> in</w:t>
      </w:r>
      <w:r>
        <w:rPr>
          <w:rFonts w:eastAsia="Calibri"/>
        </w:rPr>
        <w:t>scriptions</w:t>
      </w:r>
      <w:r w:rsidRPr="13368066">
        <w:rPr>
          <w:rFonts w:eastAsia="Calibri"/>
        </w:rPr>
        <w:t xml:space="preserve"> </w:t>
      </w:r>
      <w:r>
        <w:rPr>
          <w:rFonts w:eastAsia="Calibri"/>
        </w:rPr>
        <w:t xml:space="preserve">surviving </w:t>
      </w:r>
      <w:r w:rsidRPr="13368066">
        <w:rPr>
          <w:rFonts w:eastAsia="Calibri"/>
        </w:rPr>
        <w:t>across the</w:t>
      </w:r>
      <w:r>
        <w:rPr>
          <w:rFonts w:eastAsia="Calibri"/>
        </w:rPr>
        <w:t xml:space="preserve"> exterior </w:t>
      </w:r>
      <w:r w:rsidRPr="13368066">
        <w:rPr>
          <w:rFonts w:eastAsia="Calibri"/>
        </w:rPr>
        <w:t xml:space="preserve">and </w:t>
      </w:r>
      <w:r>
        <w:rPr>
          <w:rFonts w:eastAsia="Calibri"/>
        </w:rPr>
        <w:t>interior</w:t>
      </w:r>
      <w:r w:rsidRPr="13368066">
        <w:rPr>
          <w:rFonts w:eastAsia="Calibri"/>
        </w:rPr>
        <w:t xml:space="preserve"> of the Gibsons’ home, Hall Farmhouse serves as a bridge between the two</w:t>
      </w:r>
      <w:r>
        <w:rPr>
          <w:rFonts w:eastAsia="Calibri"/>
        </w:rPr>
        <w:t xml:space="preserve"> disciplines</w:t>
      </w:r>
      <w:r w:rsidRPr="13368066">
        <w:rPr>
          <w:rFonts w:eastAsia="Calibri"/>
        </w:rPr>
        <w:t xml:space="preserve">, </w:t>
      </w:r>
      <w:r>
        <w:rPr>
          <w:rFonts w:eastAsia="Calibri"/>
        </w:rPr>
        <w:t>drawing attention to</w:t>
      </w:r>
      <w:r w:rsidRPr="13368066">
        <w:rPr>
          <w:rFonts w:eastAsia="Calibri"/>
        </w:rPr>
        <w:t xml:space="preserve"> the continuities that early modern people would have perceived across </w:t>
      </w:r>
      <w:r>
        <w:rPr>
          <w:rFonts w:eastAsia="Calibri"/>
        </w:rPr>
        <w:t xml:space="preserve">inscriptions on </w:t>
      </w:r>
      <w:r w:rsidRPr="13368066">
        <w:rPr>
          <w:rFonts w:eastAsia="Calibri"/>
        </w:rPr>
        <w:t>objects and buildings.</w:t>
      </w:r>
    </w:p>
    <w:p w14:paraId="3932ECCB" w14:textId="77777777" w:rsidR="00EC1EEB" w:rsidRDefault="00EC1EEB" w:rsidP="00C47014">
      <w:pPr>
        <w:spacing w:after="0" w:line="480" w:lineRule="auto"/>
        <w:ind w:firstLine="720"/>
        <w:jc w:val="both"/>
        <w:rPr>
          <w:rFonts w:eastAsia="Calibri"/>
        </w:rPr>
      </w:pPr>
      <w:r>
        <w:rPr>
          <w:rFonts w:eastAsia="Calibri"/>
        </w:rPr>
        <w:t>T</w:t>
      </w:r>
      <w:r w:rsidRPr="00495408">
        <w:rPr>
          <w:rFonts w:eastAsia="Calibri"/>
        </w:rPr>
        <w:t>his thesis is concerned with understanding</w:t>
      </w:r>
      <w:r>
        <w:rPr>
          <w:rFonts w:eastAsia="Calibri"/>
        </w:rPr>
        <w:t xml:space="preserve"> the</w:t>
      </w:r>
      <w:r w:rsidRPr="00495408">
        <w:rPr>
          <w:rFonts w:eastAsia="Calibri"/>
        </w:rPr>
        <w:t xml:space="preserve"> significance</w:t>
      </w:r>
      <w:r>
        <w:rPr>
          <w:rFonts w:eastAsia="Calibri"/>
        </w:rPr>
        <w:t xml:space="preserve"> of marital inscriptions in early modern England,</w:t>
      </w:r>
      <w:r w:rsidRPr="00495408">
        <w:rPr>
          <w:rFonts w:eastAsia="Calibri"/>
        </w:rPr>
        <w:t xml:space="preserve"> </w:t>
      </w:r>
      <w:r>
        <w:rPr>
          <w:rFonts w:eastAsia="Calibri"/>
        </w:rPr>
        <w:t>charting and untangling</w:t>
      </w:r>
      <w:r w:rsidRPr="00495408">
        <w:rPr>
          <w:rFonts w:eastAsia="Calibri"/>
        </w:rPr>
        <w:t xml:space="preserve"> the meanings embodied within inscriptions </w:t>
      </w:r>
      <w:r>
        <w:rPr>
          <w:rFonts w:eastAsia="Calibri"/>
        </w:rPr>
        <w:t xml:space="preserve">that </w:t>
      </w:r>
      <w:r w:rsidRPr="00495408">
        <w:rPr>
          <w:rFonts w:eastAsia="Calibri"/>
        </w:rPr>
        <w:t>referenc</w:t>
      </w:r>
      <w:r>
        <w:rPr>
          <w:rFonts w:eastAsia="Calibri"/>
        </w:rPr>
        <w:t xml:space="preserve">ed </w:t>
      </w:r>
      <w:r w:rsidRPr="00495408">
        <w:rPr>
          <w:rFonts w:eastAsia="Calibri"/>
        </w:rPr>
        <w:t>husbands and wives</w:t>
      </w:r>
      <w:r>
        <w:rPr>
          <w:rFonts w:eastAsia="Calibri"/>
        </w:rPr>
        <w:t xml:space="preserve"> alongside one another</w:t>
      </w:r>
      <w:r w:rsidRPr="00495408">
        <w:rPr>
          <w:rFonts w:eastAsia="Calibri"/>
        </w:rPr>
        <w:t>.</w:t>
      </w:r>
      <w:r>
        <w:rPr>
          <w:rFonts w:eastAsia="Calibri"/>
        </w:rPr>
        <w:t xml:space="preserve"> It interrogates the expectations couples brought to the inscriptions they </w:t>
      </w:r>
      <w:proofErr w:type="gramStart"/>
      <w:r>
        <w:rPr>
          <w:rFonts w:eastAsia="Calibri"/>
        </w:rPr>
        <w:t>commissioned, and</w:t>
      </w:r>
      <w:proofErr w:type="gramEnd"/>
      <w:r>
        <w:rPr>
          <w:rFonts w:eastAsia="Calibri"/>
        </w:rPr>
        <w:t xml:space="preserve"> considers what they were hoping </w:t>
      </w:r>
      <w:r>
        <w:rPr>
          <w:rFonts w:eastAsia="Calibri"/>
        </w:rPr>
        <w:lastRenderedPageBreak/>
        <w:t>to achieve when inscribing their homes and possessions. To do so, this thesis</w:t>
      </w:r>
      <w:r w:rsidRPr="008C1D08">
        <w:rPr>
          <w:rFonts w:eastAsia="Calibri"/>
        </w:rPr>
        <w:t xml:space="preserve"> analyses </w:t>
      </w:r>
      <w:r>
        <w:rPr>
          <w:rFonts w:eastAsia="Calibri"/>
        </w:rPr>
        <w:t>inscribed homes</w:t>
      </w:r>
      <w:r w:rsidRPr="008C1D08">
        <w:rPr>
          <w:rFonts w:eastAsia="Calibri"/>
        </w:rPr>
        <w:t xml:space="preserve"> in two communities in Lancashire and Cheshire</w:t>
      </w:r>
      <w:r>
        <w:rPr>
          <w:rFonts w:eastAsia="Calibri"/>
        </w:rPr>
        <w:t>. U</w:t>
      </w:r>
      <w:r w:rsidRPr="008C1D08">
        <w:rPr>
          <w:rFonts w:eastAsia="Calibri"/>
        </w:rPr>
        <w:t>sing</w:t>
      </w:r>
      <w:r>
        <w:rPr>
          <w:rFonts w:eastAsia="Calibri"/>
        </w:rPr>
        <w:t xml:space="preserve"> a case study approach rooted in</w:t>
      </w:r>
      <w:r w:rsidRPr="008C1D08">
        <w:rPr>
          <w:rFonts w:eastAsia="Calibri"/>
        </w:rPr>
        <w:t xml:space="preserve"> extensive archival research</w:t>
      </w:r>
      <w:r>
        <w:rPr>
          <w:rFonts w:eastAsia="Calibri"/>
        </w:rPr>
        <w:t>, it</w:t>
      </w:r>
      <w:r w:rsidRPr="008C1D08">
        <w:rPr>
          <w:rFonts w:eastAsia="Calibri"/>
        </w:rPr>
        <w:t xml:space="preserve"> trace</w:t>
      </w:r>
      <w:r>
        <w:rPr>
          <w:rFonts w:eastAsia="Calibri"/>
        </w:rPr>
        <w:t>s</w:t>
      </w:r>
      <w:r w:rsidRPr="008C1D08">
        <w:rPr>
          <w:rFonts w:eastAsia="Calibri"/>
        </w:rPr>
        <w:t xml:space="preserve"> the couples who built these properties </w:t>
      </w:r>
      <w:r>
        <w:rPr>
          <w:rFonts w:eastAsia="Calibri"/>
        </w:rPr>
        <w:t>and commissioned the marital inscriptions upon and inside their homes, undertaking a close reading of inscription practices and investigating how individual families and couples might have understood inscriptions within the context of their everyday lives.</w:t>
      </w:r>
      <w:r w:rsidRPr="008C1D08">
        <w:rPr>
          <w:rFonts w:eastAsia="Calibri"/>
        </w:rPr>
        <w:t xml:space="preserve"> This thesis also examines contemporary printed texts to </w:t>
      </w:r>
      <w:r>
        <w:rPr>
          <w:rFonts w:eastAsia="Calibri"/>
        </w:rPr>
        <w:t>survey</w:t>
      </w:r>
      <w:r w:rsidRPr="008C1D08">
        <w:rPr>
          <w:rFonts w:eastAsia="Calibri"/>
        </w:rPr>
        <w:t xml:space="preserve"> perceptions of inscription in wider society; uses quantitative and qualitative methods to situate, compare and analyse </w:t>
      </w:r>
      <w:r>
        <w:rPr>
          <w:rFonts w:eastAsia="Calibri"/>
        </w:rPr>
        <w:t xml:space="preserve">inscribing </w:t>
      </w:r>
      <w:r w:rsidRPr="008C1D08">
        <w:rPr>
          <w:rFonts w:eastAsia="Calibri"/>
        </w:rPr>
        <w:t>couples within their communities; and scrutinises the visual vocabulary used in inscriptions in both areas through an art historical and anthropological lens.</w:t>
      </w:r>
    </w:p>
    <w:p w14:paraId="71B2F4FF" w14:textId="370257F7" w:rsidR="00EC1EEB" w:rsidRPr="008C1D08" w:rsidRDefault="00EC1EEB" w:rsidP="00C47014">
      <w:pPr>
        <w:spacing w:after="0" w:line="480" w:lineRule="auto"/>
        <w:ind w:firstLine="720"/>
        <w:jc w:val="both"/>
        <w:rPr>
          <w:rFonts w:eastAsia="Calibri"/>
        </w:rPr>
      </w:pPr>
      <w:r>
        <w:rPr>
          <w:rFonts w:eastAsia="Calibri"/>
        </w:rPr>
        <w:t>In the process, this</w:t>
      </w:r>
      <w:r w:rsidRPr="008C1D08">
        <w:rPr>
          <w:rFonts w:eastAsia="Calibri"/>
        </w:rPr>
        <w:t xml:space="preserve"> thesis contends that inscription was a rich social and cultural practice entangled with religion, superstition, wealth and status, to which individual couples attached deep emotional meaning.</w:t>
      </w:r>
      <w:r>
        <w:rPr>
          <w:rFonts w:eastAsia="Calibri"/>
        </w:rPr>
        <w:t xml:space="preserve"> </w:t>
      </w:r>
      <w:r w:rsidRPr="008C1D08">
        <w:rPr>
          <w:rFonts w:eastAsia="Calibri"/>
        </w:rPr>
        <w:t xml:space="preserve">Couples inscribed their homes when secure in their tenure, upon the birth of their children, and to reinforce their bond as marriage partners, demonstrating and celebrating their commitment to each other, their family and their home. </w:t>
      </w:r>
      <w:r>
        <w:rPr>
          <w:rFonts w:eastAsia="Calibri"/>
        </w:rPr>
        <w:t>This thesis also interprets marriage itself as a social practice sustained through objects and buildings and highlights</w:t>
      </w:r>
      <w:r w:rsidRPr="008C1D08">
        <w:rPr>
          <w:rFonts w:eastAsia="Calibri"/>
        </w:rPr>
        <w:t xml:space="preserve"> the central role of materiality in people’s emotional and social lives in early modern England. </w:t>
      </w:r>
      <w:r>
        <w:rPr>
          <w:rFonts w:eastAsia="Calibri"/>
        </w:rPr>
        <w:t>In making these arguments, the thesis contributes to the growing historiography that regards material culture as</w:t>
      </w:r>
      <w:r w:rsidRPr="008C1D08">
        <w:rPr>
          <w:rFonts w:eastAsia="Calibri"/>
        </w:rPr>
        <w:t xml:space="preserve"> </w:t>
      </w:r>
      <w:r>
        <w:rPr>
          <w:rFonts w:eastAsia="Calibri"/>
        </w:rPr>
        <w:t xml:space="preserve">an </w:t>
      </w:r>
      <w:r w:rsidRPr="008C1D08">
        <w:rPr>
          <w:rFonts w:eastAsia="Calibri"/>
        </w:rPr>
        <w:t>important tool for self-understanding and meaning</w:t>
      </w:r>
      <w:r>
        <w:rPr>
          <w:rFonts w:eastAsia="Calibri"/>
        </w:rPr>
        <w:t xml:space="preserve"> </w:t>
      </w:r>
      <w:proofErr w:type="gramStart"/>
      <w:r w:rsidRPr="008C1D08">
        <w:rPr>
          <w:rFonts w:eastAsia="Calibri"/>
        </w:rPr>
        <w:t>making</w:t>
      </w:r>
      <w:r>
        <w:rPr>
          <w:rFonts w:eastAsia="Calibri"/>
        </w:rPr>
        <w:t>, and</w:t>
      </w:r>
      <w:proofErr w:type="gramEnd"/>
      <w:r>
        <w:rPr>
          <w:rFonts w:eastAsia="Calibri"/>
        </w:rPr>
        <w:t xml:space="preserve"> </w:t>
      </w:r>
      <w:r w:rsidR="006A4A88">
        <w:rPr>
          <w:rFonts w:eastAsia="Calibri"/>
        </w:rPr>
        <w:t xml:space="preserve">argues </w:t>
      </w:r>
      <w:r>
        <w:rPr>
          <w:rFonts w:eastAsia="Calibri"/>
        </w:rPr>
        <w:t>that inscriptions m</w:t>
      </w:r>
      <w:r w:rsidRPr="008C1D08">
        <w:rPr>
          <w:rFonts w:eastAsia="Calibri"/>
        </w:rPr>
        <w:t xml:space="preserve">agnified </w:t>
      </w:r>
      <w:r>
        <w:rPr>
          <w:rFonts w:eastAsia="Calibri"/>
        </w:rPr>
        <w:t>its</w:t>
      </w:r>
      <w:r w:rsidRPr="008C1D08">
        <w:rPr>
          <w:rFonts w:eastAsia="Calibri"/>
        </w:rPr>
        <w:t xml:space="preserve"> power in personal and interpersonal experiences. It highlights the necessity of adopting an interdisciplinary approach to understanding early modern relationships with goods and the built environment and shows the value of </w:t>
      </w:r>
      <w:r>
        <w:rPr>
          <w:rFonts w:eastAsia="Calibri"/>
        </w:rPr>
        <w:t>contextualising</w:t>
      </w:r>
      <w:r w:rsidRPr="008C1D08">
        <w:rPr>
          <w:rFonts w:eastAsia="Calibri"/>
        </w:rPr>
        <w:t xml:space="preserve"> individual homes within a wider community-based study. </w:t>
      </w:r>
    </w:p>
    <w:p w14:paraId="796DBEE3" w14:textId="77777777" w:rsidR="00EC1EEB" w:rsidRDefault="00EC1EEB" w:rsidP="00C47014">
      <w:pPr>
        <w:spacing w:after="0" w:line="480" w:lineRule="auto"/>
        <w:ind w:firstLine="720"/>
        <w:jc w:val="both"/>
        <w:rPr>
          <w:rFonts w:eastAsia="Calibri"/>
        </w:rPr>
      </w:pPr>
    </w:p>
    <w:p w14:paraId="02410C2B" w14:textId="77777777" w:rsidR="00EC1EEB" w:rsidRPr="00E9762D" w:rsidRDefault="00EC1EEB" w:rsidP="00C47014">
      <w:pPr>
        <w:spacing w:after="0" w:line="480" w:lineRule="auto"/>
        <w:jc w:val="both"/>
        <w:rPr>
          <w:rFonts w:eastAsia="Calibri"/>
          <w:b/>
          <w:bCs/>
        </w:rPr>
      </w:pPr>
      <w:r>
        <w:rPr>
          <w:rFonts w:eastAsia="Calibri"/>
          <w:b/>
          <w:bCs/>
        </w:rPr>
        <w:t>Historiographical Perspectives on Inscriptions and Marriage</w:t>
      </w:r>
    </w:p>
    <w:p w14:paraId="147C9149" w14:textId="10F7D932" w:rsidR="00EC1EEB" w:rsidRDefault="00EC1EEB" w:rsidP="00C47014">
      <w:pPr>
        <w:spacing w:after="0" w:line="480" w:lineRule="auto"/>
        <w:ind w:firstLine="720"/>
        <w:jc w:val="both"/>
        <w:rPr>
          <w:rFonts w:eastAsia="Calibri"/>
          <w:lang w:val="en-US"/>
        </w:rPr>
      </w:pPr>
      <w:r>
        <w:rPr>
          <w:rFonts w:eastAsia="Calibri"/>
          <w:lang w:val="en-US"/>
        </w:rPr>
        <w:t xml:space="preserve">Early modern inscriptions were multi-faceted and, </w:t>
      </w:r>
      <w:proofErr w:type="gramStart"/>
      <w:r>
        <w:rPr>
          <w:rFonts w:eastAsia="Calibri"/>
          <w:lang w:val="en-US"/>
        </w:rPr>
        <w:t>as a consequence</w:t>
      </w:r>
      <w:proofErr w:type="gramEnd"/>
      <w:r>
        <w:rPr>
          <w:rFonts w:eastAsia="Calibri"/>
          <w:lang w:val="en-US"/>
        </w:rPr>
        <w:t xml:space="preserve">, are connected to a wide range of different scholarly fields. The following two sections contextualise this examination of inscriptions through reference to existing historiography and discussions of social practice theory. </w:t>
      </w:r>
      <w:r w:rsidR="00670FA2">
        <w:rPr>
          <w:rFonts w:eastAsia="Calibri"/>
          <w:lang w:val="en-US"/>
        </w:rPr>
        <w:t>Charti</w:t>
      </w:r>
      <w:r>
        <w:rPr>
          <w:rFonts w:eastAsia="Calibri"/>
          <w:lang w:val="en-US"/>
        </w:rPr>
        <w:t>ng the implications of different analytical and theoretical frameworks – even where they have not been directly implemented over the course of this thesis – serves to underscore the wide-ranging significance of inscriptions and inscription practices within early modern England and highlight the broader contribution made by this research to understandings of early modern society.</w:t>
      </w:r>
    </w:p>
    <w:p w14:paraId="09DE51D3" w14:textId="77777777" w:rsidR="00EC1EEB" w:rsidRPr="00BF4ABF" w:rsidRDefault="00EC1EEB" w:rsidP="00C47014">
      <w:pPr>
        <w:spacing w:after="0" w:line="480" w:lineRule="auto"/>
        <w:ind w:firstLine="720"/>
        <w:jc w:val="both"/>
        <w:rPr>
          <w:rFonts w:eastAsia="Calibri"/>
          <w:lang w:val="en-US"/>
        </w:rPr>
      </w:pPr>
      <w:r w:rsidRPr="00BF4ABF">
        <w:rPr>
          <w:rFonts w:eastAsia="Calibri"/>
          <w:lang w:val="en-US"/>
        </w:rPr>
        <w:t>There is a long historiography surrounding inscribed buildings. In 1953, domestic inscriptions were central to one of the most influential theories in English architectural history: W. G. Hoskins’ theory of the ‘Great Rebuilding’ of rural England.</w:t>
      </w:r>
      <w:r w:rsidRPr="00BF4ABF">
        <w:rPr>
          <w:rFonts w:eastAsia="Calibri"/>
          <w:vertAlign w:val="superscript"/>
          <w:lang w:val="en-US"/>
        </w:rPr>
        <w:footnoteReference w:id="1"/>
      </w:r>
      <w:r w:rsidRPr="00BF4ABF">
        <w:rPr>
          <w:rFonts w:eastAsia="Calibri"/>
          <w:lang w:val="en-US"/>
        </w:rPr>
        <w:t xml:space="preserve"> Basing his conclusions upon dates carved into surviving houses, Hoskins argued that rising prosperity among yeomen and husbandmen precipitated a major increase in building activity between 1570 and 1640.</w:t>
      </w:r>
      <w:r w:rsidRPr="00BF4ABF">
        <w:rPr>
          <w:rFonts w:eastAsia="Calibri"/>
          <w:vertAlign w:val="superscript"/>
          <w:lang w:val="en-US"/>
        </w:rPr>
        <w:footnoteReference w:id="2"/>
      </w:r>
      <w:r w:rsidRPr="00BF4ABF">
        <w:rPr>
          <w:rFonts w:eastAsia="Calibri"/>
          <w:lang w:val="en-US"/>
        </w:rPr>
        <w:t xml:space="preserve"> Revisiting Hoskins’ theory and also relying on dated, inscribed properties, R. Machin suggested that the </w:t>
      </w:r>
      <w:r w:rsidRPr="00BF4ABF">
        <w:rPr>
          <w:rFonts w:eastAsia="Calibri"/>
        </w:rPr>
        <w:t>‘Great Rebuilding’ occurred somewhat later, peaking ‘</w:t>
      </w:r>
      <w:r w:rsidRPr="00BF4ABF">
        <w:rPr>
          <w:rFonts w:eastAsia="Calibri"/>
          <w:i/>
          <w:iCs/>
        </w:rPr>
        <w:t>circa</w:t>
      </w:r>
      <w:r w:rsidRPr="00BF4ABF">
        <w:rPr>
          <w:rFonts w:eastAsia="Calibri"/>
        </w:rPr>
        <w:t xml:space="preserve"> 1700</w:t>
      </w:r>
      <w:r>
        <w:rPr>
          <w:rFonts w:eastAsia="Calibri"/>
        </w:rPr>
        <w:t xml:space="preserve"> rather than </w:t>
      </w:r>
      <w:r>
        <w:rPr>
          <w:rFonts w:eastAsia="Calibri"/>
          <w:i/>
          <w:iCs/>
        </w:rPr>
        <w:t xml:space="preserve">circa </w:t>
      </w:r>
      <w:r>
        <w:rPr>
          <w:rFonts w:eastAsia="Calibri"/>
        </w:rPr>
        <w:t>1600</w:t>
      </w:r>
      <w:r w:rsidRPr="00BF4ABF">
        <w:rPr>
          <w:rFonts w:eastAsia="Calibri"/>
        </w:rPr>
        <w:t>’.</w:t>
      </w:r>
      <w:r w:rsidRPr="00BF4ABF">
        <w:rPr>
          <w:rFonts w:eastAsia="Calibri"/>
          <w:vertAlign w:val="superscript"/>
          <w:lang w:val="en-US"/>
        </w:rPr>
        <w:footnoteReference w:id="3"/>
      </w:r>
      <w:r w:rsidRPr="00BF4ABF">
        <w:rPr>
          <w:rFonts w:eastAsia="Calibri"/>
          <w:vertAlign w:val="superscript"/>
          <w:lang w:val="en-US"/>
        </w:rPr>
        <w:t xml:space="preserve"> </w:t>
      </w:r>
      <w:r w:rsidRPr="00BF4ABF">
        <w:rPr>
          <w:rFonts w:eastAsia="Calibri"/>
          <w:lang w:val="en-US"/>
        </w:rPr>
        <w:t>Importantly, Machin also advanced a more nuanced understanding of inscriptions, arguing that dates could mark building works (or even marriages and changes in ownership) without signifying the complete construction or reconstruction of a home.</w:t>
      </w:r>
      <w:r w:rsidRPr="00BF4ABF">
        <w:rPr>
          <w:rFonts w:eastAsia="Calibri"/>
          <w:vertAlign w:val="superscript"/>
          <w:lang w:val="en-US"/>
        </w:rPr>
        <w:footnoteReference w:id="4"/>
      </w:r>
      <w:r w:rsidRPr="00BF4ABF">
        <w:rPr>
          <w:rFonts w:eastAsia="Calibri"/>
          <w:lang w:val="en-US"/>
        </w:rPr>
        <w:t xml:space="preserve"> While Hoskins’ theory has been repeatedly critiqued in subsequent decades, scholars have </w:t>
      </w:r>
      <w:r w:rsidRPr="00BF4ABF">
        <w:rPr>
          <w:rFonts w:eastAsia="Calibri"/>
          <w:lang w:val="en-US"/>
        </w:rPr>
        <w:lastRenderedPageBreak/>
        <w:t xml:space="preserve">continued to use his terminology, with many also using dated buildings and inscriptions to pinpoint and understand periods of building activity in different </w:t>
      </w:r>
      <w:r>
        <w:rPr>
          <w:rFonts w:eastAsia="Calibri"/>
          <w:lang w:val="en-US"/>
        </w:rPr>
        <w:t xml:space="preserve">English </w:t>
      </w:r>
      <w:r w:rsidRPr="00BF4ABF">
        <w:rPr>
          <w:rFonts w:eastAsia="Calibri"/>
          <w:lang w:val="en-US"/>
        </w:rPr>
        <w:t>regions.</w:t>
      </w:r>
      <w:r w:rsidRPr="00BF4ABF">
        <w:rPr>
          <w:rFonts w:eastAsia="Calibri"/>
          <w:vertAlign w:val="superscript"/>
          <w:lang w:val="en-US"/>
        </w:rPr>
        <w:footnoteReference w:id="5"/>
      </w:r>
    </w:p>
    <w:p w14:paraId="30F5CDE4" w14:textId="77777777" w:rsidR="00EC1EEB" w:rsidRPr="00BF4ABF" w:rsidRDefault="00EC1EEB" w:rsidP="00C47014">
      <w:pPr>
        <w:spacing w:after="0" w:line="480" w:lineRule="auto"/>
        <w:ind w:firstLine="720"/>
        <w:jc w:val="both"/>
        <w:rPr>
          <w:rFonts w:eastAsia="Calibri"/>
          <w:lang w:val="en-US"/>
        </w:rPr>
      </w:pPr>
      <w:r w:rsidRPr="00BF4ABF">
        <w:rPr>
          <w:rFonts w:eastAsia="Calibri"/>
          <w:lang w:val="en-US"/>
        </w:rPr>
        <w:t>Adopting a similar local lens, numerous illustrated editions have featured buildings inscribed with dates and initials when identifying and classifying different styles of British vernacular architecture.</w:t>
      </w:r>
      <w:r w:rsidRPr="00BF4ABF">
        <w:rPr>
          <w:rFonts w:eastAsia="Calibri"/>
          <w:vertAlign w:val="superscript"/>
          <w:lang w:val="en-US"/>
        </w:rPr>
        <w:footnoteReference w:id="6"/>
      </w:r>
      <w:r w:rsidRPr="00BF4ABF">
        <w:rPr>
          <w:rFonts w:eastAsia="Calibri"/>
          <w:lang w:val="en-US"/>
        </w:rPr>
        <w:t xml:space="preserve"> A long tradition of local historical research is an important reference point for this thesis, particularly since a rich architectural </w:t>
      </w:r>
      <w:r>
        <w:rPr>
          <w:rFonts w:eastAsia="Calibri"/>
          <w:lang w:val="en-US"/>
        </w:rPr>
        <w:t xml:space="preserve">and </w:t>
      </w:r>
      <w:r w:rsidRPr="00BF4ABF">
        <w:rPr>
          <w:rFonts w:eastAsia="Calibri"/>
          <w:lang w:val="en-US"/>
        </w:rPr>
        <w:t xml:space="preserve">historical guide exists for one of the two parishes at its heart: Bolton-le-Sands in northern Lancashire, home to Robert and Deborah Gibson mentioned above. Published in 1994 by Emmeline Garnett, </w:t>
      </w:r>
      <w:r w:rsidRPr="00BF4ABF">
        <w:rPr>
          <w:rFonts w:eastAsia="Calibri"/>
          <w:i/>
          <w:iCs/>
          <w:lang w:val="en-US"/>
        </w:rPr>
        <w:t xml:space="preserve">The Dated Buildings of South Lonsdale </w:t>
      </w:r>
      <w:r w:rsidRPr="00BF4ABF">
        <w:rPr>
          <w:rFonts w:eastAsia="Calibri"/>
          <w:lang w:val="en-US"/>
        </w:rPr>
        <w:t xml:space="preserve">comprises brief but extensively researched historical summaries of </w:t>
      </w:r>
      <w:r>
        <w:rPr>
          <w:rFonts w:eastAsia="Calibri"/>
          <w:lang w:val="en-US"/>
        </w:rPr>
        <w:t>a considerable proportion of all</w:t>
      </w:r>
      <w:r w:rsidRPr="00BF4ABF">
        <w:rPr>
          <w:rFonts w:eastAsia="Calibri"/>
          <w:lang w:val="en-US"/>
        </w:rPr>
        <w:t xml:space="preserve"> dated inscriptions in the </w:t>
      </w:r>
      <w:proofErr w:type="spellStart"/>
      <w:r w:rsidRPr="00BF4ABF">
        <w:rPr>
          <w:rFonts w:eastAsia="Calibri"/>
          <w:lang w:val="en-US"/>
        </w:rPr>
        <w:t>hundred</w:t>
      </w:r>
      <w:proofErr w:type="spellEnd"/>
      <w:r w:rsidRPr="00BF4ABF">
        <w:rPr>
          <w:rFonts w:eastAsia="Calibri"/>
          <w:lang w:val="en-US"/>
        </w:rPr>
        <w:t xml:space="preserve"> of South Lonsdale, including Bolton-le-Sands parish.</w:t>
      </w:r>
      <w:r w:rsidRPr="00BF4ABF">
        <w:rPr>
          <w:rFonts w:eastAsia="Calibri"/>
          <w:vertAlign w:val="superscript"/>
          <w:lang w:val="en-US"/>
        </w:rPr>
        <w:footnoteReference w:id="7"/>
      </w:r>
      <w:r w:rsidRPr="00BF4ABF">
        <w:rPr>
          <w:rFonts w:eastAsia="Calibri"/>
          <w:lang w:val="en-US"/>
        </w:rPr>
        <w:t xml:space="preserve"> Charting all inscriptions nearby from the early modern period to the present day, Garnett has </w:t>
      </w:r>
      <w:r w:rsidRPr="00BF4ABF">
        <w:rPr>
          <w:rFonts w:eastAsia="Calibri"/>
        </w:rPr>
        <w:t>also suggested that the most vigorous phase of building activity took place in north Lancashire between 1670-1700, based on dates inscribed upon local properties.</w:t>
      </w:r>
      <w:r w:rsidRPr="00BF4ABF">
        <w:rPr>
          <w:rFonts w:eastAsia="Calibri"/>
          <w:vertAlign w:val="superscript"/>
        </w:rPr>
        <w:footnoteReference w:id="8"/>
      </w:r>
    </w:p>
    <w:p w14:paraId="60E86D2E" w14:textId="6F2B0E18" w:rsidR="00EC1EEB" w:rsidRDefault="00EC1EEB" w:rsidP="00C47014">
      <w:pPr>
        <w:spacing w:after="0" w:line="480" w:lineRule="auto"/>
        <w:ind w:firstLine="720"/>
        <w:jc w:val="both"/>
        <w:rPr>
          <w:rFonts w:eastAsia="Calibri"/>
          <w:lang w:val="en-US"/>
        </w:rPr>
      </w:pPr>
      <w:r w:rsidRPr="00BF4ABF">
        <w:rPr>
          <w:rFonts w:eastAsia="Calibri"/>
          <w:lang w:val="en-US"/>
        </w:rPr>
        <w:t xml:space="preserve">In focusing on the Great Rebuilding, Garnett has primarily explored the connection between inscriptions and the financial ability to rebuild a home. In so doing, although she has not explicitly framed inscriptions as celebrations of wealth, economic circumstances loom </w:t>
      </w:r>
      <w:r w:rsidRPr="00BF4ABF">
        <w:rPr>
          <w:rFonts w:eastAsia="Calibri"/>
          <w:lang w:val="en-US"/>
        </w:rPr>
        <w:lastRenderedPageBreak/>
        <w:t>large as the main explanation for inscriptions in her work. Both Matthew Johnson and Chris King have critiqued the predominance of economics in previous considerations of early modern housebuilding, with Johnson advocating for a more culturally orientated focus in the field of vernacular architecture</w:t>
      </w:r>
      <w:r>
        <w:rPr>
          <w:rFonts w:eastAsia="Calibri"/>
          <w:lang w:val="en-US"/>
        </w:rPr>
        <w:t>,</w:t>
      </w:r>
      <w:r w:rsidRPr="00BF4ABF">
        <w:rPr>
          <w:rFonts w:eastAsia="Calibri"/>
          <w:lang w:val="en-US"/>
        </w:rPr>
        <w:t xml:space="preserve"> as well as arguing that inscribing a house was a culturally informed process.</w:t>
      </w:r>
      <w:r w:rsidRPr="00BF4ABF">
        <w:rPr>
          <w:rFonts w:eastAsia="Calibri"/>
          <w:vertAlign w:val="superscript"/>
          <w:lang w:val="en-US"/>
        </w:rPr>
        <w:footnoteReference w:id="9"/>
      </w:r>
      <w:r w:rsidRPr="00BF4ABF">
        <w:rPr>
          <w:rFonts w:eastAsia="Calibri"/>
          <w:lang w:val="en-US"/>
        </w:rPr>
        <w:t xml:space="preserve"> Adrian Green took some steps towards synthesising economic and cultural arguments for inscriptions in his unpublished doctoral thesis, suggesting that they constituted outward advertisements of wealth at a time when fewer couples were able to marry – something Green attributed to the prohibitive financial demands of securing a partner and establishing an independent household in the late</w:t>
      </w:r>
      <w:r w:rsidR="00734C22">
        <w:rPr>
          <w:rFonts w:eastAsia="Calibri"/>
          <w:lang w:val="en-US"/>
        </w:rPr>
        <w:t>-</w:t>
      </w:r>
      <w:r w:rsidRPr="00BF4ABF">
        <w:rPr>
          <w:rFonts w:eastAsia="Calibri"/>
          <w:lang w:val="en-US"/>
        </w:rPr>
        <w:t>seventeenth century.</w:t>
      </w:r>
      <w:r w:rsidRPr="00BF4ABF">
        <w:rPr>
          <w:rFonts w:eastAsia="Calibri"/>
          <w:vertAlign w:val="superscript"/>
          <w:lang w:val="en-US"/>
        </w:rPr>
        <w:footnoteReference w:id="10"/>
      </w:r>
    </w:p>
    <w:p w14:paraId="4FB1773E" w14:textId="77777777" w:rsidR="00EC1EEB" w:rsidRPr="00BF4ABF" w:rsidRDefault="00EC1EEB" w:rsidP="00C47014">
      <w:pPr>
        <w:spacing w:after="0" w:line="480" w:lineRule="auto"/>
        <w:ind w:firstLine="720"/>
        <w:jc w:val="both"/>
        <w:rPr>
          <w:rFonts w:eastAsia="Calibri"/>
          <w:lang w:val="en-US"/>
        </w:rPr>
      </w:pPr>
      <w:r w:rsidRPr="00BF4ABF">
        <w:rPr>
          <w:rFonts w:eastAsia="Calibri"/>
          <w:lang w:val="en-US"/>
        </w:rPr>
        <w:t>Green has argued elsewhere that</w:t>
      </w:r>
      <w:r>
        <w:rPr>
          <w:rFonts w:eastAsia="Calibri"/>
          <w:lang w:val="en-US"/>
        </w:rPr>
        <w:t>, when carved upon houses,</w:t>
      </w:r>
      <w:r w:rsidRPr="00BF4ABF">
        <w:rPr>
          <w:rFonts w:eastAsia="Calibri"/>
          <w:lang w:val="en-US"/>
        </w:rPr>
        <w:t xml:space="preserve"> ‘inscriptions announced [a] successful marriage to visitors and passers-by’, and has proposed that ‘the force of inscriptions gained greater meaning when marriage and security of tenure were a rarer achievement’.</w:t>
      </w:r>
      <w:r w:rsidRPr="00BF4ABF">
        <w:rPr>
          <w:rFonts w:eastAsia="Calibri"/>
          <w:vertAlign w:val="superscript"/>
          <w:lang w:val="en-US"/>
        </w:rPr>
        <w:footnoteReference w:id="11"/>
      </w:r>
      <w:r w:rsidRPr="00BF4ABF">
        <w:rPr>
          <w:rFonts w:eastAsia="Calibri"/>
          <w:lang w:val="en-US"/>
        </w:rPr>
        <w:t xml:space="preserve"> More recent work by Harold Mytum, Hanneke Ronnes and Alexandra Westra has reinforced a cultural turn in the study of inscribed buildings, connecting the use of dated initials on homes with the development of the concept of linear time and with identity formation.</w:t>
      </w:r>
      <w:r w:rsidRPr="00BF4ABF">
        <w:rPr>
          <w:rFonts w:eastAsia="Calibri"/>
          <w:vertAlign w:val="superscript"/>
          <w:lang w:val="en-US"/>
        </w:rPr>
        <w:footnoteReference w:id="12"/>
      </w:r>
      <w:r w:rsidRPr="00BF4ABF">
        <w:rPr>
          <w:rFonts w:eastAsia="Calibri"/>
          <w:lang w:val="en-US"/>
        </w:rPr>
        <w:t xml:space="preserve"> Negotiating these different perspectives, this thesis </w:t>
      </w:r>
      <w:r>
        <w:rPr>
          <w:rFonts w:eastAsia="Calibri"/>
          <w:lang w:val="en-US"/>
        </w:rPr>
        <w:t>recognises the force of economic explanations</w:t>
      </w:r>
      <w:r w:rsidRPr="00BF4ABF">
        <w:rPr>
          <w:rFonts w:eastAsia="Calibri"/>
          <w:lang w:val="en-US"/>
        </w:rPr>
        <w:t xml:space="preserve"> and the possibility of a connection between wealth and inscription. At </w:t>
      </w:r>
      <w:r w:rsidRPr="00BF4ABF">
        <w:rPr>
          <w:rFonts w:eastAsia="Calibri"/>
          <w:lang w:val="en-US"/>
        </w:rPr>
        <w:lastRenderedPageBreak/>
        <w:t xml:space="preserve">the same time, </w:t>
      </w:r>
      <w:r>
        <w:rPr>
          <w:rFonts w:eastAsia="Calibri"/>
          <w:lang w:val="en-US"/>
        </w:rPr>
        <w:t>it also further explores</w:t>
      </w:r>
      <w:r w:rsidRPr="00BF4ABF">
        <w:rPr>
          <w:rFonts w:eastAsia="Calibri"/>
          <w:lang w:val="en-US"/>
        </w:rPr>
        <w:t xml:space="preserve"> the socio-cultural significance of inscriptions upon buildings</w:t>
      </w:r>
      <w:r>
        <w:rPr>
          <w:rFonts w:eastAsia="Calibri"/>
          <w:lang w:val="en-US"/>
        </w:rPr>
        <w:t xml:space="preserve"> and the</w:t>
      </w:r>
      <w:r w:rsidRPr="00BF4ABF">
        <w:rPr>
          <w:rFonts w:eastAsia="Calibri"/>
          <w:lang w:val="en-US"/>
        </w:rPr>
        <w:t xml:space="preserve"> different significations such inscriptions might have carried for contemporaries.</w:t>
      </w:r>
    </w:p>
    <w:p w14:paraId="66387730" w14:textId="77777777" w:rsidR="00EC1EEB" w:rsidRPr="00BF4ABF" w:rsidRDefault="00EC1EEB" w:rsidP="00C47014">
      <w:pPr>
        <w:spacing w:after="0" w:line="480" w:lineRule="auto"/>
        <w:ind w:firstLine="720"/>
        <w:jc w:val="both"/>
        <w:rPr>
          <w:rFonts w:eastAsia="Calibri"/>
          <w:lang w:val="en-US"/>
        </w:rPr>
      </w:pPr>
      <w:r w:rsidRPr="00BF4ABF">
        <w:rPr>
          <w:rFonts w:eastAsia="Calibri"/>
          <w:lang w:val="en-US"/>
        </w:rPr>
        <w:t>While inscriptions on the outside of buildings have been considered by architectural historians, many scholars operating within the broad field of material culture have also considered marital inscriptions on objects. Furniture historian Victor Chinnery coined the term ‘marriage initials’ in reference to the proliferation of dates and initials commemorating matrimony on a huge range of seventeenth- and eighteenth-century domestic wooden wares.</w:t>
      </w:r>
      <w:r w:rsidRPr="00BF4ABF">
        <w:rPr>
          <w:rFonts w:eastAsia="Calibri"/>
          <w:vertAlign w:val="superscript"/>
          <w:lang w:val="en-US"/>
        </w:rPr>
        <w:footnoteReference w:id="13"/>
      </w:r>
      <w:r w:rsidRPr="00BF4ABF">
        <w:rPr>
          <w:rFonts w:eastAsia="Calibri"/>
          <w:lang w:val="en-US"/>
        </w:rPr>
        <w:t xml:space="preserve"> Sheelah Ruggles-Brise </w:t>
      </w:r>
      <w:r>
        <w:rPr>
          <w:rFonts w:eastAsia="Calibri"/>
          <w:lang w:val="en-US"/>
        </w:rPr>
        <w:t xml:space="preserve">also </w:t>
      </w:r>
      <w:r w:rsidRPr="00BF4ABF">
        <w:rPr>
          <w:rFonts w:eastAsia="Calibri"/>
          <w:lang w:val="en-US"/>
        </w:rPr>
        <w:t>documented the common use of three initials in glassware circulated by English tavern owners</w:t>
      </w:r>
      <w:r>
        <w:rPr>
          <w:rFonts w:eastAsia="Calibri"/>
          <w:lang w:val="en-US"/>
        </w:rPr>
        <w:t>,</w:t>
      </w:r>
      <w:r w:rsidRPr="00BF4ABF">
        <w:rPr>
          <w:rFonts w:eastAsia="Calibri"/>
          <w:lang w:val="en-US"/>
        </w:rPr>
        <w:t xml:space="preserve"> while Frank Britton consistently noted the presence of similar marital initials on contemporary ceramics in his illustrated volume on English glazed earthenware.</w:t>
      </w:r>
      <w:r w:rsidRPr="00BF4ABF">
        <w:rPr>
          <w:rFonts w:eastAsia="Calibri"/>
          <w:vertAlign w:val="superscript"/>
          <w:lang w:val="en-US"/>
        </w:rPr>
        <w:footnoteReference w:id="14"/>
      </w:r>
      <w:r w:rsidRPr="00BF4ABF">
        <w:rPr>
          <w:rFonts w:eastAsia="Calibri"/>
          <w:lang w:val="en-US"/>
        </w:rPr>
        <w:t xml:space="preserve"> More recent works have engaged more readily with the intentions underlying these initials</w:t>
      </w:r>
      <w:r>
        <w:rPr>
          <w:rFonts w:eastAsia="Calibri"/>
          <w:lang w:val="en-US"/>
        </w:rPr>
        <w:t xml:space="preserve">. While </w:t>
      </w:r>
      <w:r w:rsidRPr="00BF4ABF">
        <w:rPr>
          <w:rFonts w:eastAsia="Calibri"/>
          <w:lang w:val="en-US"/>
        </w:rPr>
        <w:t>Angela McShane has noted how ‘more marriages than ever were commemorated with cheap, personalized items’ which, although ‘purchased to commemorate a single moment … retained their significance over the entire length of the marriage’</w:t>
      </w:r>
      <w:r>
        <w:rPr>
          <w:rFonts w:eastAsia="Calibri"/>
          <w:lang w:val="en-US"/>
        </w:rPr>
        <w:t>, Tara Hamling has argued that initials and dates carved into wooden furniture served to ‘</w:t>
      </w:r>
      <w:proofErr w:type="spellStart"/>
      <w:r>
        <w:rPr>
          <w:rFonts w:eastAsia="Calibri"/>
          <w:lang w:val="en-US"/>
        </w:rPr>
        <w:t>memorialise</w:t>
      </w:r>
      <w:proofErr w:type="spellEnd"/>
      <w:r>
        <w:rPr>
          <w:rFonts w:eastAsia="Calibri"/>
          <w:lang w:val="en-US"/>
        </w:rPr>
        <w:t xml:space="preserve"> and display formative occasions in the establishment and development of the family or household’</w:t>
      </w:r>
      <w:r w:rsidRPr="00BF4ABF">
        <w:rPr>
          <w:rFonts w:eastAsia="Calibri"/>
          <w:lang w:val="en-US"/>
        </w:rPr>
        <w:t>.</w:t>
      </w:r>
      <w:r w:rsidRPr="00BF4ABF">
        <w:rPr>
          <w:rFonts w:eastAsia="Calibri"/>
          <w:vertAlign w:val="superscript"/>
          <w:lang w:val="en-US"/>
        </w:rPr>
        <w:footnoteReference w:id="15"/>
      </w:r>
      <w:r w:rsidRPr="00BF4ABF">
        <w:rPr>
          <w:rFonts w:eastAsia="Calibri"/>
          <w:lang w:val="en-US"/>
        </w:rPr>
        <w:t xml:space="preserve"> Nigel Jeffries, Nicholas Major and Idit Ben-Or have all used the term ‘triads’ to </w:t>
      </w:r>
      <w:r>
        <w:rPr>
          <w:rFonts w:eastAsia="Calibri"/>
          <w:lang w:val="en-US"/>
        </w:rPr>
        <w:t>describe</w:t>
      </w:r>
      <w:r w:rsidRPr="00BF4ABF">
        <w:rPr>
          <w:rFonts w:eastAsia="Calibri"/>
          <w:lang w:val="en-US"/>
        </w:rPr>
        <w:t xml:space="preserve"> the use of three initials on </w:t>
      </w:r>
      <w:r>
        <w:rPr>
          <w:rFonts w:eastAsia="Calibri"/>
          <w:lang w:val="en-US"/>
        </w:rPr>
        <w:t xml:space="preserve">contemporary </w:t>
      </w:r>
      <w:r w:rsidRPr="00BF4ABF">
        <w:rPr>
          <w:rFonts w:eastAsia="Calibri"/>
          <w:lang w:val="en-US"/>
        </w:rPr>
        <w:t xml:space="preserve">bottles and </w:t>
      </w:r>
      <w:r w:rsidRPr="00BF4ABF">
        <w:rPr>
          <w:rFonts w:eastAsia="Calibri"/>
          <w:lang w:val="en-US"/>
        </w:rPr>
        <w:lastRenderedPageBreak/>
        <w:t>trade tokens</w:t>
      </w:r>
      <w:r>
        <w:rPr>
          <w:rFonts w:eastAsia="Calibri"/>
          <w:lang w:val="en-US"/>
        </w:rPr>
        <w:t>.</w:t>
      </w:r>
      <w:r w:rsidRPr="00BF4ABF">
        <w:rPr>
          <w:rFonts w:eastAsia="Calibri"/>
          <w:vertAlign w:val="superscript"/>
          <w:lang w:val="en-US"/>
        </w:rPr>
        <w:footnoteReference w:id="16"/>
      </w:r>
      <w:r>
        <w:rPr>
          <w:rFonts w:eastAsia="Calibri"/>
          <w:lang w:val="en-US"/>
        </w:rPr>
        <w:t xml:space="preserve"> Their accounts have</w:t>
      </w:r>
      <w:r w:rsidRPr="00BF4ABF">
        <w:rPr>
          <w:rFonts w:eastAsia="Calibri"/>
          <w:lang w:val="en-US"/>
        </w:rPr>
        <w:t xml:space="preserve"> demonstrat</w:t>
      </w:r>
      <w:r>
        <w:rPr>
          <w:rFonts w:eastAsia="Calibri"/>
          <w:lang w:val="en-US"/>
        </w:rPr>
        <w:t>ed</w:t>
      </w:r>
      <w:r w:rsidRPr="00BF4ABF">
        <w:rPr>
          <w:rFonts w:eastAsia="Calibri"/>
          <w:lang w:val="en-US"/>
        </w:rPr>
        <w:t xml:space="preserve"> how </w:t>
      </w:r>
      <w:r>
        <w:rPr>
          <w:rFonts w:eastAsia="Calibri"/>
          <w:lang w:val="en-US"/>
        </w:rPr>
        <w:t>such initials were used as emblems by</w:t>
      </w:r>
      <w:r w:rsidRPr="00BF4ABF">
        <w:rPr>
          <w:rFonts w:eastAsia="Calibri"/>
          <w:lang w:val="en-US"/>
        </w:rPr>
        <w:t xml:space="preserve"> </w:t>
      </w:r>
      <w:r>
        <w:rPr>
          <w:rFonts w:eastAsia="Calibri"/>
          <w:lang w:val="en-US"/>
        </w:rPr>
        <w:t xml:space="preserve">married couples running joint </w:t>
      </w:r>
      <w:r w:rsidRPr="00BF4ABF">
        <w:rPr>
          <w:rFonts w:eastAsia="Calibri"/>
          <w:lang w:val="en-US"/>
        </w:rPr>
        <w:t>businesses and</w:t>
      </w:r>
      <w:r>
        <w:rPr>
          <w:rFonts w:eastAsia="Calibri"/>
          <w:lang w:val="en-US"/>
        </w:rPr>
        <w:t>, crucially, have</w:t>
      </w:r>
      <w:r w:rsidRPr="00BF4ABF">
        <w:rPr>
          <w:rFonts w:eastAsia="Calibri"/>
          <w:lang w:val="en-US"/>
        </w:rPr>
        <w:t xml:space="preserve"> highlight</w:t>
      </w:r>
      <w:r>
        <w:rPr>
          <w:rFonts w:eastAsia="Calibri"/>
          <w:lang w:val="en-US"/>
        </w:rPr>
        <w:t>ed</w:t>
      </w:r>
      <w:r w:rsidRPr="00BF4ABF">
        <w:rPr>
          <w:rFonts w:eastAsia="Calibri"/>
          <w:lang w:val="en-US"/>
        </w:rPr>
        <w:t xml:space="preserve"> the existence of a shared stylistic vocabulary throughout early modern England.</w:t>
      </w:r>
    </w:p>
    <w:p w14:paraId="1F415B55" w14:textId="77777777" w:rsidR="00EC1EEB" w:rsidRPr="00BF4ABF" w:rsidRDefault="00EC1EEB" w:rsidP="00C47014">
      <w:pPr>
        <w:spacing w:after="0" w:line="480" w:lineRule="auto"/>
        <w:jc w:val="both"/>
        <w:rPr>
          <w:rFonts w:eastAsia="Calibri"/>
          <w:lang w:val="en-US"/>
        </w:rPr>
      </w:pPr>
      <w:r w:rsidRPr="00BF4ABF">
        <w:rPr>
          <w:rFonts w:eastAsia="Calibri"/>
          <w:lang w:val="en-US"/>
        </w:rPr>
        <w:tab/>
        <w:t xml:space="preserve">An emphasis on the meanings of everyday practices is central to the wealth of material culture scholarship dealing with inscriptions. In her important book </w:t>
      </w:r>
      <w:r w:rsidRPr="00BF4ABF">
        <w:rPr>
          <w:rFonts w:eastAsia="Calibri"/>
          <w:i/>
          <w:iCs/>
          <w:lang w:val="en-US"/>
        </w:rPr>
        <w:t xml:space="preserve">Graffiti and the Writing Arts of Early Modern England, </w:t>
      </w:r>
      <w:r w:rsidRPr="00BF4ABF">
        <w:rPr>
          <w:rFonts w:eastAsia="Calibri"/>
          <w:lang w:val="en-US"/>
        </w:rPr>
        <w:t>literary scholar Juliet Fleming investigated writing practices and the early modern paradigm surrounding textual inscriptions on objects.</w:t>
      </w:r>
      <w:r w:rsidRPr="00BF4ABF">
        <w:rPr>
          <w:rFonts w:eastAsia="Calibri"/>
          <w:vertAlign w:val="superscript"/>
          <w:lang w:val="en-US"/>
        </w:rPr>
        <w:footnoteReference w:id="17"/>
      </w:r>
      <w:r w:rsidRPr="00BF4ABF">
        <w:rPr>
          <w:rFonts w:eastAsia="Calibri"/>
          <w:lang w:val="en-US"/>
        </w:rPr>
        <w:t xml:space="preserve"> In doing so, she revealed how ‘an almost magical way of thinking about the physical properties of language’ characterised the Renaissance ‘inscriptional mode’, demonstrating that engraved text operated at the interface between the material, spiritual and cognitive worlds.</w:t>
      </w:r>
      <w:r w:rsidRPr="00BF4ABF">
        <w:rPr>
          <w:rFonts w:eastAsia="Calibri"/>
          <w:vertAlign w:val="superscript"/>
          <w:lang w:val="en-US"/>
        </w:rPr>
        <w:footnoteReference w:id="18"/>
      </w:r>
      <w:r w:rsidRPr="00BF4ABF">
        <w:rPr>
          <w:rFonts w:eastAsia="Calibri"/>
          <w:lang w:val="en-US"/>
        </w:rPr>
        <w:t xml:space="preserve"> Using a theoretical framework influenced by Michel Foucault, Fleming argued that ‘matter activates meaning beyond itself’, with early modern material culture inseparable from a wider ‘Renaissance episteme’ which formed the ‘intellectual and technological unconscious of the period’.</w:t>
      </w:r>
      <w:r w:rsidRPr="00BF4ABF">
        <w:rPr>
          <w:rFonts w:eastAsia="Calibri"/>
          <w:vertAlign w:val="superscript"/>
          <w:lang w:val="en-US"/>
        </w:rPr>
        <w:footnoteReference w:id="19"/>
      </w:r>
      <w:r w:rsidRPr="00BF4ABF">
        <w:rPr>
          <w:rFonts w:eastAsia="Calibri"/>
          <w:lang w:val="en-US"/>
        </w:rPr>
        <w:t xml:space="preserve"> Considering printed texts, wall-writing and inscribed objects </w:t>
      </w:r>
      <w:r>
        <w:rPr>
          <w:rFonts w:eastAsia="Calibri"/>
          <w:lang w:val="en-US"/>
        </w:rPr>
        <w:t>in recovering</w:t>
      </w:r>
      <w:r w:rsidRPr="00BF4ABF">
        <w:rPr>
          <w:rFonts w:eastAsia="Calibri"/>
          <w:lang w:val="en-US"/>
        </w:rPr>
        <w:t xml:space="preserve"> this early modern paradigm, Fleming’s discussion is characteristic of the multi-disciplinarity of historical ‘material culture studies’, which grew out of anthropological and archaeological scholarship in the 1970s and ‘80s.</w:t>
      </w:r>
      <w:r w:rsidRPr="00BF4ABF">
        <w:rPr>
          <w:rFonts w:eastAsia="Calibri"/>
          <w:vertAlign w:val="superscript"/>
          <w:lang w:val="en-US"/>
        </w:rPr>
        <w:footnoteReference w:id="20"/>
      </w:r>
      <w:r w:rsidRPr="00BF4ABF">
        <w:rPr>
          <w:rFonts w:eastAsia="Calibri"/>
          <w:lang w:val="en-US"/>
        </w:rPr>
        <w:t xml:space="preserve"> Informed by material culture scholarship from a variety of different fields, this thesis positions itself among existing interdisciplinary studies, adopting a multiform </w:t>
      </w:r>
      <w:r w:rsidRPr="00BF4ABF">
        <w:rPr>
          <w:rFonts w:eastAsia="Calibri"/>
          <w:lang w:val="en-US"/>
        </w:rPr>
        <w:lastRenderedPageBreak/>
        <w:t>approach in analysing the meanings of inscriptions and inscription practices in early modern England.</w:t>
      </w:r>
    </w:p>
    <w:p w14:paraId="29599F20" w14:textId="77777777" w:rsidR="00EC1EEB" w:rsidRPr="00BF4ABF" w:rsidRDefault="00EC1EEB" w:rsidP="00C47014">
      <w:pPr>
        <w:spacing w:after="0" w:line="480" w:lineRule="auto"/>
        <w:jc w:val="both"/>
        <w:rPr>
          <w:rFonts w:eastAsia="Calibri"/>
          <w:lang w:val="en-US"/>
        </w:rPr>
      </w:pPr>
      <w:r w:rsidRPr="00BF4ABF">
        <w:rPr>
          <w:rFonts w:eastAsia="Calibri"/>
          <w:lang w:val="en-US"/>
        </w:rPr>
        <w:tab/>
        <w:t xml:space="preserve">Pursuing a similarly multidisciplinary approach, historian Antony Buxton </w:t>
      </w:r>
      <w:r>
        <w:rPr>
          <w:rFonts w:eastAsia="Calibri"/>
          <w:lang w:val="en-US"/>
        </w:rPr>
        <w:t xml:space="preserve">has </w:t>
      </w:r>
      <w:r w:rsidRPr="00BF4ABF">
        <w:rPr>
          <w:rFonts w:eastAsia="Calibri"/>
          <w:lang w:val="en-US"/>
        </w:rPr>
        <w:t>cite</w:t>
      </w:r>
      <w:r>
        <w:rPr>
          <w:rFonts w:eastAsia="Calibri"/>
          <w:lang w:val="en-US"/>
        </w:rPr>
        <w:t>d</w:t>
      </w:r>
      <w:r w:rsidRPr="00BF4ABF">
        <w:rPr>
          <w:rFonts w:eastAsia="Calibri"/>
          <w:lang w:val="en-US"/>
        </w:rPr>
        <w:t xml:space="preserve"> frameworks informed by semiotics – a field developed by linguistics scholars – in his research into domestic culture in early modern England.</w:t>
      </w:r>
      <w:r w:rsidRPr="00BF4ABF">
        <w:rPr>
          <w:rFonts w:eastAsia="Calibri"/>
          <w:vertAlign w:val="superscript"/>
          <w:lang w:val="en-US"/>
        </w:rPr>
        <w:footnoteReference w:id="21"/>
      </w:r>
      <w:r w:rsidRPr="00BF4ABF">
        <w:rPr>
          <w:rFonts w:eastAsia="Calibri"/>
          <w:lang w:val="en-US"/>
        </w:rPr>
        <w:t xml:space="preserve"> Discussing the agency of objects and spaces, Buxton describes the approach of Ferdinand de Saussure, who analysed the ‘symbolism invested in words and signs’.</w:t>
      </w:r>
      <w:r w:rsidRPr="00BF4ABF">
        <w:rPr>
          <w:rFonts w:eastAsia="Calibri"/>
          <w:vertAlign w:val="superscript"/>
          <w:lang w:val="en-US"/>
        </w:rPr>
        <w:footnoteReference w:id="22"/>
      </w:r>
      <w:r w:rsidRPr="00BF4ABF">
        <w:rPr>
          <w:rFonts w:eastAsia="Calibri"/>
          <w:lang w:val="en-US"/>
        </w:rPr>
        <w:t xml:space="preserve"> For de Saussure, words were not inherently meaningful but were ‘signifiers’ instead, combined in the mind with the ‘signified’ to form ‘meaning-imbued </w:t>
      </w:r>
      <w:r>
        <w:rPr>
          <w:rFonts w:eastAsia="Calibri"/>
          <w:lang w:val="en-US"/>
        </w:rPr>
        <w:t>“</w:t>
      </w:r>
      <w:r w:rsidRPr="00BF4ABF">
        <w:rPr>
          <w:rFonts w:eastAsia="Calibri"/>
          <w:lang w:val="en-US"/>
        </w:rPr>
        <w:t>signs</w:t>
      </w:r>
      <w:r>
        <w:rPr>
          <w:rFonts w:eastAsia="Calibri"/>
          <w:lang w:val="en-US"/>
        </w:rPr>
        <w:t>”</w:t>
      </w:r>
      <w:r w:rsidRPr="00BF4ABF">
        <w:rPr>
          <w:rFonts w:eastAsia="Calibri"/>
          <w:lang w:val="en-US"/>
        </w:rPr>
        <w:t>’.</w:t>
      </w:r>
      <w:r w:rsidRPr="00BF4ABF">
        <w:rPr>
          <w:rFonts w:eastAsia="Calibri"/>
          <w:vertAlign w:val="superscript"/>
        </w:rPr>
        <w:footnoteReference w:id="23"/>
      </w:r>
      <w:r w:rsidRPr="00BF4ABF">
        <w:rPr>
          <w:rFonts w:eastAsia="Calibri"/>
          <w:vertAlign w:val="superscript"/>
        </w:rPr>
        <w:t xml:space="preserve"> </w:t>
      </w:r>
      <w:r w:rsidRPr="00BF4ABF">
        <w:rPr>
          <w:rFonts w:eastAsia="Calibri"/>
        </w:rPr>
        <w:t>Sara Pennell has used similar terminology, interpreting early modern ‘mundane objects’ as ‘material signs’ through which the ‘social imaginary’ can be explored – understood, like Foucault’s ‘Renaissance episteme’, as a contemporary paradigm that ‘shapes and sustains particular practices’.</w:t>
      </w:r>
      <w:r w:rsidRPr="00BF4ABF">
        <w:rPr>
          <w:rFonts w:eastAsia="Calibri"/>
          <w:vertAlign w:val="superscript"/>
        </w:rPr>
        <w:footnoteReference w:id="24"/>
      </w:r>
      <w:r w:rsidRPr="00BF4ABF">
        <w:rPr>
          <w:rFonts w:eastAsia="Calibri"/>
        </w:rPr>
        <w:t xml:space="preserve"> For Pennell, Buxton and Fleming, objects do not simply represent ‘evidence of practices’ but instead were the vessels through which such practices were ‘enabled, learnt and assimilated’.</w:t>
      </w:r>
      <w:r w:rsidRPr="00BF4ABF">
        <w:rPr>
          <w:rFonts w:eastAsia="Calibri"/>
          <w:vertAlign w:val="superscript"/>
        </w:rPr>
        <w:footnoteReference w:id="25"/>
      </w:r>
      <w:r w:rsidRPr="00BF4ABF">
        <w:rPr>
          <w:rFonts w:eastAsia="Calibri"/>
        </w:rPr>
        <w:t xml:space="preserve"> Informed by these perspectives, this thesis approaches inscriptions, inscribed objects and buildings as participants in practices, examining materiality and practices in tandem as a way of understanding how people in early modern England understood themselves, their relationships and material culture.</w:t>
      </w:r>
    </w:p>
    <w:p w14:paraId="6E3A60E5" w14:textId="77777777" w:rsidR="00EC1EEB" w:rsidRPr="00BF4ABF" w:rsidRDefault="00EC1EEB" w:rsidP="00C47014">
      <w:pPr>
        <w:spacing w:after="0" w:line="480" w:lineRule="auto"/>
        <w:jc w:val="both"/>
        <w:rPr>
          <w:rFonts w:eastAsia="Calibri"/>
        </w:rPr>
      </w:pPr>
      <w:r w:rsidRPr="00BF4ABF">
        <w:rPr>
          <w:rFonts w:eastAsia="Calibri"/>
        </w:rPr>
        <w:tab/>
        <w:t>The recurrent emphasis on ‘practices’ in material culture research is rooted in a longstanding interest in ‘the practices of everyday life’.</w:t>
      </w:r>
      <w:r w:rsidRPr="00BF4ABF">
        <w:rPr>
          <w:rFonts w:eastAsia="Calibri"/>
          <w:vertAlign w:val="superscript"/>
        </w:rPr>
        <w:footnoteReference w:id="26"/>
      </w:r>
      <w:r w:rsidRPr="00BF4ABF">
        <w:rPr>
          <w:rFonts w:eastAsia="Calibri"/>
        </w:rPr>
        <w:t xml:space="preserve"> Separately to the development of </w:t>
      </w:r>
      <w:r w:rsidRPr="00BF4ABF">
        <w:rPr>
          <w:rFonts w:eastAsia="Calibri"/>
        </w:rPr>
        <w:lastRenderedPageBreak/>
        <w:t>‘material culture studies’, the aesthetic qualities of objects have long been studied within art history</w:t>
      </w:r>
      <w:r>
        <w:rPr>
          <w:rFonts w:eastAsia="Calibri"/>
        </w:rPr>
        <w:t xml:space="preserve"> and the history of design</w:t>
      </w:r>
      <w:r w:rsidRPr="00BF4ABF">
        <w:rPr>
          <w:rFonts w:eastAsia="Calibri"/>
        </w:rPr>
        <w:t xml:space="preserve">, </w:t>
      </w:r>
      <w:r>
        <w:rPr>
          <w:rFonts w:eastAsia="Calibri"/>
        </w:rPr>
        <w:t xml:space="preserve">both traditionally (though less so today) </w:t>
      </w:r>
      <w:r w:rsidRPr="00BF4ABF">
        <w:rPr>
          <w:rFonts w:eastAsia="Calibri"/>
        </w:rPr>
        <w:t>concerned with the study of elite goods and artworks. Historiographies of consumption signalled a new emphasis on material culture in historical research in the 1980s</w:t>
      </w:r>
      <w:r>
        <w:rPr>
          <w:rFonts w:eastAsia="Calibri"/>
        </w:rPr>
        <w:t>,</w:t>
      </w:r>
      <w:r w:rsidRPr="00BF4ABF">
        <w:rPr>
          <w:rFonts w:eastAsia="Calibri"/>
        </w:rPr>
        <w:t xml:space="preserve"> and the simultaneous growth of cultural studies in the latter half of the twentieth century foregrounded the experiences of non-elites and everyday life itself.</w:t>
      </w:r>
      <w:r w:rsidRPr="00BF4ABF">
        <w:rPr>
          <w:rFonts w:eastAsia="Calibri"/>
          <w:vertAlign w:val="superscript"/>
        </w:rPr>
        <w:footnoteReference w:id="27"/>
      </w:r>
      <w:r w:rsidRPr="00BF4ABF">
        <w:rPr>
          <w:rFonts w:eastAsia="Calibri"/>
        </w:rPr>
        <w:t xml:space="preserve"> As Tara Hamling and Catherine Richardson have argued in </w:t>
      </w:r>
      <w:r w:rsidRPr="00BF4ABF">
        <w:rPr>
          <w:rFonts w:eastAsia="Calibri"/>
          <w:i/>
          <w:iCs/>
        </w:rPr>
        <w:t>Everyday Objects</w:t>
      </w:r>
      <w:r w:rsidRPr="00BF4ABF">
        <w:rPr>
          <w:rFonts w:eastAsia="Calibri"/>
        </w:rPr>
        <w:t>, this ‘prompted a renewed interest in material culture because everyday life is rooted in the experience of materiality’.</w:t>
      </w:r>
      <w:r w:rsidRPr="00BF4ABF">
        <w:rPr>
          <w:rFonts w:eastAsia="Calibri"/>
          <w:vertAlign w:val="superscript"/>
        </w:rPr>
        <w:footnoteReference w:id="28"/>
      </w:r>
      <w:r w:rsidRPr="00BF4ABF">
        <w:rPr>
          <w:rFonts w:eastAsia="Calibri"/>
        </w:rPr>
        <w:t xml:space="preserve"> The approaches of a range of historians who have explored goods as participants in everyday practices are essential in what follows. In writing about materiality and everyday life in English houses, Matthew Johnson has expressed a similar outlook to Pennell, arguing that rather than ideas being expressed in the production of materiality, ‘ideas, beliefs and cultural attitudes are continually shaped and mediated through the practices of the material world’.</w:t>
      </w:r>
      <w:r w:rsidRPr="00BF4ABF">
        <w:rPr>
          <w:rFonts w:eastAsia="Calibri"/>
          <w:vertAlign w:val="superscript"/>
        </w:rPr>
        <w:footnoteReference w:id="29"/>
      </w:r>
      <w:r w:rsidRPr="00BF4ABF">
        <w:rPr>
          <w:rFonts w:eastAsia="Calibri"/>
        </w:rPr>
        <w:t xml:space="preserve"> Crucially, Johnson has framed houses themselves as ‘material objects’, locating them firmly inside the bounds of material culture analysis.</w:t>
      </w:r>
    </w:p>
    <w:p w14:paraId="50A41BF7" w14:textId="77777777" w:rsidR="00EC1EEB" w:rsidRPr="00BF4ABF" w:rsidRDefault="00EC1EEB" w:rsidP="00C47014">
      <w:pPr>
        <w:spacing w:after="0" w:line="480" w:lineRule="auto"/>
        <w:ind w:firstLine="720"/>
        <w:jc w:val="both"/>
        <w:rPr>
          <w:rFonts w:eastAsia="Calibri"/>
        </w:rPr>
      </w:pPr>
      <w:r w:rsidRPr="00BF4ABF">
        <w:rPr>
          <w:rFonts w:eastAsia="Calibri"/>
        </w:rPr>
        <w:t>A similar approach is also fundamental to the work of Chris King, who has challenged the concept of the built environment as a ‘passive backdrop or container for the expanding world of moveable domestic objects’.</w:t>
      </w:r>
      <w:r w:rsidRPr="00BF4ABF">
        <w:rPr>
          <w:rFonts w:eastAsia="Calibri"/>
          <w:vertAlign w:val="superscript"/>
        </w:rPr>
        <w:footnoteReference w:id="30"/>
      </w:r>
      <w:r w:rsidRPr="00BF4ABF">
        <w:rPr>
          <w:rFonts w:eastAsia="Calibri"/>
        </w:rPr>
        <w:t xml:space="preserve"> Like Johnson, King has conceptualised buildings as an </w:t>
      </w:r>
      <w:r w:rsidRPr="00BF4ABF">
        <w:rPr>
          <w:rFonts w:eastAsia="Calibri"/>
        </w:rPr>
        <w:lastRenderedPageBreak/>
        <w:t>integral element of material culture ‘conceived as a totality’, building upon a wide range of important social and cultural historical research that has sought to understand how people interacted with goods within the home.</w:t>
      </w:r>
      <w:r w:rsidRPr="00BF4ABF">
        <w:rPr>
          <w:rFonts w:eastAsia="Calibri"/>
          <w:vertAlign w:val="superscript"/>
        </w:rPr>
        <w:footnoteReference w:id="31"/>
      </w:r>
      <w:r w:rsidRPr="00BF4ABF">
        <w:rPr>
          <w:rFonts w:eastAsia="Calibri"/>
        </w:rPr>
        <w:t xml:space="preserve"> King and Johnson’s approaches are echoed in Tara Hamling and Catherine Richardson’s </w:t>
      </w:r>
      <w:r w:rsidRPr="00BF4ABF">
        <w:rPr>
          <w:rFonts w:eastAsia="Calibri"/>
          <w:i/>
          <w:iCs/>
        </w:rPr>
        <w:t>A Day at Home in Early Modern England</w:t>
      </w:r>
      <w:r>
        <w:rPr>
          <w:rFonts w:eastAsia="Calibri"/>
        </w:rPr>
        <w:t>,</w:t>
      </w:r>
      <w:r>
        <w:rPr>
          <w:rFonts w:eastAsia="Calibri"/>
          <w:i/>
          <w:iCs/>
        </w:rPr>
        <w:t xml:space="preserve"> </w:t>
      </w:r>
      <w:r>
        <w:rPr>
          <w:rFonts w:eastAsia="Calibri"/>
        </w:rPr>
        <w:t xml:space="preserve">which </w:t>
      </w:r>
      <w:r w:rsidRPr="00BF4ABF">
        <w:rPr>
          <w:rFonts w:eastAsia="Calibri"/>
        </w:rPr>
        <w:t>explor</w:t>
      </w:r>
      <w:r>
        <w:rPr>
          <w:rFonts w:eastAsia="Calibri"/>
        </w:rPr>
        <w:t xml:space="preserve">es </w:t>
      </w:r>
      <w:r w:rsidRPr="00BF4ABF">
        <w:rPr>
          <w:rFonts w:eastAsia="Calibri"/>
        </w:rPr>
        <w:t xml:space="preserve">‘the household in its fullest sense as a conjunction of building, people and possessions’, </w:t>
      </w:r>
      <w:r>
        <w:rPr>
          <w:rFonts w:eastAsia="Calibri"/>
        </w:rPr>
        <w:t>framed by an understanding that</w:t>
      </w:r>
      <w:r w:rsidRPr="00BF4ABF">
        <w:rPr>
          <w:rFonts w:eastAsia="Calibri"/>
        </w:rPr>
        <w:t xml:space="preserve"> objects and spaces mutually contribut</w:t>
      </w:r>
      <w:r>
        <w:rPr>
          <w:rFonts w:eastAsia="Calibri"/>
        </w:rPr>
        <w:t>ed</w:t>
      </w:r>
      <w:r w:rsidRPr="00BF4ABF">
        <w:rPr>
          <w:rFonts w:eastAsia="Calibri"/>
        </w:rPr>
        <w:t xml:space="preserve"> to experiences and activities within the house.</w:t>
      </w:r>
      <w:r w:rsidRPr="00BF4ABF">
        <w:rPr>
          <w:rFonts w:eastAsia="Calibri"/>
          <w:vertAlign w:val="superscript"/>
        </w:rPr>
        <w:footnoteReference w:id="32"/>
      </w:r>
      <w:r w:rsidRPr="00BF4ABF">
        <w:rPr>
          <w:rFonts w:eastAsia="Calibri"/>
        </w:rPr>
        <w:t xml:space="preserve"> Informed by Johnson, King, Hamling and Richardson, the fabric of the house itself is understood as an extension of material culture, actively participating in the social practices playing out within, around and in partnership with it.</w:t>
      </w:r>
      <w:r>
        <w:rPr>
          <w:rFonts w:eastAsia="Calibri"/>
        </w:rPr>
        <w:t xml:space="preserve"> </w:t>
      </w:r>
      <w:r w:rsidRPr="00BF4ABF">
        <w:rPr>
          <w:rFonts w:eastAsia="Calibri"/>
        </w:rPr>
        <w:t xml:space="preserve">This thesis </w:t>
      </w:r>
      <w:r>
        <w:rPr>
          <w:rFonts w:eastAsia="Calibri"/>
        </w:rPr>
        <w:t xml:space="preserve">combines these insights with </w:t>
      </w:r>
      <w:r w:rsidRPr="00BF4ABF">
        <w:rPr>
          <w:rFonts w:eastAsia="Calibri"/>
        </w:rPr>
        <w:t>the work of historians of consumption</w:t>
      </w:r>
      <w:r>
        <w:rPr>
          <w:rFonts w:eastAsia="Calibri"/>
        </w:rPr>
        <w:t>, who have sought</w:t>
      </w:r>
      <w:r w:rsidRPr="00BF4ABF">
        <w:rPr>
          <w:rFonts w:eastAsia="Calibri"/>
        </w:rPr>
        <w:t xml:space="preserve"> to understand relationships with goods. Influenced </w:t>
      </w:r>
      <w:proofErr w:type="gramStart"/>
      <w:r w:rsidRPr="00BF4ABF">
        <w:rPr>
          <w:rFonts w:eastAsia="Calibri"/>
        </w:rPr>
        <w:t>by the use of</w:t>
      </w:r>
      <w:proofErr w:type="gramEnd"/>
      <w:r w:rsidRPr="00BF4ABF">
        <w:rPr>
          <w:rFonts w:eastAsia="Calibri"/>
        </w:rPr>
        <w:t xml:space="preserve"> social historical methods in cultural historical enquiry, </w:t>
      </w:r>
      <w:r>
        <w:rPr>
          <w:rFonts w:eastAsia="Calibri"/>
        </w:rPr>
        <w:t xml:space="preserve">it employs </w:t>
      </w:r>
      <w:r w:rsidRPr="00BF4ABF">
        <w:rPr>
          <w:rFonts w:eastAsia="Calibri"/>
        </w:rPr>
        <w:t xml:space="preserve">quantitative methods seen </w:t>
      </w:r>
      <w:r>
        <w:rPr>
          <w:rFonts w:eastAsia="Calibri"/>
        </w:rPr>
        <w:t xml:space="preserve">most notably </w:t>
      </w:r>
      <w:r w:rsidRPr="00BF4ABF">
        <w:rPr>
          <w:rFonts w:eastAsia="Calibri"/>
        </w:rPr>
        <w:t>in the work of Lorna Weatherill and Mark Overton, Jane Whittle, Darron Dean and Andrew Hann, examining the social meaning of material goods in the home.</w:t>
      </w:r>
      <w:r>
        <w:rPr>
          <w:rStyle w:val="FootnoteReference"/>
          <w:rFonts w:eastAsia="Calibri"/>
        </w:rPr>
        <w:footnoteReference w:id="33"/>
      </w:r>
      <w:r w:rsidRPr="00BF4ABF">
        <w:rPr>
          <w:rFonts w:eastAsia="Calibri"/>
        </w:rPr>
        <w:t xml:space="preserve"> </w:t>
      </w:r>
    </w:p>
    <w:p w14:paraId="42D1A66D" w14:textId="77777777" w:rsidR="00EC1EEB" w:rsidRDefault="00EC1EEB" w:rsidP="00C47014">
      <w:pPr>
        <w:spacing w:after="0" w:line="480" w:lineRule="auto"/>
        <w:jc w:val="both"/>
        <w:rPr>
          <w:rFonts w:eastAsia="Calibri"/>
        </w:rPr>
      </w:pPr>
      <w:r w:rsidRPr="00BF4ABF">
        <w:rPr>
          <w:rFonts w:eastAsia="Calibri"/>
        </w:rPr>
        <w:tab/>
      </w:r>
      <w:r>
        <w:rPr>
          <w:rFonts w:eastAsia="Calibri"/>
        </w:rPr>
        <w:t xml:space="preserve">Interpreting the home and its contents as mutually constitutive of domestic material culture, this thesis also considers the emotions embodied in buildings and objects. </w:t>
      </w:r>
      <w:r w:rsidRPr="00802349">
        <w:rPr>
          <w:rFonts w:eastAsia="Calibri"/>
        </w:rPr>
        <w:t>In 2018, Stephanie Downes, Sally Holloway and Sarah Randles edited a volume focusing specifically on how people in ‘pre-modern Europe’ ‘made, commissioned, and used objects to facilitate their emotional lives</w:t>
      </w:r>
      <w:r>
        <w:rPr>
          <w:rFonts w:eastAsia="Calibri"/>
        </w:rPr>
        <w:t>’</w:t>
      </w:r>
      <w:r w:rsidRPr="00802349">
        <w:rPr>
          <w:rFonts w:eastAsia="Calibri"/>
        </w:rPr>
        <w:t>.</w:t>
      </w:r>
      <w:r w:rsidRPr="00802349">
        <w:rPr>
          <w:rFonts w:eastAsia="Calibri"/>
          <w:vertAlign w:val="superscript"/>
        </w:rPr>
        <w:footnoteReference w:id="34"/>
      </w:r>
      <w:r>
        <w:rPr>
          <w:rFonts w:eastAsia="Calibri"/>
        </w:rPr>
        <w:t xml:space="preserve"> The</w:t>
      </w:r>
      <w:r w:rsidRPr="00BF4ABF">
        <w:rPr>
          <w:rFonts w:eastAsia="Calibri"/>
        </w:rPr>
        <w:t xml:space="preserve"> emotional dimensions of objects have featured prominently in the </w:t>
      </w:r>
      <w:r w:rsidRPr="00BF4ABF">
        <w:rPr>
          <w:rFonts w:eastAsia="Calibri"/>
        </w:rPr>
        <w:lastRenderedPageBreak/>
        <w:t>historiography of early modern English material culture</w:t>
      </w:r>
      <w:r>
        <w:rPr>
          <w:rFonts w:eastAsia="Calibri"/>
        </w:rPr>
        <w:t>, and t</w:t>
      </w:r>
      <w:r w:rsidRPr="00BF4ABF">
        <w:rPr>
          <w:rFonts w:eastAsia="Calibri"/>
        </w:rPr>
        <w:t>his is particularly true in relation to inscribed and personalised objects</w:t>
      </w:r>
      <w:r>
        <w:rPr>
          <w:rFonts w:eastAsia="Calibri"/>
        </w:rPr>
        <w:t>. H</w:t>
      </w:r>
      <w:r w:rsidRPr="00BF4ABF">
        <w:rPr>
          <w:rFonts w:eastAsia="Calibri"/>
        </w:rPr>
        <w:t>istorians considering English embroidery, for example, have been well attuned to the emotional significance of the practice and its products.</w:t>
      </w:r>
      <w:r w:rsidRPr="00BF4ABF">
        <w:rPr>
          <w:rFonts w:eastAsia="Calibri"/>
          <w:vertAlign w:val="superscript"/>
        </w:rPr>
        <w:footnoteReference w:id="35"/>
      </w:r>
      <w:r w:rsidRPr="00BF4ABF">
        <w:rPr>
          <w:rFonts w:eastAsia="Calibri"/>
        </w:rPr>
        <w:t xml:space="preserve"> Susan Frye has examined the emotion surrounding initials in needlework, arguing that stitching their initials provided women with a means of negotiating and reinforcing changes of name and identity brought about by marriage.</w:t>
      </w:r>
      <w:r w:rsidRPr="00BF4ABF">
        <w:rPr>
          <w:rFonts w:eastAsia="Calibri"/>
          <w:vertAlign w:val="superscript"/>
        </w:rPr>
        <w:footnoteReference w:id="36"/>
      </w:r>
      <w:r w:rsidRPr="00BF4ABF">
        <w:rPr>
          <w:rFonts w:eastAsia="Calibri"/>
        </w:rPr>
        <w:t xml:space="preserve"> Antonia Brodie, meanwhile, has </w:t>
      </w:r>
      <w:r>
        <w:rPr>
          <w:rFonts w:eastAsia="Calibri"/>
        </w:rPr>
        <w:t>research</w:t>
      </w:r>
      <w:r w:rsidRPr="00BF4ABF">
        <w:rPr>
          <w:rFonts w:eastAsia="Calibri"/>
        </w:rPr>
        <w:t>ed a single stitched sheet in the collection of the Victoria and Albert Museum, revealing that multiple generations of the same family embroidered marital initials into the garment, transforming it into a family tree and</w:t>
      </w:r>
      <w:r>
        <w:rPr>
          <w:rFonts w:eastAsia="Calibri"/>
        </w:rPr>
        <w:t xml:space="preserve"> an</w:t>
      </w:r>
      <w:r w:rsidRPr="00BF4ABF">
        <w:rPr>
          <w:rFonts w:eastAsia="Calibri"/>
        </w:rPr>
        <w:t xml:space="preserve"> emotionally significant heirloom.</w:t>
      </w:r>
      <w:r w:rsidRPr="00BF4ABF">
        <w:rPr>
          <w:rFonts w:eastAsia="Calibri"/>
          <w:vertAlign w:val="superscript"/>
        </w:rPr>
        <w:footnoteReference w:id="37"/>
      </w:r>
      <w:r w:rsidRPr="00BF4ABF">
        <w:rPr>
          <w:rFonts w:eastAsia="Calibri"/>
        </w:rPr>
        <w:t xml:space="preserve"> Also working with stitched sources, Barbara Burman has represented initialled tie-on pockets as tangible extensions of selfhood for women of all classes, secreted close to the body.</w:t>
      </w:r>
      <w:r w:rsidRPr="00BF4ABF">
        <w:rPr>
          <w:rFonts w:eastAsia="Calibri"/>
          <w:vertAlign w:val="superscript"/>
        </w:rPr>
        <w:footnoteReference w:id="38"/>
      </w:r>
      <w:r w:rsidRPr="00BF4ABF">
        <w:rPr>
          <w:rFonts w:eastAsia="Calibri"/>
        </w:rPr>
        <w:t xml:space="preserve"> </w:t>
      </w:r>
    </w:p>
    <w:p w14:paraId="7FEA7950" w14:textId="77777777" w:rsidR="00EC1EEB" w:rsidRPr="00BF4ABF" w:rsidRDefault="00EC1EEB" w:rsidP="00C47014">
      <w:pPr>
        <w:spacing w:after="0" w:line="480" w:lineRule="auto"/>
        <w:ind w:firstLine="720"/>
        <w:jc w:val="both"/>
        <w:rPr>
          <w:rFonts w:eastAsia="Calibri"/>
        </w:rPr>
      </w:pPr>
      <w:r w:rsidRPr="00BF4ABF">
        <w:rPr>
          <w:rFonts w:eastAsia="Calibri"/>
        </w:rPr>
        <w:t>Likewise, a wealth of research has demonstrated the role of inscribed objects in courtship, used as love tokens between couples across the social spectrum.</w:t>
      </w:r>
      <w:r w:rsidRPr="00BF4ABF">
        <w:rPr>
          <w:rFonts w:eastAsia="Calibri"/>
          <w:vertAlign w:val="superscript"/>
        </w:rPr>
        <w:footnoteReference w:id="39"/>
      </w:r>
      <w:r w:rsidRPr="00BF4ABF">
        <w:rPr>
          <w:rFonts w:eastAsia="Calibri"/>
        </w:rPr>
        <w:t xml:space="preserve"> While many more goods survive for the wealthier members of early modern society, Bridget Millmore has shown how the addition of inscribed initials transformed everyday coins into emotionally </w:t>
      </w:r>
      <w:r w:rsidRPr="00BF4ABF">
        <w:rPr>
          <w:rFonts w:eastAsia="Calibri"/>
        </w:rPr>
        <w:lastRenderedPageBreak/>
        <w:t>significant love tokens for couples unable to afford jewellery.</w:t>
      </w:r>
      <w:r w:rsidRPr="00BF4ABF">
        <w:rPr>
          <w:rFonts w:eastAsia="Calibri"/>
          <w:vertAlign w:val="superscript"/>
        </w:rPr>
        <w:footnoteReference w:id="40"/>
      </w:r>
      <w:r w:rsidRPr="00BF4ABF">
        <w:rPr>
          <w:rFonts w:eastAsia="Calibri"/>
        </w:rPr>
        <w:t xml:space="preserve"> In a similar vein, Angela McShane has shown how inscribed tobacco boxes were an intensely personal means of reinforcing self-understanding and identity, as well as being used to convey love and affection.</w:t>
      </w:r>
      <w:r w:rsidRPr="00BF4ABF">
        <w:rPr>
          <w:rFonts w:eastAsia="Calibri"/>
          <w:vertAlign w:val="superscript"/>
        </w:rPr>
        <w:footnoteReference w:id="41"/>
      </w:r>
      <w:r w:rsidRPr="00BF4ABF">
        <w:rPr>
          <w:rFonts w:eastAsia="Calibri"/>
        </w:rPr>
        <w:t xml:space="preserve"> These studies form part of a wider literature on the emotional significance of different categories of objects.</w:t>
      </w:r>
      <w:r w:rsidRPr="00BF4ABF">
        <w:rPr>
          <w:rFonts w:eastAsia="Calibri"/>
          <w:vertAlign w:val="superscript"/>
        </w:rPr>
        <w:footnoteReference w:id="42"/>
      </w:r>
      <w:r w:rsidRPr="00BF4ABF">
        <w:rPr>
          <w:rFonts w:eastAsia="Calibri"/>
        </w:rPr>
        <w:t xml:space="preserve"> They bridge a distinction Giorgio Riello has conceptualised in relation to global material culture research: between the consideration of ‘unique objects’ in museum collections on the one hand, and the study of objects as commodities on the other, considered as ‘types’ rather than individual things.</w:t>
      </w:r>
      <w:r w:rsidRPr="00BF4ABF">
        <w:rPr>
          <w:rFonts w:eastAsia="Calibri"/>
          <w:vertAlign w:val="superscript"/>
        </w:rPr>
        <w:footnoteReference w:id="43"/>
      </w:r>
      <w:r w:rsidRPr="00BF4ABF">
        <w:rPr>
          <w:rFonts w:eastAsia="Calibri"/>
        </w:rPr>
        <w:t xml:space="preserve"> Existing scholarship has demonstrated the importance of examining inscribed objects on a case-by-case basis, interrogating the different meanings such objects were capable of carrying. At the same time, the wealth of studies of individual objects has indicated the existence of a wider language of inscription, present across many different types of goods. Synthesising these approaches, this thesis considers a range of individual examples of inscriptions on both objects and buildings, </w:t>
      </w:r>
      <w:r w:rsidRPr="00BF4ABF">
        <w:rPr>
          <w:rFonts w:eastAsia="Calibri"/>
        </w:rPr>
        <w:lastRenderedPageBreak/>
        <w:t>exploring their characteristics as ‘unique objects’ while building a bigger picture of inscription practices in early modern England.</w:t>
      </w:r>
    </w:p>
    <w:p w14:paraId="613CEA78" w14:textId="77777777" w:rsidR="00EC1EEB" w:rsidRDefault="00EC1EEB" w:rsidP="00C47014">
      <w:pPr>
        <w:spacing w:after="0" w:line="480" w:lineRule="auto"/>
        <w:ind w:firstLine="720"/>
        <w:jc w:val="both"/>
        <w:rPr>
          <w:rFonts w:eastAsia="Calibri"/>
          <w:lang w:val="en-US"/>
        </w:rPr>
      </w:pPr>
      <w:r w:rsidRPr="00BF4ABF">
        <w:rPr>
          <w:rFonts w:eastAsia="Calibri"/>
        </w:rPr>
        <w:t xml:space="preserve">While emotions feature prominently in material culture studies and in existing histories of inscribed objects, concepts from within the history of emotions </w:t>
      </w:r>
      <w:r>
        <w:rPr>
          <w:rFonts w:eastAsia="Calibri"/>
        </w:rPr>
        <w:t>also provide important insight into how examining inscriptions contributes to better understandings of early modern society.</w:t>
      </w:r>
      <w:r w:rsidRPr="00BF4ABF">
        <w:rPr>
          <w:rFonts w:eastAsia="Calibri"/>
        </w:rPr>
        <w:t xml:space="preserve"> </w:t>
      </w:r>
      <w:r>
        <w:rPr>
          <w:rFonts w:eastAsia="Calibri"/>
          <w:lang w:val="en-US"/>
        </w:rPr>
        <w:t>I</w:t>
      </w:r>
      <w:r w:rsidRPr="00BF4ABF">
        <w:rPr>
          <w:rFonts w:eastAsia="Calibri"/>
          <w:lang w:val="en-US"/>
        </w:rPr>
        <w:t>n 2001, William Reddy formulated the concept of ‘emotives’: words used to talk about emotions that have ‘a transformative effect on both the self and others’.</w:t>
      </w:r>
      <w:r w:rsidRPr="00BF4ABF">
        <w:rPr>
          <w:rFonts w:eastAsia="Calibri"/>
          <w:vertAlign w:val="superscript"/>
          <w:lang w:val="en-US"/>
        </w:rPr>
        <w:footnoteReference w:id="44"/>
      </w:r>
      <w:r w:rsidRPr="00BF4ABF">
        <w:rPr>
          <w:rFonts w:eastAsia="Calibri"/>
          <w:lang w:val="en-US"/>
        </w:rPr>
        <w:t xml:space="preserve"> Importantly, Reddy also theorised the concept of a hegemonic ‘emotional regime’ within each society, potentially stipulating a very narrow form of emotional expression which in turn created various spaces of ‘emotional refuge’ as a means of navigating and escaping repression and ‘emotional suffering’.</w:t>
      </w:r>
      <w:r w:rsidRPr="00BF4ABF">
        <w:rPr>
          <w:rFonts w:eastAsia="Calibri"/>
          <w:vertAlign w:val="superscript"/>
          <w:lang w:val="en-US"/>
        </w:rPr>
        <w:footnoteReference w:id="45"/>
      </w:r>
      <w:r w:rsidRPr="00BF4ABF">
        <w:rPr>
          <w:rFonts w:eastAsia="Calibri"/>
          <w:lang w:val="en-US"/>
        </w:rPr>
        <w:t xml:space="preserve"> Barbara Rosenwein has critiqued Reddy’s ‘bipartite view of society’, positing the idea of ‘emotional communities’ in which different sets of emotional conventions could exist side-by-side</w:t>
      </w:r>
      <w:r>
        <w:rPr>
          <w:rFonts w:eastAsia="Calibri"/>
          <w:lang w:val="en-US"/>
        </w:rPr>
        <w:t>,</w:t>
      </w:r>
      <w:r w:rsidRPr="00BF4ABF">
        <w:rPr>
          <w:rFonts w:eastAsia="Calibri"/>
          <w:lang w:val="en-US"/>
        </w:rPr>
        <w:t xml:space="preserve"> rather than in opposition with one another.</w:t>
      </w:r>
      <w:r w:rsidRPr="00BF4ABF">
        <w:rPr>
          <w:rFonts w:eastAsia="Calibri"/>
          <w:vertAlign w:val="superscript"/>
          <w:lang w:val="en-US"/>
        </w:rPr>
        <w:footnoteReference w:id="46"/>
      </w:r>
      <w:r w:rsidRPr="00BF4ABF">
        <w:rPr>
          <w:rFonts w:eastAsia="Calibri"/>
          <w:lang w:val="en-US"/>
        </w:rPr>
        <w:t xml:space="preserve"> For Rosenwein, a shared ‘emotional vocabulary’ might exist within a society but be drawn upon differently by various groups which themselves constituted emotional communities, tied together by interpersonal relationships, shared goals, texts or institutional affiliations.</w:t>
      </w:r>
      <w:r w:rsidRPr="00BF4ABF">
        <w:rPr>
          <w:rFonts w:eastAsia="Calibri"/>
          <w:vertAlign w:val="superscript"/>
          <w:lang w:val="en-US"/>
        </w:rPr>
        <w:footnoteReference w:id="47"/>
      </w:r>
      <w:r>
        <w:rPr>
          <w:rFonts w:eastAsia="Calibri"/>
          <w:lang w:val="en-US"/>
        </w:rPr>
        <w:t xml:space="preserve"> This thesis examines the wider ‘emotional vocabulary’ that informed inscription practices in early modern England. It uses individual inscriptions to explore the way this vocabulary was adapted by different individuals, couples and families in Bolton-le-Sands and Prestbury and in so doing charts the existence of different, loosely defined, emotional communities.</w:t>
      </w:r>
    </w:p>
    <w:p w14:paraId="78FBF9E6" w14:textId="77777777" w:rsidR="00EC1EEB" w:rsidRDefault="00EC1EEB" w:rsidP="00C47014">
      <w:pPr>
        <w:spacing w:after="0" w:line="480" w:lineRule="auto"/>
        <w:ind w:firstLine="720"/>
        <w:jc w:val="both"/>
        <w:rPr>
          <w:rFonts w:eastAsia="Calibri"/>
          <w:lang w:val="en-US"/>
        </w:rPr>
      </w:pPr>
      <w:r w:rsidRPr="00BF4ABF">
        <w:rPr>
          <w:rFonts w:eastAsia="Calibri"/>
          <w:lang w:val="en-US"/>
        </w:rPr>
        <w:lastRenderedPageBreak/>
        <w:t>Rosenwein has examined inscriptions in her own work, exploring funerary epitaphs produced in medieval Gaul.</w:t>
      </w:r>
      <w:r w:rsidRPr="00BF4ABF">
        <w:rPr>
          <w:rFonts w:eastAsia="Calibri"/>
          <w:vertAlign w:val="superscript"/>
          <w:lang w:val="en-US"/>
        </w:rPr>
        <w:footnoteReference w:id="48"/>
      </w:r>
      <w:r w:rsidRPr="00BF4ABF">
        <w:rPr>
          <w:rFonts w:eastAsia="Calibri"/>
          <w:lang w:val="en-US"/>
        </w:rPr>
        <w:t xml:space="preserve"> Using inscribed text to explore emotions surrounding death, she </w:t>
      </w:r>
      <w:r>
        <w:rPr>
          <w:rFonts w:eastAsia="Calibri"/>
          <w:lang w:val="en-US"/>
        </w:rPr>
        <w:t xml:space="preserve">has </w:t>
      </w:r>
      <w:r w:rsidRPr="00BF4ABF">
        <w:rPr>
          <w:rFonts w:eastAsia="Calibri"/>
          <w:lang w:val="en-US"/>
        </w:rPr>
        <w:t>emphasised the degree to which emotions were both social and relational</w:t>
      </w:r>
      <w:r>
        <w:rPr>
          <w:rFonts w:eastAsia="Calibri"/>
          <w:lang w:val="en-US"/>
        </w:rPr>
        <w:t xml:space="preserve"> and has </w:t>
      </w:r>
      <w:r w:rsidRPr="00BF4ABF">
        <w:rPr>
          <w:rFonts w:eastAsia="Calibri"/>
          <w:lang w:val="en-US"/>
        </w:rPr>
        <w:t xml:space="preserve">documented how various emotional communities co-existed throughout </w:t>
      </w:r>
      <w:r>
        <w:rPr>
          <w:rFonts w:eastAsia="Calibri"/>
          <w:lang w:val="en-US"/>
        </w:rPr>
        <w:t>the region</w:t>
      </w:r>
      <w:r w:rsidRPr="00BF4ABF">
        <w:rPr>
          <w:rFonts w:eastAsia="Calibri"/>
          <w:lang w:val="en-US"/>
        </w:rPr>
        <w:t>, commemorating death in different ways.</w:t>
      </w:r>
      <w:r w:rsidRPr="00BF4ABF">
        <w:rPr>
          <w:rFonts w:eastAsia="Calibri"/>
          <w:vertAlign w:val="superscript"/>
          <w:lang w:val="en-US"/>
        </w:rPr>
        <w:footnoteReference w:id="49"/>
      </w:r>
      <w:r w:rsidRPr="00BF4ABF">
        <w:rPr>
          <w:rFonts w:eastAsia="Calibri"/>
          <w:lang w:val="en-US"/>
        </w:rPr>
        <w:t xml:space="preserve"> Although Rosenwein use</w:t>
      </w:r>
      <w:r>
        <w:rPr>
          <w:rFonts w:eastAsia="Calibri"/>
          <w:lang w:val="en-US"/>
        </w:rPr>
        <w:t>d</w:t>
      </w:r>
      <w:r w:rsidRPr="00BF4ABF">
        <w:rPr>
          <w:rFonts w:eastAsia="Calibri"/>
          <w:lang w:val="en-US"/>
        </w:rPr>
        <w:t xml:space="preserve"> surviving material culture</w:t>
      </w:r>
      <w:r>
        <w:rPr>
          <w:rFonts w:eastAsia="Calibri"/>
          <w:lang w:val="en-US"/>
        </w:rPr>
        <w:t xml:space="preserve"> in her research</w:t>
      </w:r>
      <w:r w:rsidRPr="00BF4ABF">
        <w:rPr>
          <w:rFonts w:eastAsia="Calibri"/>
          <w:lang w:val="en-US"/>
        </w:rPr>
        <w:t>, early modern historian Sasha Handley has critiqued ‘anthropocentric models’ of emotional communities.</w:t>
      </w:r>
      <w:r w:rsidRPr="00BF4ABF">
        <w:rPr>
          <w:rFonts w:eastAsia="Calibri"/>
          <w:vertAlign w:val="superscript"/>
          <w:lang w:val="en-US"/>
        </w:rPr>
        <w:footnoteReference w:id="50"/>
      </w:r>
      <w:r w:rsidRPr="00BF4ABF">
        <w:rPr>
          <w:rFonts w:eastAsia="Calibri"/>
          <w:lang w:val="en-US"/>
        </w:rPr>
        <w:t xml:space="preserve"> In a recent article on the ritualistic consumption of sack posset – considered the ‘pinnacle’ of a wedding feast and particularly key in generating ‘lusty nuptial affections’ between the bride and groom – Handley has argued that the potency of wedding rituals relied on both material and human participants.</w:t>
      </w:r>
      <w:r w:rsidRPr="00BF4ABF">
        <w:rPr>
          <w:rFonts w:eastAsia="Calibri"/>
          <w:vertAlign w:val="superscript"/>
          <w:lang w:val="en-US"/>
        </w:rPr>
        <w:footnoteReference w:id="51"/>
      </w:r>
      <w:r w:rsidRPr="00BF4ABF">
        <w:rPr>
          <w:rFonts w:eastAsia="Calibri"/>
          <w:lang w:val="en-US"/>
        </w:rPr>
        <w:t xml:space="preserve"> </w:t>
      </w:r>
      <w:r>
        <w:rPr>
          <w:rFonts w:eastAsia="Calibri"/>
          <w:lang w:val="en-US"/>
        </w:rPr>
        <w:t>D</w:t>
      </w:r>
      <w:r w:rsidRPr="00BF4ABF">
        <w:rPr>
          <w:rFonts w:eastAsia="Calibri"/>
          <w:lang w:val="en-US"/>
        </w:rPr>
        <w:t>emonstrating how sack posset sealed ‘social and affective relationships’ between the couple and their wider community, she has underlined the central significance of ‘non-human agents’, positioning sack posset as key in the ‘multi-tiered emotional community that cohered around a wedding’.</w:t>
      </w:r>
      <w:r w:rsidRPr="00BF4ABF">
        <w:rPr>
          <w:rFonts w:eastAsia="Calibri"/>
          <w:vertAlign w:val="superscript"/>
          <w:lang w:val="en-US"/>
        </w:rPr>
        <w:footnoteReference w:id="52"/>
      </w:r>
      <w:r w:rsidRPr="00BF4ABF">
        <w:rPr>
          <w:rFonts w:eastAsia="Calibri"/>
          <w:lang w:val="en-US"/>
        </w:rPr>
        <w:t xml:space="preserve"> This expansive view of emotional communities offers a useful perspective</w:t>
      </w:r>
      <w:r>
        <w:rPr>
          <w:rFonts w:eastAsia="Calibri"/>
          <w:lang w:val="en-US"/>
        </w:rPr>
        <w:t>. It also tallies closely with findings elucidated over the course of this thesis, which reveals that inscriptions mediated relationships (often across multiple generations) between people and objects, between families and their homes and between married couples.</w:t>
      </w:r>
    </w:p>
    <w:p w14:paraId="75AED381" w14:textId="77777777" w:rsidR="00EC1EEB" w:rsidRDefault="00EC1EEB" w:rsidP="00C47014">
      <w:pPr>
        <w:spacing w:after="0" w:line="480" w:lineRule="auto"/>
        <w:ind w:firstLine="720"/>
        <w:jc w:val="both"/>
        <w:rPr>
          <w:rFonts w:eastAsia="Calibri"/>
          <w:lang w:val="en-US"/>
        </w:rPr>
      </w:pPr>
      <w:r>
        <w:rPr>
          <w:rFonts w:eastAsia="Calibri"/>
          <w:lang w:val="en-US"/>
        </w:rPr>
        <w:t xml:space="preserve">Wider understandings of the relationship between emotion and inscription in what follows are also partly informed by the work of </w:t>
      </w:r>
      <w:r w:rsidRPr="00BF4ABF">
        <w:rPr>
          <w:rFonts w:eastAsia="Calibri"/>
          <w:lang w:val="en-US"/>
        </w:rPr>
        <w:t xml:space="preserve">Monique Scheer. Rosenwein argued that emotions are ‘always delivered “secondhand”’, with any ‘gestures, bodily changes, words, </w:t>
      </w:r>
      <w:r w:rsidRPr="00BF4ABF">
        <w:rPr>
          <w:rFonts w:eastAsia="Calibri"/>
          <w:lang w:val="en-US"/>
        </w:rPr>
        <w:lastRenderedPageBreak/>
        <w:t>exclamations, tears’ all comprising ‘symptoms that must be interpreted’, operating as emotional signals rather than constituting emotions themselves.</w:t>
      </w:r>
      <w:r w:rsidRPr="00BF4ABF">
        <w:rPr>
          <w:rFonts w:eastAsia="Calibri"/>
          <w:vertAlign w:val="superscript"/>
          <w:lang w:val="en-US"/>
        </w:rPr>
        <w:footnoteReference w:id="53"/>
      </w:r>
      <w:r w:rsidRPr="00BF4ABF">
        <w:rPr>
          <w:rFonts w:eastAsia="Calibri"/>
          <w:lang w:val="en-US"/>
        </w:rPr>
        <w:t xml:space="preserve"> Scheer, however, has argued that feelings emerge in the ‘doing’ of emotions rather than happening prior to and separate from any bodily </w:t>
      </w:r>
      <w:r>
        <w:rPr>
          <w:rFonts w:eastAsia="Calibri"/>
          <w:lang w:val="en-US"/>
        </w:rPr>
        <w:t xml:space="preserve">expressions or </w:t>
      </w:r>
      <w:r w:rsidRPr="00BF4ABF">
        <w:rPr>
          <w:rFonts w:eastAsia="Calibri"/>
          <w:lang w:val="en-US"/>
        </w:rPr>
        <w:t>performance</w:t>
      </w:r>
      <w:r>
        <w:rPr>
          <w:rFonts w:eastAsia="Calibri"/>
          <w:lang w:val="en-US"/>
        </w:rPr>
        <w:t>s</w:t>
      </w:r>
      <w:r w:rsidRPr="00BF4ABF">
        <w:rPr>
          <w:rFonts w:eastAsia="Calibri"/>
          <w:lang w:val="en-US"/>
        </w:rPr>
        <w:t>.</w:t>
      </w:r>
      <w:r w:rsidRPr="00BF4ABF">
        <w:rPr>
          <w:rFonts w:eastAsia="Calibri"/>
          <w:vertAlign w:val="superscript"/>
          <w:lang w:val="en-US"/>
        </w:rPr>
        <w:footnoteReference w:id="54"/>
      </w:r>
      <w:r w:rsidRPr="00BF4ABF">
        <w:rPr>
          <w:rFonts w:eastAsia="Calibri"/>
          <w:lang w:val="en-US"/>
        </w:rPr>
        <w:t xml:space="preserve"> </w:t>
      </w:r>
      <w:r>
        <w:rPr>
          <w:rFonts w:eastAsia="Calibri"/>
          <w:lang w:val="en-US"/>
        </w:rPr>
        <w:t>A</w:t>
      </w:r>
      <w:r w:rsidRPr="00BF4ABF">
        <w:rPr>
          <w:rFonts w:eastAsia="Calibri"/>
          <w:lang w:val="en-US"/>
        </w:rPr>
        <w:t xml:space="preserve">dopting a </w:t>
      </w:r>
      <w:proofErr w:type="spellStart"/>
      <w:r w:rsidRPr="00BF4ABF">
        <w:rPr>
          <w:rFonts w:eastAsia="Calibri"/>
          <w:lang w:val="en-US"/>
        </w:rPr>
        <w:t>Bourdieuian</w:t>
      </w:r>
      <w:proofErr w:type="spellEnd"/>
      <w:r w:rsidRPr="00BF4ABF">
        <w:rPr>
          <w:rFonts w:eastAsia="Calibri"/>
          <w:lang w:val="en-US"/>
        </w:rPr>
        <w:t xml:space="preserve"> </w:t>
      </w:r>
      <w:r>
        <w:rPr>
          <w:rFonts w:eastAsia="Calibri"/>
          <w:lang w:val="en-US"/>
        </w:rPr>
        <w:t>approach,</w:t>
      </w:r>
      <w:r w:rsidRPr="00BF4ABF">
        <w:rPr>
          <w:rFonts w:eastAsia="Calibri"/>
          <w:lang w:val="en-US"/>
        </w:rPr>
        <w:t xml:space="preserve"> Scheer has framed emotions as practices</w:t>
      </w:r>
      <w:r>
        <w:rPr>
          <w:rFonts w:eastAsia="Calibri"/>
          <w:lang w:val="en-US"/>
        </w:rPr>
        <w:t xml:space="preserve"> and understood them</w:t>
      </w:r>
      <w:r w:rsidRPr="00BF4ABF">
        <w:rPr>
          <w:rFonts w:eastAsia="Calibri"/>
          <w:lang w:val="en-US"/>
        </w:rPr>
        <w:t xml:space="preserve"> as embodied, grounded both in the social structures comprising the habitus and the situation encountered by the body.</w:t>
      </w:r>
      <w:r w:rsidRPr="00BF4ABF">
        <w:rPr>
          <w:rFonts w:eastAsia="Calibri"/>
          <w:vertAlign w:val="superscript"/>
          <w:lang w:val="en-US"/>
        </w:rPr>
        <w:footnoteReference w:id="55"/>
      </w:r>
      <w:r w:rsidRPr="00BF4ABF">
        <w:rPr>
          <w:rFonts w:eastAsia="Calibri"/>
          <w:lang w:val="en-US"/>
        </w:rPr>
        <w:t xml:space="preserve"> Scheer has framed behaviours that engender feelings as ‘emotional practices’, charting how</w:t>
      </w:r>
      <w:r>
        <w:rPr>
          <w:rFonts w:eastAsia="Calibri"/>
          <w:lang w:val="en-US"/>
        </w:rPr>
        <w:t xml:space="preserve"> activities</w:t>
      </w:r>
      <w:r w:rsidRPr="00BF4ABF">
        <w:rPr>
          <w:rFonts w:eastAsia="Calibri"/>
          <w:lang w:val="en-US"/>
        </w:rPr>
        <w:t xml:space="preserve"> like courtship were n</w:t>
      </w:r>
      <w:r>
        <w:rPr>
          <w:rFonts w:eastAsia="Calibri"/>
          <w:lang w:val="en-US"/>
        </w:rPr>
        <w:t>ot</w:t>
      </w:r>
      <w:r w:rsidRPr="00BF4ABF">
        <w:rPr>
          <w:rFonts w:eastAsia="Calibri"/>
          <w:lang w:val="en-US"/>
        </w:rPr>
        <w:t xml:space="preserve"> simple expressions of emotions already in existence but</w:t>
      </w:r>
      <w:r>
        <w:rPr>
          <w:rFonts w:eastAsia="Calibri"/>
          <w:lang w:val="en-US"/>
        </w:rPr>
        <w:t xml:space="preserve"> rather</w:t>
      </w:r>
      <w:r w:rsidRPr="00BF4ABF">
        <w:rPr>
          <w:rFonts w:eastAsia="Calibri"/>
          <w:lang w:val="en-US"/>
        </w:rPr>
        <w:t xml:space="preserve"> had a transformative effect, cultivating feelings.</w:t>
      </w:r>
      <w:r>
        <w:rPr>
          <w:rStyle w:val="FootnoteReference"/>
          <w:rFonts w:eastAsia="Calibri"/>
          <w:lang w:val="en-US"/>
        </w:rPr>
        <w:footnoteReference w:id="56"/>
      </w:r>
      <w:r w:rsidRPr="00BF4ABF">
        <w:rPr>
          <w:rFonts w:eastAsia="Calibri"/>
          <w:lang w:val="en-US"/>
        </w:rPr>
        <w:t xml:space="preserve"> </w:t>
      </w:r>
      <w:r>
        <w:rPr>
          <w:rFonts w:eastAsia="Calibri"/>
          <w:lang w:val="en-US"/>
        </w:rPr>
        <w:t xml:space="preserve">Scheer’s approach highlights the importance of attempting </w:t>
      </w:r>
      <w:r w:rsidRPr="00C04BEB">
        <w:rPr>
          <w:rFonts w:eastAsia="Calibri"/>
          <w:lang w:val="en-US"/>
        </w:rPr>
        <w:t>to grasp the social significance of inscriptions.</w:t>
      </w:r>
      <w:r>
        <w:rPr>
          <w:rFonts w:eastAsia="Calibri"/>
          <w:lang w:val="en-US"/>
        </w:rPr>
        <w:t xml:space="preserve"> As will become clear, inscriptions on buildings and objects were closely entangled with transforming houses into homes both for couples themselves and for their descendants. Considering the wider potential for </w:t>
      </w:r>
      <w:proofErr w:type="gramStart"/>
      <w:r>
        <w:rPr>
          <w:rFonts w:eastAsia="Calibri"/>
          <w:lang w:val="en-US"/>
        </w:rPr>
        <w:t>inscribed</w:t>
      </w:r>
      <w:proofErr w:type="gramEnd"/>
      <w:r>
        <w:rPr>
          <w:rFonts w:eastAsia="Calibri"/>
          <w:lang w:val="en-US"/>
        </w:rPr>
        <w:t xml:space="preserve"> text to function as </w:t>
      </w:r>
      <w:r w:rsidRPr="008966EF">
        <w:rPr>
          <w:rFonts w:eastAsia="Calibri"/>
          <w:lang w:val="en-US"/>
        </w:rPr>
        <w:t>‘emotional management’</w:t>
      </w:r>
      <w:r>
        <w:rPr>
          <w:rFonts w:eastAsia="Calibri"/>
          <w:lang w:val="en-US"/>
        </w:rPr>
        <w:t xml:space="preserve"> allows for inscriptions to be conceptually situated within relationships.</w:t>
      </w:r>
      <w:r>
        <w:rPr>
          <w:rStyle w:val="FootnoteReference"/>
          <w:rFonts w:eastAsia="Calibri"/>
          <w:lang w:val="en-US"/>
        </w:rPr>
        <w:footnoteReference w:id="57"/>
      </w:r>
      <w:r>
        <w:rPr>
          <w:rFonts w:eastAsia="Calibri"/>
          <w:lang w:val="en-US"/>
        </w:rPr>
        <w:t xml:space="preserve"> </w:t>
      </w:r>
    </w:p>
    <w:p w14:paraId="4EF4EBE1" w14:textId="77777777" w:rsidR="00EC1EEB" w:rsidRDefault="00EC1EEB" w:rsidP="00C47014">
      <w:pPr>
        <w:spacing w:after="0" w:line="480" w:lineRule="auto"/>
        <w:ind w:firstLine="720"/>
        <w:jc w:val="both"/>
        <w:rPr>
          <w:rFonts w:eastAsia="Calibri"/>
          <w:lang w:val="en-US"/>
        </w:rPr>
      </w:pPr>
      <w:r>
        <w:rPr>
          <w:rFonts w:eastAsia="Calibri"/>
          <w:lang w:val="en-US"/>
        </w:rPr>
        <w:t xml:space="preserve">Scholars of material culture and emotion have long explored the interconnectedness of materiality with people’s everyday lives. Framed in dialogue with this broad literature, this thesis centres on the social, cultural and emotional dimensions of inscribed material culture. In adopting an approach to material culture that includes the fabric of early modern homes, this thesis examines inscribed objects and buildings in tandem, allowing concepts from studies of material culture and emotion to inform a reassessment of arguments developed </w:t>
      </w:r>
      <w:r>
        <w:rPr>
          <w:rFonts w:eastAsia="Calibri"/>
          <w:lang w:val="en-US"/>
        </w:rPr>
        <w:lastRenderedPageBreak/>
        <w:t>within architectural history. In the process, this study shows that inscriptions upon and within homes were important tools for people forging connections between their property and their family. It also highlights how shaping domestic space was intrinsically linked with identity formation, with those commissioning inscriptions doing so with an awareness that the text carved upon their houses and possessions would in turn influence their lives in and amongst them.</w:t>
      </w:r>
    </w:p>
    <w:p w14:paraId="250A05DC" w14:textId="77777777" w:rsidR="00EC1EEB" w:rsidRPr="00BF4ABF" w:rsidRDefault="00EC1EEB" w:rsidP="00C47014">
      <w:pPr>
        <w:spacing w:after="0" w:line="480" w:lineRule="auto"/>
        <w:ind w:firstLine="720"/>
        <w:jc w:val="both"/>
        <w:rPr>
          <w:rFonts w:eastAsia="Calibri"/>
          <w:lang w:val="en-US"/>
        </w:rPr>
      </w:pPr>
      <w:r>
        <w:rPr>
          <w:rFonts w:eastAsia="Calibri"/>
          <w:lang w:val="en-US"/>
        </w:rPr>
        <w:t>As a final historiographical point,</w:t>
      </w:r>
      <w:r w:rsidRPr="00BF4ABF">
        <w:rPr>
          <w:rFonts w:eastAsia="Calibri"/>
          <w:lang w:val="en-US"/>
        </w:rPr>
        <w:t xml:space="preserve"> since the inscriptions considered here were all created and situated within a domestic context, this thesis is</w:t>
      </w:r>
      <w:r>
        <w:rPr>
          <w:rFonts w:eastAsia="Calibri"/>
          <w:lang w:val="en-US"/>
        </w:rPr>
        <w:t xml:space="preserve"> also</w:t>
      </w:r>
      <w:r w:rsidRPr="00BF4ABF">
        <w:rPr>
          <w:rFonts w:eastAsia="Calibri"/>
          <w:lang w:val="en-US"/>
        </w:rPr>
        <w:t xml:space="preserve"> necessarily informed by existing scholarship on the family. Traditional historiographies of the family have dealt with marriage directly, looking at married life in early modern households.</w:t>
      </w:r>
      <w:r w:rsidRPr="00BF4ABF">
        <w:rPr>
          <w:rFonts w:eastAsia="Calibri"/>
          <w:vertAlign w:val="superscript"/>
          <w:lang w:val="en-US"/>
        </w:rPr>
        <w:footnoteReference w:id="58"/>
      </w:r>
      <w:r w:rsidRPr="00BF4ABF">
        <w:rPr>
          <w:rFonts w:eastAsia="Calibri"/>
          <w:lang w:val="en-US"/>
        </w:rPr>
        <w:t xml:space="preserve"> </w:t>
      </w:r>
      <w:r>
        <w:rPr>
          <w:rFonts w:eastAsia="Calibri"/>
          <w:lang w:val="en-US"/>
        </w:rPr>
        <w:t>In recent decades, however, h</w:t>
      </w:r>
      <w:r w:rsidRPr="00BF4ABF">
        <w:rPr>
          <w:rFonts w:eastAsia="Calibri"/>
          <w:lang w:val="en-US"/>
        </w:rPr>
        <w:t xml:space="preserve">istorians have </w:t>
      </w:r>
      <w:r>
        <w:rPr>
          <w:rFonts w:eastAsia="Calibri"/>
          <w:lang w:val="en-US"/>
        </w:rPr>
        <w:t>p</w:t>
      </w:r>
      <w:r w:rsidRPr="00BF4ABF">
        <w:rPr>
          <w:rFonts w:eastAsia="Calibri"/>
          <w:lang w:val="en-US"/>
        </w:rPr>
        <w:t>roblematise</w:t>
      </w:r>
      <w:r>
        <w:rPr>
          <w:rFonts w:eastAsia="Calibri"/>
          <w:lang w:val="en-US"/>
        </w:rPr>
        <w:t>d</w:t>
      </w:r>
      <w:r w:rsidRPr="00BF4ABF">
        <w:rPr>
          <w:rFonts w:eastAsia="Calibri"/>
          <w:lang w:val="en-US"/>
        </w:rPr>
        <w:t xml:space="preserve"> the idea of the family as a nuclear unit centred around a married couple. While the lives of married couples</w:t>
      </w:r>
      <w:r>
        <w:rPr>
          <w:rFonts w:eastAsia="Calibri"/>
          <w:lang w:val="en-US"/>
        </w:rPr>
        <w:t xml:space="preserve"> are key in what follows</w:t>
      </w:r>
      <w:r w:rsidRPr="00BF4ABF">
        <w:rPr>
          <w:rFonts w:eastAsia="Calibri"/>
          <w:lang w:val="en-US"/>
        </w:rPr>
        <w:t xml:space="preserve">, </w:t>
      </w:r>
      <w:r>
        <w:rPr>
          <w:rFonts w:eastAsia="Calibri"/>
          <w:lang w:val="en-US"/>
        </w:rPr>
        <w:t>discussions</w:t>
      </w:r>
      <w:r w:rsidRPr="00BF4ABF">
        <w:rPr>
          <w:rFonts w:eastAsia="Calibri"/>
          <w:lang w:val="en-US"/>
        </w:rPr>
        <w:t xml:space="preserve"> </w:t>
      </w:r>
      <w:r>
        <w:rPr>
          <w:rFonts w:eastAsia="Calibri"/>
          <w:lang w:val="en-US"/>
        </w:rPr>
        <w:t>are</w:t>
      </w:r>
      <w:r w:rsidRPr="00BF4ABF">
        <w:rPr>
          <w:rFonts w:eastAsia="Calibri"/>
          <w:lang w:val="en-US"/>
        </w:rPr>
        <w:t xml:space="preserve"> informed by an expansive body of work engaging with the family as a broad category. </w:t>
      </w:r>
      <w:r>
        <w:rPr>
          <w:rFonts w:eastAsia="Calibri"/>
          <w:lang w:val="en-US"/>
        </w:rPr>
        <w:t>Among this is a range of scholarship examining</w:t>
      </w:r>
      <w:r w:rsidRPr="00BF4ABF">
        <w:rPr>
          <w:rFonts w:eastAsia="Calibri"/>
          <w:lang w:val="en-US"/>
        </w:rPr>
        <w:t xml:space="preserve"> the lives of bachelors, widowers, widows and ‘never married’ women.</w:t>
      </w:r>
      <w:r w:rsidRPr="00BF4ABF">
        <w:rPr>
          <w:rFonts w:eastAsia="Calibri"/>
          <w:vertAlign w:val="superscript"/>
          <w:lang w:val="en-US"/>
        </w:rPr>
        <w:footnoteReference w:id="59"/>
      </w:r>
      <w:r w:rsidRPr="00BF4ABF">
        <w:rPr>
          <w:rFonts w:eastAsia="Calibri"/>
          <w:lang w:val="en-US"/>
        </w:rPr>
        <w:t xml:space="preserve"> Particularly significant in this has been the development of the household as a key point of enquiry, in which Naomi Tadmor’s concept of the ‘household family’ (which included single heads of households, adopted children, nieces, nephews, servants and apprentices all living under the same roof) has been central.</w:t>
      </w:r>
      <w:r w:rsidRPr="00BF4ABF">
        <w:rPr>
          <w:rFonts w:eastAsia="Calibri"/>
          <w:vertAlign w:val="superscript"/>
          <w:lang w:val="en-US"/>
        </w:rPr>
        <w:footnoteReference w:id="60"/>
      </w:r>
      <w:r w:rsidRPr="00BF4ABF">
        <w:rPr>
          <w:rFonts w:eastAsia="Calibri"/>
          <w:lang w:val="en-US"/>
        </w:rPr>
        <w:t xml:space="preserve"> </w:t>
      </w:r>
    </w:p>
    <w:p w14:paraId="0C8F8AB6" w14:textId="77777777" w:rsidR="00EC1EEB" w:rsidRDefault="00EC1EEB" w:rsidP="00C47014">
      <w:pPr>
        <w:spacing w:after="0" w:line="480" w:lineRule="auto"/>
        <w:ind w:firstLine="720"/>
        <w:jc w:val="both"/>
        <w:rPr>
          <w:rFonts w:eastAsia="Calibri"/>
          <w:lang w:val="en-US"/>
        </w:rPr>
      </w:pPr>
      <w:r>
        <w:rPr>
          <w:rFonts w:eastAsia="Calibri"/>
          <w:lang w:val="en-US"/>
        </w:rPr>
        <w:lastRenderedPageBreak/>
        <w:t>Scholars working on the broader fields of</w:t>
      </w:r>
      <w:r w:rsidRPr="00BF4ABF">
        <w:rPr>
          <w:rFonts w:eastAsia="Calibri"/>
          <w:lang w:val="en-US"/>
        </w:rPr>
        <w:t xml:space="preserve"> gender relations, work and property ha</w:t>
      </w:r>
      <w:r>
        <w:rPr>
          <w:rFonts w:eastAsia="Calibri"/>
          <w:lang w:val="en-US"/>
        </w:rPr>
        <w:t xml:space="preserve">ve </w:t>
      </w:r>
      <w:r w:rsidRPr="00BF4ABF">
        <w:rPr>
          <w:rFonts w:eastAsia="Calibri"/>
          <w:lang w:val="en-US"/>
        </w:rPr>
        <w:t>all taken the household as their starting point, not limiting analysis to families centred around marriage but exploring marriage as an important topic of analysis within a wider frame.</w:t>
      </w:r>
      <w:r w:rsidRPr="00BF4ABF">
        <w:rPr>
          <w:rFonts w:eastAsia="Calibri"/>
          <w:vertAlign w:val="superscript"/>
          <w:lang w:val="en-US"/>
        </w:rPr>
        <w:footnoteReference w:id="61"/>
      </w:r>
      <w:r w:rsidRPr="00BF4ABF">
        <w:rPr>
          <w:rFonts w:eastAsia="Calibri"/>
          <w:lang w:val="en-US"/>
        </w:rPr>
        <w:t xml:space="preserve"> </w:t>
      </w:r>
      <w:r>
        <w:rPr>
          <w:rFonts w:eastAsia="Calibri"/>
          <w:lang w:val="en-US"/>
        </w:rPr>
        <w:t>R</w:t>
      </w:r>
      <w:r w:rsidRPr="00BF4ABF">
        <w:rPr>
          <w:rFonts w:eastAsia="Calibri"/>
          <w:lang w:val="en-US"/>
        </w:rPr>
        <w:t xml:space="preserve">eal and personal property </w:t>
      </w:r>
      <w:r>
        <w:rPr>
          <w:rFonts w:eastAsia="Calibri"/>
          <w:lang w:val="en-US"/>
        </w:rPr>
        <w:t xml:space="preserve">is a key issue </w:t>
      </w:r>
      <w:r w:rsidRPr="00BF4ABF">
        <w:rPr>
          <w:rFonts w:eastAsia="Calibri"/>
          <w:lang w:val="en-US"/>
        </w:rPr>
        <w:t xml:space="preserve">in </w:t>
      </w:r>
      <w:r>
        <w:rPr>
          <w:rFonts w:eastAsia="Calibri"/>
          <w:lang w:val="en-US"/>
        </w:rPr>
        <w:t xml:space="preserve">examining </w:t>
      </w:r>
      <w:r w:rsidRPr="00BF4ABF">
        <w:rPr>
          <w:rFonts w:eastAsia="Calibri"/>
          <w:lang w:val="en-US"/>
        </w:rPr>
        <w:t>inscribed houses and objects</w:t>
      </w:r>
      <w:r>
        <w:rPr>
          <w:rFonts w:eastAsia="Calibri"/>
          <w:lang w:val="en-US"/>
        </w:rPr>
        <w:t>. Similarly,</w:t>
      </w:r>
      <w:r w:rsidRPr="00BF4ABF">
        <w:rPr>
          <w:rFonts w:eastAsia="Calibri"/>
          <w:lang w:val="en-US"/>
        </w:rPr>
        <w:t xml:space="preserve"> </w:t>
      </w:r>
      <w:r>
        <w:rPr>
          <w:rFonts w:eastAsia="Calibri"/>
          <w:lang w:val="en-US"/>
        </w:rPr>
        <w:t xml:space="preserve">work is an important point of discussion </w:t>
      </w:r>
      <w:r w:rsidRPr="00BF4ABF">
        <w:rPr>
          <w:rFonts w:eastAsia="Calibri"/>
          <w:lang w:val="en-US"/>
        </w:rPr>
        <w:t>in understanding the wealth of individual households and case study communities</w:t>
      </w:r>
      <w:r>
        <w:rPr>
          <w:rFonts w:eastAsia="Calibri"/>
          <w:lang w:val="en-US"/>
        </w:rPr>
        <w:t xml:space="preserve">. Consequently, </w:t>
      </w:r>
      <w:r w:rsidRPr="00BF4ABF">
        <w:rPr>
          <w:rFonts w:eastAsia="Calibri"/>
          <w:lang w:val="en-US"/>
        </w:rPr>
        <w:t>the work of historians like Amy Erickson and Jane Whittle is invaluable in what follows, even where not directly concerned with married couples</w:t>
      </w:r>
      <w:r>
        <w:rPr>
          <w:rFonts w:eastAsia="Calibri"/>
          <w:lang w:val="en-US"/>
        </w:rPr>
        <w:t xml:space="preserve"> themselves</w:t>
      </w:r>
      <w:r w:rsidRPr="00BF4ABF">
        <w:rPr>
          <w:rFonts w:eastAsia="Calibri"/>
          <w:lang w:val="en-US"/>
        </w:rPr>
        <w:t>.</w:t>
      </w:r>
      <w:r w:rsidRPr="00BF4ABF">
        <w:rPr>
          <w:rFonts w:eastAsia="Calibri"/>
          <w:vertAlign w:val="superscript"/>
          <w:lang w:val="en-US"/>
        </w:rPr>
        <w:footnoteReference w:id="62"/>
      </w:r>
      <w:r w:rsidRPr="00BF4ABF">
        <w:rPr>
          <w:rFonts w:eastAsia="Calibri"/>
          <w:lang w:val="en-US"/>
        </w:rPr>
        <w:t xml:space="preserve"> By a similar token, </w:t>
      </w:r>
      <w:r>
        <w:rPr>
          <w:rFonts w:eastAsia="Calibri"/>
          <w:lang w:val="en-US"/>
        </w:rPr>
        <w:t>studies of</w:t>
      </w:r>
      <w:r w:rsidRPr="00BF4ABF">
        <w:rPr>
          <w:rFonts w:eastAsia="Calibri"/>
          <w:lang w:val="en-US"/>
        </w:rPr>
        <w:t xml:space="preserve"> marital breakdown and disputed marriage contracts form another crucial touchstone, offering insights into contemporary expectations surrounding matrimony, courtship and the many possible steps </w:t>
      </w:r>
      <w:r>
        <w:rPr>
          <w:rFonts w:eastAsia="Calibri"/>
          <w:lang w:val="en-US"/>
        </w:rPr>
        <w:t>understood to precede weddings in</w:t>
      </w:r>
      <w:r w:rsidRPr="00BF4ABF">
        <w:rPr>
          <w:rFonts w:eastAsia="Calibri"/>
          <w:lang w:val="en-US"/>
        </w:rPr>
        <w:t xml:space="preserve"> early modern England.</w:t>
      </w:r>
      <w:r w:rsidRPr="00BF4ABF">
        <w:rPr>
          <w:rFonts w:eastAsia="Calibri"/>
          <w:vertAlign w:val="superscript"/>
          <w:lang w:val="en-US"/>
        </w:rPr>
        <w:footnoteReference w:id="63"/>
      </w:r>
      <w:r w:rsidRPr="00BF4ABF">
        <w:rPr>
          <w:rFonts w:eastAsia="Calibri"/>
          <w:lang w:val="en-US"/>
        </w:rPr>
        <w:t xml:space="preserve"> Uniting all of these different considerations, the work of historians like David Cressy, Christine Peters and Joanne </w:t>
      </w:r>
      <w:proofErr w:type="spellStart"/>
      <w:r w:rsidRPr="00BF4ABF">
        <w:rPr>
          <w:rFonts w:eastAsia="Calibri"/>
          <w:lang w:val="en-US"/>
        </w:rPr>
        <w:t>Begiato</w:t>
      </w:r>
      <w:proofErr w:type="spellEnd"/>
      <w:r w:rsidRPr="00BF4ABF">
        <w:rPr>
          <w:rFonts w:eastAsia="Calibri"/>
          <w:lang w:val="en-US"/>
        </w:rPr>
        <w:t xml:space="preserve"> are all central to the </w:t>
      </w:r>
      <w:r w:rsidRPr="00BF4ABF">
        <w:rPr>
          <w:rFonts w:eastAsia="Calibri"/>
          <w:lang w:val="en-US"/>
        </w:rPr>
        <w:lastRenderedPageBreak/>
        <w:t xml:space="preserve">following discussion, </w:t>
      </w:r>
      <w:r>
        <w:rPr>
          <w:rFonts w:eastAsia="Calibri"/>
          <w:lang w:val="en-US"/>
        </w:rPr>
        <w:t>examining</w:t>
      </w:r>
      <w:r w:rsidRPr="00BF4ABF">
        <w:rPr>
          <w:rFonts w:eastAsia="Calibri"/>
          <w:lang w:val="en-US"/>
        </w:rPr>
        <w:t xml:space="preserve"> different events in the life cycle </w:t>
      </w:r>
      <w:r>
        <w:rPr>
          <w:rFonts w:eastAsia="Calibri"/>
          <w:lang w:val="en-US"/>
        </w:rPr>
        <w:t xml:space="preserve">through the lens of ritual </w:t>
      </w:r>
      <w:r w:rsidRPr="00BF4ABF">
        <w:rPr>
          <w:rFonts w:eastAsia="Calibri"/>
          <w:lang w:val="en-US"/>
        </w:rPr>
        <w:t xml:space="preserve">and considering the social, material and behavioural </w:t>
      </w:r>
      <w:r>
        <w:rPr>
          <w:rFonts w:eastAsia="Calibri"/>
          <w:lang w:val="en-US"/>
        </w:rPr>
        <w:t>stipulations</w:t>
      </w:r>
      <w:r w:rsidRPr="00BF4ABF">
        <w:rPr>
          <w:rFonts w:eastAsia="Calibri"/>
          <w:lang w:val="en-US"/>
        </w:rPr>
        <w:t xml:space="preserve"> </w:t>
      </w:r>
      <w:r>
        <w:rPr>
          <w:rFonts w:eastAsia="Calibri"/>
          <w:lang w:val="en-US"/>
        </w:rPr>
        <w:t>surrounding</w:t>
      </w:r>
      <w:r w:rsidRPr="00BF4ABF">
        <w:rPr>
          <w:rFonts w:eastAsia="Calibri"/>
          <w:lang w:val="en-US"/>
        </w:rPr>
        <w:t xml:space="preserve"> marriage in seventeenth- and eighteenth-century society.</w:t>
      </w:r>
      <w:r w:rsidRPr="00BF4ABF">
        <w:rPr>
          <w:rFonts w:eastAsia="Calibri"/>
          <w:vertAlign w:val="superscript"/>
          <w:lang w:val="en-US"/>
        </w:rPr>
        <w:footnoteReference w:id="64"/>
      </w:r>
      <w:r>
        <w:rPr>
          <w:rFonts w:eastAsia="Calibri"/>
          <w:lang w:val="en-US"/>
        </w:rPr>
        <w:t xml:space="preserve"> Connecting the study of material and architectural sources to the history of the family, this thesis demonstrates that inscriptions on objects and buildings were as linked to the memorialisation and identity formation of families over several generations as they were to moments of family formation, revealing their diachronic as well as synchronic significance.</w:t>
      </w:r>
    </w:p>
    <w:p w14:paraId="79C92E06" w14:textId="77777777" w:rsidR="00EC1EEB" w:rsidRDefault="00EC1EEB" w:rsidP="00C47014">
      <w:pPr>
        <w:spacing w:after="0" w:line="480" w:lineRule="auto"/>
        <w:ind w:firstLine="720"/>
        <w:jc w:val="both"/>
        <w:rPr>
          <w:rFonts w:eastAsia="Calibri"/>
          <w:lang w:val="en-US"/>
        </w:rPr>
      </w:pPr>
    </w:p>
    <w:p w14:paraId="35F78814" w14:textId="77777777" w:rsidR="00EC1EEB" w:rsidRPr="00AC0D11" w:rsidRDefault="00EC1EEB" w:rsidP="00C47014">
      <w:pPr>
        <w:spacing w:after="0" w:line="480" w:lineRule="auto"/>
        <w:jc w:val="both"/>
        <w:rPr>
          <w:rFonts w:eastAsia="Calibri"/>
          <w:b/>
          <w:bCs/>
          <w:lang w:val="en-US"/>
        </w:rPr>
      </w:pPr>
      <w:r>
        <w:rPr>
          <w:rFonts w:eastAsia="Calibri"/>
          <w:b/>
          <w:bCs/>
          <w:lang w:val="en-US"/>
        </w:rPr>
        <w:t>Social Practice Theory</w:t>
      </w:r>
    </w:p>
    <w:p w14:paraId="742C3051" w14:textId="77777777" w:rsidR="00EC1EEB" w:rsidRDefault="00EC1EEB" w:rsidP="00C47014">
      <w:pPr>
        <w:spacing w:after="0" w:line="480" w:lineRule="auto"/>
        <w:ind w:firstLine="720"/>
        <w:jc w:val="both"/>
        <w:rPr>
          <w:rFonts w:eastAsia="Calibri"/>
          <w:lang w:val="en-US"/>
        </w:rPr>
      </w:pPr>
      <w:r>
        <w:rPr>
          <w:rFonts w:eastAsia="Calibri"/>
          <w:lang w:val="en-US"/>
        </w:rPr>
        <w:t xml:space="preserve">A social practice theory approach is useful in bringing these various historiographical themes together. Considering inscriptions as practices allows for them to be situated within contemporary modes of thought and </w:t>
      </w:r>
      <w:proofErr w:type="gramStart"/>
      <w:r>
        <w:rPr>
          <w:rFonts w:eastAsia="Calibri"/>
          <w:lang w:val="en-US"/>
        </w:rPr>
        <w:t>feeling, and</w:t>
      </w:r>
      <w:proofErr w:type="gramEnd"/>
      <w:r>
        <w:rPr>
          <w:rFonts w:eastAsia="Calibri"/>
          <w:lang w:val="en-US"/>
        </w:rPr>
        <w:t xml:space="preserve"> emphasises the importance of behaviours and social conditions in producing inscriptions. Consequently, rather than examining inscriptions on objects and buildings for their own sake, this study explores how inscriptions were embedded in everyday understandings of marriage, the home and the self, as well as the communities and wider society within which inscribing couples and families lived. In so doing, this thesis considers marital inscriptions as a practice within a practice, using practice theory to understand and interrogate marriage as a form of social practice.</w:t>
      </w:r>
    </w:p>
    <w:p w14:paraId="5E469773" w14:textId="77777777" w:rsidR="00EC1EEB" w:rsidRPr="003A2C54" w:rsidRDefault="00EC1EEB" w:rsidP="00C47014">
      <w:pPr>
        <w:spacing w:after="0" w:line="480" w:lineRule="auto"/>
        <w:ind w:firstLine="720"/>
        <w:jc w:val="both"/>
        <w:rPr>
          <w:rFonts w:eastAsia="Calibri"/>
        </w:rPr>
      </w:pPr>
      <w:r w:rsidRPr="003A2C54">
        <w:rPr>
          <w:rFonts w:eastAsia="Calibri"/>
        </w:rPr>
        <w:t xml:space="preserve">There is no single, coherent theory of practice. </w:t>
      </w:r>
      <w:r>
        <w:rPr>
          <w:rFonts w:eastAsia="Calibri"/>
        </w:rPr>
        <w:t xml:space="preserve">Ludwig </w:t>
      </w:r>
      <w:r w:rsidRPr="003A2C54">
        <w:rPr>
          <w:rFonts w:eastAsia="Calibri"/>
        </w:rPr>
        <w:t xml:space="preserve">Wittgenstein and </w:t>
      </w:r>
      <w:r>
        <w:rPr>
          <w:rFonts w:eastAsia="Calibri"/>
        </w:rPr>
        <w:t xml:space="preserve">Martin </w:t>
      </w:r>
      <w:r w:rsidRPr="003A2C54">
        <w:rPr>
          <w:rFonts w:eastAsia="Calibri"/>
        </w:rPr>
        <w:t>Heidegger are commonly cited as early proponents of a practice approach</w:t>
      </w:r>
      <w:r>
        <w:rPr>
          <w:rFonts w:eastAsia="Calibri"/>
        </w:rPr>
        <w:t xml:space="preserve"> but,</w:t>
      </w:r>
      <w:r w:rsidRPr="003A2C54">
        <w:rPr>
          <w:rFonts w:eastAsia="Calibri"/>
        </w:rPr>
        <w:t xml:space="preserve"> although </w:t>
      </w:r>
      <w:r>
        <w:rPr>
          <w:rFonts w:eastAsia="Calibri"/>
        </w:rPr>
        <w:t xml:space="preserve">social </w:t>
      </w:r>
      <w:r>
        <w:rPr>
          <w:rFonts w:eastAsia="Calibri"/>
        </w:rPr>
        <w:lastRenderedPageBreak/>
        <w:t xml:space="preserve">theorist Theodore </w:t>
      </w:r>
      <w:r w:rsidRPr="003A2C54">
        <w:rPr>
          <w:rFonts w:eastAsia="Calibri"/>
        </w:rPr>
        <w:t>Schatzki has worked closely with Wittgenstein’s work, neither twentieth-century philosopher spoke explicitly of ‘practices’.</w:t>
      </w:r>
      <w:r w:rsidRPr="003A2C54">
        <w:rPr>
          <w:rFonts w:eastAsia="Calibri"/>
          <w:vertAlign w:val="superscript"/>
        </w:rPr>
        <w:footnoteReference w:id="65"/>
      </w:r>
      <w:r w:rsidRPr="003A2C54">
        <w:rPr>
          <w:rFonts w:eastAsia="Calibri"/>
        </w:rPr>
        <w:t xml:space="preserve"> Practice theories were first formulated in the 1970s and 1980s and arose from the social sciences. Alongside Anthony Giddens, the writing of Pierre Bourdieu remains the most well-known on the </w:t>
      </w:r>
      <w:proofErr w:type="gramStart"/>
      <w:r w:rsidRPr="003A2C54">
        <w:rPr>
          <w:rFonts w:eastAsia="Calibri"/>
        </w:rPr>
        <w:t>subject, but</w:t>
      </w:r>
      <w:proofErr w:type="gramEnd"/>
      <w:r w:rsidRPr="003A2C54">
        <w:rPr>
          <w:rFonts w:eastAsia="Calibri"/>
        </w:rPr>
        <w:t xml:space="preserve"> nonetheless lacks a consistent theory of practice.</w:t>
      </w:r>
      <w:r w:rsidRPr="003A2C54">
        <w:rPr>
          <w:rFonts w:eastAsia="Calibri"/>
          <w:vertAlign w:val="superscript"/>
        </w:rPr>
        <w:footnoteReference w:id="66"/>
      </w:r>
      <w:r w:rsidRPr="003A2C54">
        <w:rPr>
          <w:rFonts w:eastAsia="Calibri"/>
        </w:rPr>
        <w:t xml:space="preserve"> This has been attributed to the close relationship between practices and the ‘</w:t>
      </w:r>
      <w:proofErr w:type="gramStart"/>
      <w:r w:rsidRPr="003A2C54">
        <w:rPr>
          <w:rFonts w:eastAsia="Calibri"/>
        </w:rPr>
        <w:t>habitus’</w:t>
      </w:r>
      <w:proofErr w:type="gramEnd"/>
      <w:r w:rsidRPr="003A2C54">
        <w:rPr>
          <w:rFonts w:eastAsia="Calibri"/>
        </w:rPr>
        <w:t>, as the habitus was</w:t>
      </w:r>
      <w:r>
        <w:rPr>
          <w:rFonts w:eastAsia="Calibri"/>
        </w:rPr>
        <w:t xml:space="preserve"> understood to be</w:t>
      </w:r>
      <w:r w:rsidRPr="003A2C54">
        <w:rPr>
          <w:rFonts w:eastAsia="Calibri"/>
        </w:rPr>
        <w:t xml:space="preserve"> moulded </w:t>
      </w:r>
      <w:r w:rsidRPr="003A2C54">
        <w:rPr>
          <w:rFonts w:eastAsia="Calibri"/>
          <w:i/>
          <w:iCs/>
        </w:rPr>
        <w:t>through</w:t>
      </w:r>
      <w:r w:rsidRPr="003A2C54">
        <w:rPr>
          <w:rFonts w:eastAsia="Calibri"/>
        </w:rPr>
        <w:t xml:space="preserve"> practices and was </w:t>
      </w:r>
      <w:r>
        <w:rPr>
          <w:rFonts w:eastAsia="Calibri"/>
        </w:rPr>
        <w:t xml:space="preserve">instead </w:t>
      </w:r>
      <w:r w:rsidRPr="003A2C54">
        <w:rPr>
          <w:rFonts w:eastAsia="Calibri"/>
        </w:rPr>
        <w:t>Bourdieu’s main concern.</w:t>
      </w:r>
      <w:r w:rsidRPr="003A2C54">
        <w:rPr>
          <w:rFonts w:eastAsia="Calibri"/>
          <w:vertAlign w:val="superscript"/>
        </w:rPr>
        <w:footnoteReference w:id="67"/>
      </w:r>
    </w:p>
    <w:p w14:paraId="552CF2B7" w14:textId="77777777" w:rsidR="00EC1EEB" w:rsidRDefault="00EC1EEB" w:rsidP="00C47014">
      <w:pPr>
        <w:spacing w:after="0" w:line="480" w:lineRule="auto"/>
        <w:ind w:firstLine="720"/>
        <w:jc w:val="both"/>
        <w:rPr>
          <w:rFonts w:eastAsia="Calibri"/>
        </w:rPr>
      </w:pPr>
      <w:r w:rsidRPr="003A2C54">
        <w:rPr>
          <w:rFonts w:eastAsia="Calibri"/>
        </w:rPr>
        <w:t xml:space="preserve">Following the first wave of writers </w:t>
      </w:r>
      <w:r>
        <w:rPr>
          <w:rFonts w:eastAsia="Calibri"/>
        </w:rPr>
        <w:t>engaging</w:t>
      </w:r>
      <w:r w:rsidRPr="003A2C54">
        <w:rPr>
          <w:rFonts w:eastAsia="Calibri"/>
        </w:rPr>
        <w:t xml:space="preserve"> with practice theory, a second wave dominated by Theodore Schatzki and Andreas Reckwitz came to the fore in the late 1990s and early 2000s. Their interpretations have much in common and Reckwitz builds on Schatzki in his own work, attempting to codify diverse practice perspectives in ‘Toward a theory of social practices’.</w:t>
      </w:r>
      <w:r w:rsidRPr="003A2C54">
        <w:rPr>
          <w:rFonts w:eastAsia="Calibri"/>
          <w:vertAlign w:val="superscript"/>
        </w:rPr>
        <w:footnoteReference w:id="68"/>
      </w:r>
      <w:r w:rsidRPr="003A2C54">
        <w:rPr>
          <w:rFonts w:eastAsia="Calibri"/>
        </w:rPr>
        <w:t xml:space="preserve"> In </w:t>
      </w:r>
      <w:r>
        <w:rPr>
          <w:rFonts w:eastAsia="Calibri"/>
        </w:rPr>
        <w:t>the process</w:t>
      </w:r>
      <w:r w:rsidRPr="003A2C54">
        <w:rPr>
          <w:rFonts w:eastAsia="Calibri"/>
        </w:rPr>
        <w:t>, Reckwitz elucidates the unique value of practice theory. In putting practices rather than individuals centre stage, practice approaches challenge the ‘purpose-oriented’ view of a social order predicated upon individual interests.</w:t>
      </w:r>
      <w:r>
        <w:rPr>
          <w:rStyle w:val="FootnoteReference"/>
          <w:rFonts w:eastAsia="Calibri"/>
        </w:rPr>
        <w:footnoteReference w:id="69"/>
      </w:r>
      <w:r w:rsidRPr="003A2C54">
        <w:rPr>
          <w:rFonts w:eastAsia="Calibri"/>
        </w:rPr>
        <w:t xml:space="preserve"> By the same token, practice theories refute ‘norm-oriented’ approaches in which all-encompassing norms and values underlie and generate social order.</w:t>
      </w:r>
      <w:r w:rsidRPr="003A2C54">
        <w:rPr>
          <w:rFonts w:eastAsia="Calibri"/>
          <w:vertAlign w:val="superscript"/>
        </w:rPr>
        <w:footnoteReference w:id="70"/>
      </w:r>
      <w:r>
        <w:rPr>
          <w:rFonts w:eastAsia="Calibri"/>
        </w:rPr>
        <w:t xml:space="preserve"> </w:t>
      </w:r>
      <w:r w:rsidRPr="003A2C54">
        <w:rPr>
          <w:rFonts w:eastAsia="Calibri"/>
        </w:rPr>
        <w:t xml:space="preserve">Primarily, as a cultural theory, a practice approach recognises that shared knowledge underlies social action. </w:t>
      </w:r>
      <w:r>
        <w:rPr>
          <w:rFonts w:eastAsia="Calibri"/>
        </w:rPr>
        <w:t>Concurrent</w:t>
      </w:r>
      <w:r w:rsidRPr="003A2C54">
        <w:rPr>
          <w:rFonts w:eastAsia="Calibri"/>
        </w:rPr>
        <w:t xml:space="preserve">ly however, practice theories allow for the absence of a normative consensus. </w:t>
      </w:r>
      <w:r>
        <w:rPr>
          <w:rFonts w:eastAsia="Calibri"/>
        </w:rPr>
        <w:t xml:space="preserve">These stances are useful in </w:t>
      </w:r>
      <w:r>
        <w:rPr>
          <w:rFonts w:eastAsia="Calibri"/>
        </w:rPr>
        <w:lastRenderedPageBreak/>
        <w:t>what follows because they invite the dual consideration of inscriptions as structured by wider understandings of inscription practices among contemporaries, while simultaneously leaving room for the forces of individual decision- and meaning-making in producing inscriptions.</w:t>
      </w:r>
    </w:p>
    <w:p w14:paraId="38682B73" w14:textId="77777777" w:rsidR="00EC1EEB" w:rsidRDefault="00EC1EEB" w:rsidP="00C47014">
      <w:pPr>
        <w:spacing w:after="0" w:line="480" w:lineRule="auto"/>
        <w:ind w:firstLine="720"/>
        <w:jc w:val="both"/>
        <w:rPr>
          <w:rFonts w:eastAsia="Calibri"/>
        </w:rPr>
      </w:pPr>
      <w:r w:rsidRPr="003A2C54">
        <w:rPr>
          <w:rFonts w:eastAsia="Calibri"/>
        </w:rPr>
        <w:t>Sherry Ortner has emphasised that practice theories are beneficial because they seek to portray ‘all three sides of the … triangle: that society is a system; that the system is powerfully constraining, and yet that the system can be made and unmade through human action and interaction’.</w:t>
      </w:r>
      <w:r w:rsidRPr="003A2C54">
        <w:rPr>
          <w:rFonts w:eastAsia="Calibri"/>
          <w:vertAlign w:val="superscript"/>
        </w:rPr>
        <w:footnoteReference w:id="71"/>
      </w:r>
      <w:r w:rsidRPr="003A2C54">
        <w:rPr>
          <w:rFonts w:eastAsia="Calibri"/>
        </w:rPr>
        <w:t xml:space="preserve"> In spotlighting actions and interactions, practice theories offer a means of decentring the mind, texts and speech, and allow for ‘bodily movements, things, practical knowledge and routine’ to be brought to the fore.</w:t>
      </w:r>
      <w:r w:rsidRPr="003A2C54">
        <w:rPr>
          <w:rFonts w:eastAsia="Calibri"/>
          <w:vertAlign w:val="superscript"/>
        </w:rPr>
        <w:footnoteReference w:id="72"/>
      </w:r>
      <w:r w:rsidRPr="003A2C54">
        <w:rPr>
          <w:rFonts w:eastAsia="Calibri"/>
        </w:rPr>
        <w:t xml:space="preserve"> </w:t>
      </w:r>
      <w:r>
        <w:rPr>
          <w:rFonts w:eastAsia="Calibri"/>
        </w:rPr>
        <w:t>The routinised, bodily nature of interactions with inscribed objects and spaces in the home is prioritised in ensuing discussions, contextualising these interactions among wider expectations surrounding marriage and inscription. In so doing, this thesis seeks to understand the three sides of the triangle Ortner describes. It attempts to chart the societal systems informing and underlying inscription and marriage as practices. At the same time, it also investigates specific examples of inscriptions within marriage as an insight into how people understood this system, and how they used materiality variously to support, negotiate and adapt marriage as a system within their day-to-day lives.</w:t>
      </w:r>
    </w:p>
    <w:p w14:paraId="0F57B3DF" w14:textId="77777777" w:rsidR="00EC1EEB" w:rsidRDefault="00EC1EEB" w:rsidP="00C47014">
      <w:pPr>
        <w:spacing w:after="0" w:line="480" w:lineRule="auto"/>
        <w:ind w:firstLine="720"/>
        <w:jc w:val="both"/>
      </w:pPr>
      <w:r>
        <w:t xml:space="preserve">Importantly for this research, social practice theory also offers a useful framework when considering objects and buildings in tandem to analyse early modern understandings of inscription. Understood praxeologically, a practice is an </w:t>
      </w:r>
      <w:proofErr w:type="gramStart"/>
      <w:r>
        <w:t>action</w:t>
      </w:r>
      <w:proofErr w:type="gramEnd"/>
      <w:r>
        <w:t xml:space="preserve"> or a series of actions carried out by an individual or group. Within this configuration, each practice is structured and delimited by its own set of rules or norms – though these are almost always implicit rather </w:t>
      </w:r>
      <w:r>
        <w:lastRenderedPageBreak/>
        <w:t>than explicit, present primarily as ‘tacit knowledge’.</w:t>
      </w:r>
      <w:r>
        <w:rPr>
          <w:rStyle w:val="FootnoteReference"/>
        </w:rPr>
        <w:footnoteReference w:id="73"/>
      </w:r>
      <w:r>
        <w:t xml:space="preserve"> </w:t>
      </w:r>
      <w:r w:rsidRPr="00266BB4">
        <w:t xml:space="preserve">Schatzki has asserted that practices are ‘temporally-evolving, open-ended sets of doings and sayings’ </w:t>
      </w:r>
      <w:r>
        <w:t>held together by the practical understanding of how to participate in the practice</w:t>
      </w:r>
      <w:r w:rsidRPr="00266BB4">
        <w:t>,</w:t>
      </w:r>
      <w:r>
        <w:t xml:space="preserve"> its associated emotions, necessary objects and locations, </w:t>
      </w:r>
      <w:r w:rsidRPr="00266BB4">
        <w:t xml:space="preserve">and </w:t>
      </w:r>
      <w:r>
        <w:t>‘wider</w:t>
      </w:r>
      <w:r w:rsidRPr="00266BB4">
        <w:t xml:space="preserve"> understandings’.</w:t>
      </w:r>
      <w:r>
        <w:rPr>
          <w:rStyle w:val="FootnoteReference"/>
        </w:rPr>
        <w:footnoteReference w:id="74"/>
      </w:r>
      <w:r>
        <w:t xml:space="preserve"> The ‘wider understandings’ and cultural contexts surrounding practices then give structure to their constituent actions, rendering them socially meaningful.</w:t>
      </w:r>
      <w:r>
        <w:rPr>
          <w:rStyle w:val="FootnoteReference"/>
        </w:rPr>
        <w:footnoteReference w:id="75"/>
      </w:r>
      <w:r>
        <w:t xml:space="preserve"> Though changeable over time, slowly adapted by different people in different ways, meanings are inherent to practices and practice theorists cast individuals as ‘carriers’ of practices: agents taking part in ‘routinized … complexes of bodily movements’, ‘forms of interpreting, knowing how and wanting’ and the ‘usage of things’.</w:t>
      </w:r>
      <w:r>
        <w:rPr>
          <w:rStyle w:val="FootnoteReference"/>
        </w:rPr>
        <w:footnoteReference w:id="76"/>
      </w:r>
      <w:r>
        <w:t xml:space="preserve"> The social knowledge that produced inscribed artefacts is rarely explained in surviving documents. </w:t>
      </w:r>
      <w:proofErr w:type="gramStart"/>
      <w:r>
        <w:t>Instead</w:t>
      </w:r>
      <w:proofErr w:type="gramEnd"/>
      <w:r>
        <w:t xml:space="preserve"> this thesis recovers the associations inscription carried by triangulating discussions of inscription in printed sources with contemporary ideas about marriage and the materiality </w:t>
      </w:r>
      <w:proofErr w:type="gramStart"/>
      <w:r>
        <w:t>both of the marital</w:t>
      </w:r>
      <w:proofErr w:type="gramEnd"/>
      <w:r>
        <w:t xml:space="preserve"> home and surviving inscriptions. In so doing, this thesis argues that inscriptions and the possessions they appeared upon jointly reinforced emotion – including conjugal love – and self-perception, supporting people’s understandings of themselves as married. </w:t>
      </w:r>
    </w:p>
    <w:p w14:paraId="329C245D" w14:textId="77777777" w:rsidR="00EC1EEB" w:rsidRDefault="00EC1EEB" w:rsidP="00C47014">
      <w:pPr>
        <w:spacing w:after="0" w:line="480" w:lineRule="auto"/>
        <w:ind w:firstLine="720"/>
        <w:jc w:val="both"/>
      </w:pPr>
      <w:r>
        <w:t>Correspondingly, t</w:t>
      </w:r>
      <w:r w:rsidRPr="00D031F1">
        <w:t xml:space="preserve">he theoretical framework underpinning the following examination of objects, buildings and </w:t>
      </w:r>
      <w:r>
        <w:t>marital inscriptions</w:t>
      </w:r>
      <w:r w:rsidRPr="00D031F1">
        <w:t xml:space="preserve"> </w:t>
      </w:r>
      <w:r>
        <w:t>posits marriage</w:t>
      </w:r>
      <w:r w:rsidRPr="00D031F1">
        <w:t xml:space="preserve"> as a social practice</w:t>
      </w:r>
      <w:r>
        <w:t>, supported by interrelated inscription practices</w:t>
      </w:r>
      <w:r w:rsidRPr="00D031F1">
        <w:t>.</w:t>
      </w:r>
      <w:r>
        <w:t xml:space="preserve"> Using this lens serves as a continual reminder that the </w:t>
      </w:r>
      <w:r>
        <w:lastRenderedPageBreak/>
        <w:t>idea of ‘marriage’ is not self-sustaining: in social groups where marriages take place, entry into marriage as well as married life thereafter is predicated upon a collection of behaviours which, together, reinforce and maintain marriage as a social pact. Marriage readily fits Reckwitz’ definition of a social practice as a ‘series of bodily performances’ which ‘give the world of humans its visible orderliness’.</w:t>
      </w:r>
      <w:r>
        <w:rPr>
          <w:rStyle w:val="FootnoteReference"/>
        </w:rPr>
        <w:footnoteReference w:id="77"/>
      </w:r>
      <w:r>
        <w:t xml:space="preserve"> This concept maps on to the theory put forward by Chantal </w:t>
      </w:r>
      <w:proofErr w:type="spellStart"/>
      <w:r>
        <w:t>Mouffe</w:t>
      </w:r>
      <w:proofErr w:type="spellEnd"/>
      <w:r>
        <w:t xml:space="preserve"> in which ‘subject positions’ (</w:t>
      </w:r>
      <w:proofErr w:type="spellStart"/>
      <w:r>
        <w:t>Schtazki</w:t>
      </w:r>
      <w:proofErr w:type="spellEnd"/>
      <w:r>
        <w:t xml:space="preserve"> gives the examples of ‘father, Jew, acrobat’) ‘help compose who people are’.</w:t>
      </w:r>
      <w:r>
        <w:rPr>
          <w:rStyle w:val="FootnoteReference"/>
        </w:rPr>
        <w:footnoteReference w:id="78"/>
      </w:r>
      <w:r>
        <w:t xml:space="preserve"> In </w:t>
      </w:r>
      <w:proofErr w:type="spellStart"/>
      <w:r>
        <w:t>Mouffe’s</w:t>
      </w:r>
      <w:proofErr w:type="spellEnd"/>
      <w:r>
        <w:t xml:space="preserve"> framework, the identity of an individual is not inherent but is based on subject positions, which in turn are engendered through practices. Viewed in this way, marriage is a constituent practice within the organisational category of the family, comprised of ‘bodily performances’ which are themselves intertwined with processes of self-understanding and identity formation.</w:t>
      </w:r>
      <w:r>
        <w:rPr>
          <w:rStyle w:val="FootnoteReference"/>
        </w:rPr>
        <w:footnoteReference w:id="79"/>
      </w:r>
    </w:p>
    <w:p w14:paraId="2B2BE006" w14:textId="77777777" w:rsidR="00EC1EEB" w:rsidRDefault="00EC1EEB" w:rsidP="00C47014">
      <w:pPr>
        <w:spacing w:after="0" w:line="480" w:lineRule="auto"/>
        <w:ind w:firstLine="720"/>
        <w:jc w:val="both"/>
      </w:pPr>
      <w:r>
        <w:t xml:space="preserve">Elizabeth Shove, Mika </w:t>
      </w:r>
      <w:proofErr w:type="spellStart"/>
      <w:r>
        <w:t>Pantzar</w:t>
      </w:r>
      <w:proofErr w:type="spellEnd"/>
      <w:r>
        <w:t xml:space="preserve"> and Matt Watson have argued that practices exist both as ‘performances’ and ‘entities’.</w:t>
      </w:r>
      <w:r>
        <w:rPr>
          <w:rStyle w:val="FootnoteReference"/>
        </w:rPr>
        <w:footnoteReference w:id="80"/>
      </w:r>
      <w:r>
        <w:t xml:space="preserve"> By their reckoning, in order for any </w:t>
      </w:r>
      <w:r w:rsidRPr="30B490F0">
        <w:rPr>
          <w:i/>
          <w:iCs/>
        </w:rPr>
        <w:t>performance</w:t>
      </w:r>
      <w:r>
        <w:t xml:space="preserve"> to be coherent in a specific moment, it must draw upon a repertoire of </w:t>
      </w:r>
      <w:r w:rsidRPr="30B490F0">
        <w:rPr>
          <w:i/>
          <w:iCs/>
        </w:rPr>
        <w:t>entities</w:t>
      </w:r>
      <w:r>
        <w:t xml:space="preserve"> that render the practice meaningful and recognisable.</w:t>
      </w:r>
      <w:r>
        <w:rPr>
          <w:rStyle w:val="FootnoteReference"/>
        </w:rPr>
        <w:footnoteReference w:id="81"/>
      </w:r>
      <w:r>
        <w:t xml:space="preserve"> Shove et al have used Reckwitz’ vocabulary of ‘elements’ to codify this, illustrating that entities are made up of ‘forms of bodily activities, forms of mental activities, “things” and their use, a background knowledge in the form of understanding, know-how, states of emotion and motivational knowledge’.</w:t>
      </w:r>
      <w:r>
        <w:rPr>
          <w:rStyle w:val="FootnoteReference"/>
        </w:rPr>
        <w:footnoteReference w:id="82"/>
      </w:r>
      <w:r>
        <w:t xml:space="preserve"> The paraphernalia of early modern courtship and weddings (including Handley’s ‘sack posset’) and </w:t>
      </w:r>
      <w:r>
        <w:lastRenderedPageBreak/>
        <w:t>the exchange of rings, love tokens, gifts, money and property all constituted the recognisable material foundations of an early modern marriage, reinforced by the movement of household goods and the process of home making.</w:t>
      </w:r>
      <w:r>
        <w:rPr>
          <w:rStyle w:val="FootnoteReference"/>
        </w:rPr>
        <w:footnoteReference w:id="83"/>
      </w:r>
      <w:r>
        <w:t xml:space="preserve"> Speech-acts and discourse had both a short and long term role in the form of vows and in status shifts from single to spouse (and, for women, the surname changes this entailed). The influence of marriage on the character and content of day-to-day conversations was also crucial, whilst the configuration of marital relationships defined new roles and duties to each other, to each other’s families, and to the </w:t>
      </w:r>
      <w:proofErr w:type="gramStart"/>
      <w:r>
        <w:t>newly-formed</w:t>
      </w:r>
      <w:proofErr w:type="gramEnd"/>
      <w:r>
        <w:t xml:space="preserve"> household. Simultaneously, new meanings developed through interaction in and with the primary arena of these actions: the marital home. The sum of these ‘elements’ – comprised of actions, spaces, objects and discourses – constituted marriage in early modern England, signifying a recognisable social practice and cultural code.</w:t>
      </w:r>
    </w:p>
    <w:p w14:paraId="4D3E10A8" w14:textId="77777777" w:rsidR="00EC1EEB" w:rsidRDefault="00EC1EEB" w:rsidP="00C47014">
      <w:pPr>
        <w:spacing w:after="0" w:line="480" w:lineRule="auto"/>
        <w:ind w:firstLine="720"/>
        <w:jc w:val="both"/>
      </w:pPr>
      <w:r>
        <w:t>Certain actions such as the wedding, cohabitation, and consummation were vital to early modern marriage. Although they were not the only elements of the practice, without fulfilling them a person could hardly be identified – or identify themselves – as married. Political philosopher Alasdair MacIntyre has formulated the concept of ‘internal goods’.</w:t>
      </w:r>
      <w:r>
        <w:rPr>
          <w:rStyle w:val="FootnoteReference"/>
        </w:rPr>
        <w:footnoteReference w:id="84"/>
      </w:r>
      <w:r>
        <w:t xml:space="preserve"> Inherent in all practices and derived from striving to develop, perfect and showcase the skills required of any practice and its elements, ‘internal goods’ are what any participant stands to gain – comparable in some ways with theories of social capital.</w:t>
      </w:r>
      <w:r>
        <w:rPr>
          <w:rStyle w:val="FootnoteReference"/>
        </w:rPr>
        <w:footnoteReference w:id="85"/>
      </w:r>
      <w:r>
        <w:t xml:space="preserve"> Applying </w:t>
      </w:r>
      <w:proofErr w:type="spellStart"/>
      <w:r>
        <w:t>MacIntyre’s</w:t>
      </w:r>
      <w:proofErr w:type="spellEnd"/>
      <w:r>
        <w:t xml:space="preserve"> theory to the practice of ‘family history’, Wendy Bottero has reasoned that internal goods make practices enjoyable for their own sake – regardless of whether this enjoyment is derived from </w:t>
      </w:r>
      <w:r>
        <w:lastRenderedPageBreak/>
        <w:t>being competent at the practice, or being capable of outwardly performing competence.</w:t>
      </w:r>
      <w:r>
        <w:rPr>
          <w:rStyle w:val="FootnoteReference"/>
        </w:rPr>
        <w:footnoteReference w:id="86"/>
      </w:r>
      <w:r>
        <w:t xml:space="preserve"> Applied to marriage, this framework suggests that successfully participating in and demonstrating achievement of the elements associated with marriage would bring its own reward.</w:t>
      </w:r>
      <w:r>
        <w:rPr>
          <w:rStyle w:val="FootnoteReference"/>
        </w:rPr>
        <w:footnoteReference w:id="87"/>
      </w:r>
      <w:r>
        <w:t xml:space="preserve"> Inscriptions on the outside of homes have primarily been interpreted as outward facing statements, particularly of status and wealth. Inscriptions on smaller and more explicitly personal possessions, meanwhile, have been more readily interpreted as sentimental or for interior reflection. As this thesis brings both readings together, a social practice approach is useful in developing one of its key arguments: that wherever inscriptions were used, they were as important for those commissioning them (and routinely interacting with the spaces they codified) as they were for anyone else who encountered them, beyond the household.</w:t>
      </w:r>
    </w:p>
    <w:p w14:paraId="6111EC00" w14:textId="77777777" w:rsidR="00EC1EEB" w:rsidRDefault="00EC1EEB" w:rsidP="00C47014">
      <w:pPr>
        <w:spacing w:after="0" w:line="480" w:lineRule="auto"/>
        <w:ind w:firstLine="720"/>
        <w:jc w:val="both"/>
      </w:pPr>
      <w:r>
        <w:t>With regard to the ‘creative</w:t>
      </w:r>
      <w:r w:rsidRPr="30B490F0">
        <w:t xml:space="preserve"> </w:t>
      </w:r>
      <w:r>
        <w:t xml:space="preserve">and negotiated dimension of kinship’ and family life, sociologist Anne-Marie Kramer has reported the extent to which ‘people take as much pleasure in </w:t>
      </w:r>
      <w:r w:rsidRPr="00CA6BA8">
        <w:rPr>
          <w:i/>
          <w:iCs/>
        </w:rPr>
        <w:t>making</w:t>
      </w:r>
      <w:r>
        <w:t xml:space="preserve"> themselves connected and rooted, as in </w:t>
      </w:r>
      <w:r>
        <w:rPr>
          <w:i/>
          <w:iCs/>
        </w:rPr>
        <w:t>being</w:t>
      </w:r>
      <w:r>
        <w:t xml:space="preserve"> rooted and</w:t>
      </w:r>
      <w:r>
        <w:rPr>
          <w:i/>
          <w:iCs/>
        </w:rPr>
        <w:t xml:space="preserve"> </w:t>
      </w:r>
      <w:r>
        <w:t>connected’.</w:t>
      </w:r>
      <w:r>
        <w:rPr>
          <w:rStyle w:val="FootnoteReference"/>
        </w:rPr>
        <w:footnoteReference w:id="88"/>
      </w:r>
      <w:r>
        <w:t xml:space="preserve"> The process of active construction underpinning family relationships and identities has also been emphasised by Bourdieu in ‘On the family as a realized category’, arguing that:</w:t>
      </w:r>
    </w:p>
    <w:p w14:paraId="07979638" w14:textId="77777777" w:rsidR="00EC1EEB" w:rsidRDefault="00EC1EEB" w:rsidP="00C47014">
      <w:pPr>
        <w:spacing w:after="0" w:line="480" w:lineRule="auto"/>
        <w:ind w:left="720"/>
        <w:jc w:val="both"/>
      </w:pPr>
      <w:r>
        <w:t>‘</w:t>
      </w:r>
      <w:proofErr w:type="gramStart"/>
      <w:r>
        <w:t>inaugural</w:t>
      </w:r>
      <w:proofErr w:type="gramEnd"/>
      <w:r>
        <w:t xml:space="preserve"> acts of creation (imposition of the family name, marriage, etc.) have their logical extension in the countless acts of reaffirmation and reinforcement that aim to produce, in a kind of continuous creation, the </w:t>
      </w:r>
      <w:r>
        <w:rPr>
          <w:i/>
          <w:iCs/>
        </w:rPr>
        <w:t xml:space="preserve">obliged affections </w:t>
      </w:r>
      <w:r>
        <w:t xml:space="preserve">and </w:t>
      </w:r>
      <w:r>
        <w:rPr>
          <w:i/>
          <w:iCs/>
        </w:rPr>
        <w:t xml:space="preserve">affective obligations </w:t>
      </w:r>
      <w:r>
        <w:t>of family feeling’.</w:t>
      </w:r>
      <w:r>
        <w:rPr>
          <w:rStyle w:val="FootnoteReference"/>
        </w:rPr>
        <w:footnoteReference w:id="89"/>
      </w:r>
    </w:p>
    <w:p w14:paraId="5D6A8A21" w14:textId="77777777" w:rsidR="00EC1EEB" w:rsidRDefault="00EC1EEB" w:rsidP="00C47014">
      <w:pPr>
        <w:spacing w:after="0" w:line="480" w:lineRule="auto"/>
        <w:jc w:val="both"/>
      </w:pPr>
      <w:r>
        <w:lastRenderedPageBreak/>
        <w:t>Bourdieu depicted the family as a moulded ‘social artefact’ which humans had become socialized to see as the norm, and</w:t>
      </w:r>
      <w:r w:rsidRPr="00210857">
        <w:t xml:space="preserve"> </w:t>
      </w:r>
      <w:r>
        <w:t>included conjugal love</w:t>
      </w:r>
      <w:r w:rsidRPr="00BE66E4">
        <w:t xml:space="preserve"> </w:t>
      </w:r>
      <w:r>
        <w:t>within this framework.</w:t>
      </w:r>
      <w:r>
        <w:rPr>
          <w:rStyle w:val="FootnoteReference"/>
        </w:rPr>
        <w:footnoteReference w:id="90"/>
      </w:r>
      <w:r>
        <w:t xml:space="preserve"> In a similar vein, twentieth-century structuralists like Foucault used practice theory approaches to highlight the cultural codes maintaining political and economic systems.</w:t>
      </w:r>
      <w:r>
        <w:rPr>
          <w:rStyle w:val="FootnoteReference"/>
        </w:rPr>
        <w:footnoteReference w:id="91"/>
      </w:r>
      <w:r>
        <w:t xml:space="preserve"> Where Davide Nicolini has discussed the ‘family’ alongside the ‘</w:t>
      </w:r>
      <w:r w:rsidRPr="30B490F0">
        <w:t>authority, institutions, and organization</w:t>
      </w:r>
      <w:r>
        <w:t>s’ all</w:t>
      </w:r>
      <w:r w:rsidRPr="30B490F0">
        <w:t xml:space="preserve"> </w:t>
      </w:r>
      <w:r>
        <w:t>perpetuated by social practices, he has signalled that comparable processes of construction, creation and reinforcement are at play</w:t>
      </w:r>
      <w:r w:rsidRPr="30B490F0">
        <w:t>.</w:t>
      </w:r>
      <w:r>
        <w:rPr>
          <w:rStyle w:val="FootnoteReference"/>
        </w:rPr>
        <w:footnoteReference w:id="92"/>
      </w:r>
      <w:r>
        <w:t xml:space="preserve"> Considering early modern marriage as a social practice allows it to be understood as a multiform process, inviting the critical evaluation of its numerous and variable constituent elements. Within this scheme, the full resonance of inscribed objects and buildings within contemporary society can be better analysed and understood.</w:t>
      </w:r>
    </w:p>
    <w:p w14:paraId="5B41FF22" w14:textId="77777777" w:rsidR="00EC1EEB" w:rsidRDefault="00EC1EEB" w:rsidP="00C47014">
      <w:pPr>
        <w:spacing w:after="0" w:line="480" w:lineRule="auto"/>
        <w:ind w:firstLine="720"/>
        <w:jc w:val="both"/>
        <w:rPr>
          <w:rStyle w:val="normaltextrun"/>
          <w:color w:val="000000"/>
          <w:shd w:val="clear" w:color="auto" w:fill="FFFFFF"/>
        </w:rPr>
      </w:pPr>
      <w:r>
        <w:t xml:space="preserve">A practice approach and its associated emphasis on ‘elements’ is particularly useful for interrogating the materiality of early modern marriage. Outside of practice theory, social relations have been cast as fundamentally </w:t>
      </w:r>
      <w:r>
        <w:rPr>
          <w:i/>
        </w:rPr>
        <w:t xml:space="preserve">human </w:t>
      </w:r>
      <w:r>
        <w:t>relations, separable from the world of goods.</w:t>
      </w:r>
      <w:r>
        <w:rPr>
          <w:rStyle w:val="FootnoteReference"/>
        </w:rPr>
        <w:footnoteReference w:id="93"/>
      </w:r>
      <w:r>
        <w:t xml:space="preserve"> In contrast with this, practice theory has been portrayed as the means by which we can ‘dissolve (rather than resolve) the irreducible dualism’ dividing the material and the social – indeed, social practices have been hypothesised as the ‘interface’ between the two.</w:t>
      </w:r>
      <w:r>
        <w:rPr>
          <w:rStyle w:val="FootnoteReference"/>
        </w:rPr>
        <w:footnoteReference w:id="94"/>
      </w:r>
      <w:r>
        <w:t xml:space="preserve"> Scholars of practice theory are in disagreement over the exact role of objects in social practices.</w:t>
      </w:r>
      <w:r w:rsidRPr="00C315F3">
        <w:rPr>
          <w:rStyle w:val="normaltextrun"/>
          <w:color w:val="000000"/>
          <w:shd w:val="clear" w:color="auto" w:fill="FFFFFF"/>
        </w:rPr>
        <w:t xml:space="preserve"> Schatzki</w:t>
      </w:r>
      <w:r>
        <w:rPr>
          <w:rStyle w:val="normaltextrun"/>
          <w:color w:val="000000"/>
          <w:shd w:val="clear" w:color="auto" w:fill="FFFFFF"/>
        </w:rPr>
        <w:t>, for example,</w:t>
      </w:r>
      <w:r w:rsidRPr="00C315F3">
        <w:rPr>
          <w:rStyle w:val="normaltextrun"/>
          <w:color w:val="000000"/>
          <w:shd w:val="clear" w:color="auto" w:fill="FFFFFF"/>
        </w:rPr>
        <w:t xml:space="preserve"> believes that material things exist in ‘arrangements’ </w:t>
      </w:r>
      <w:r>
        <w:rPr>
          <w:rStyle w:val="normaltextrun"/>
          <w:color w:val="000000"/>
          <w:shd w:val="clear" w:color="auto" w:fill="FFFFFF"/>
        </w:rPr>
        <w:t xml:space="preserve">with </w:t>
      </w:r>
      <w:r>
        <w:rPr>
          <w:rStyle w:val="normaltextrun"/>
          <w:color w:val="000000"/>
          <w:shd w:val="clear" w:color="auto" w:fill="FFFFFF"/>
        </w:rPr>
        <w:lastRenderedPageBreak/>
        <w:t xml:space="preserve">practices </w:t>
      </w:r>
      <w:r w:rsidRPr="00C315F3">
        <w:rPr>
          <w:rStyle w:val="normaltextrun"/>
          <w:color w:val="000000"/>
          <w:shd w:val="clear" w:color="auto" w:fill="FFFFFF"/>
        </w:rPr>
        <w:t>but are nonetheless distinct</w:t>
      </w:r>
      <w:r>
        <w:rPr>
          <w:rStyle w:val="normaltextrun"/>
          <w:color w:val="000000"/>
          <w:shd w:val="clear" w:color="auto" w:fill="FFFFFF"/>
        </w:rPr>
        <w:t xml:space="preserve"> from them.</w:t>
      </w:r>
      <w:r>
        <w:rPr>
          <w:rStyle w:val="FootnoteReference"/>
          <w:color w:val="000000"/>
          <w:shd w:val="clear" w:color="auto" w:fill="FFFFFF"/>
        </w:rPr>
        <w:footnoteReference w:id="95"/>
      </w:r>
      <w:r>
        <w:rPr>
          <w:rStyle w:val="normaltextrun"/>
          <w:color w:val="000000"/>
          <w:shd w:val="clear" w:color="auto" w:fill="FFFFFF"/>
        </w:rPr>
        <w:t xml:space="preserve"> Conversely,</w:t>
      </w:r>
      <w:r w:rsidRPr="00C315F3">
        <w:rPr>
          <w:rStyle w:val="normaltextrun"/>
          <w:color w:val="000000"/>
          <w:shd w:val="clear" w:color="auto" w:fill="FFFFFF"/>
        </w:rPr>
        <w:t> </w:t>
      </w:r>
      <w:r w:rsidRPr="00C315F3">
        <w:rPr>
          <w:rStyle w:val="spellingerror"/>
          <w:color w:val="000000"/>
          <w:shd w:val="clear" w:color="auto" w:fill="FFFFFF"/>
        </w:rPr>
        <w:t>Reckwitz</w:t>
      </w:r>
      <w:r w:rsidRPr="00C315F3">
        <w:rPr>
          <w:rStyle w:val="normaltextrun"/>
          <w:color w:val="000000"/>
          <w:shd w:val="clear" w:color="auto" w:fill="FFFFFF"/>
        </w:rPr>
        <w:t> </w:t>
      </w:r>
      <w:r>
        <w:rPr>
          <w:rStyle w:val="normaltextrun"/>
          <w:color w:val="000000"/>
          <w:shd w:val="clear" w:color="auto" w:fill="FFFFFF"/>
        </w:rPr>
        <w:t xml:space="preserve">maintains that ‘things’ are </w:t>
      </w:r>
      <w:r w:rsidRPr="00C315F3">
        <w:rPr>
          <w:rStyle w:val="normaltextrun"/>
          <w:color w:val="000000"/>
          <w:shd w:val="clear" w:color="auto" w:fill="FFFFFF"/>
        </w:rPr>
        <w:t>as crucial as action</w:t>
      </w:r>
      <w:r>
        <w:rPr>
          <w:rStyle w:val="normaltextrun"/>
          <w:color w:val="000000"/>
          <w:shd w:val="clear" w:color="auto" w:fill="FFFFFF"/>
        </w:rPr>
        <w:t xml:space="preserve">s and participate </w:t>
      </w:r>
      <w:r w:rsidRPr="00C315F3">
        <w:rPr>
          <w:rStyle w:val="normaltextrun"/>
          <w:color w:val="000000"/>
          <w:shd w:val="clear" w:color="auto" w:fill="FFFFFF"/>
        </w:rPr>
        <w:t>in social pra</w:t>
      </w:r>
      <w:r>
        <w:rPr>
          <w:rStyle w:val="normaltextrun"/>
          <w:color w:val="000000"/>
          <w:shd w:val="clear" w:color="auto" w:fill="FFFFFF"/>
        </w:rPr>
        <w:t>ctices ‘just as human beings do’.</w:t>
      </w:r>
      <w:r>
        <w:rPr>
          <w:rStyle w:val="FootnoteReference"/>
          <w:color w:val="000000"/>
          <w:shd w:val="clear" w:color="auto" w:fill="FFFFFF"/>
        </w:rPr>
        <w:footnoteReference w:id="96"/>
      </w:r>
      <w:r>
        <w:rPr>
          <w:rStyle w:val="normaltextrun"/>
          <w:color w:val="000000"/>
          <w:shd w:val="clear" w:color="auto" w:fill="FFFFFF"/>
        </w:rPr>
        <w:t xml:space="preserve"> He has argued that wherever objects are necessary elements of practices, the interactions between humans and objects (‘subject-object relations’) cannot be subordinated to or seen as less important than those between humans (‘subject-subject relations’).</w:t>
      </w:r>
      <w:r>
        <w:rPr>
          <w:rStyle w:val="FootnoteReference"/>
          <w:color w:val="000000"/>
          <w:shd w:val="clear" w:color="auto" w:fill="FFFFFF"/>
        </w:rPr>
        <w:footnoteReference w:id="97"/>
      </w:r>
      <w:r>
        <w:rPr>
          <w:rStyle w:val="normaltextrun"/>
          <w:color w:val="000000"/>
          <w:shd w:val="clear" w:color="auto" w:fill="FFFFFF"/>
        </w:rPr>
        <w:t xml:space="preserve"> Marriage was a social pact in early modern England, just as it is today. Nonetheless, it entailed material and corporeal consolidation and was predicated upon tangible co-operation and unity. Practice theories serve as a reminder that apparently ‘social’ actions cannot be separated from their material contexts. Insofar as inscriptions commemorate couples, families and lineage, added to the fabric of buildings synonymous with these concepts, this thesis argues that they were simultaneously entangled with the fabric of familial identities and relationships.</w:t>
      </w:r>
    </w:p>
    <w:p w14:paraId="0DE5B1D1" w14:textId="77777777" w:rsidR="00EC1EEB" w:rsidRDefault="00EC1EEB" w:rsidP="00C47014">
      <w:pPr>
        <w:spacing w:after="0" w:line="480" w:lineRule="auto"/>
        <w:ind w:firstLine="720"/>
        <w:jc w:val="both"/>
        <w:rPr>
          <w:color w:val="000000"/>
          <w:shd w:val="clear" w:color="auto" w:fill="FFFFFF"/>
        </w:rPr>
      </w:pPr>
      <w:r>
        <w:rPr>
          <w:rStyle w:val="normaltextrun"/>
          <w:color w:val="000000"/>
          <w:shd w:val="clear" w:color="auto" w:fill="FFFFFF"/>
        </w:rPr>
        <w:t>Reckwitz’ framework of social practices also includes one element which has not yet been discussed here, but which is important in considering inscribed homes and possessions: space. The approach</w:t>
      </w:r>
      <w:r w:rsidRPr="001223B1">
        <w:rPr>
          <w:color w:val="000000"/>
          <w:shd w:val="clear" w:color="auto" w:fill="FFFFFF"/>
        </w:rPr>
        <w:t xml:space="preserve"> King has referred to as ‘“material culture” conceived as a totality’</w:t>
      </w:r>
      <w:r>
        <w:rPr>
          <w:color w:val="000000"/>
          <w:shd w:val="clear" w:color="auto" w:fill="FFFFFF"/>
        </w:rPr>
        <w:t xml:space="preserve"> – comprising objects and buildings – implicitly also includes </w:t>
      </w:r>
      <w:r w:rsidRPr="001479B2">
        <w:rPr>
          <w:color w:val="000000"/>
          <w:shd w:val="clear" w:color="auto" w:fill="FFFFFF"/>
        </w:rPr>
        <w:t>the spaces formed by objects and contained within and around buildings</w:t>
      </w:r>
      <w:r>
        <w:rPr>
          <w:color w:val="000000"/>
          <w:shd w:val="clear" w:color="auto" w:fill="FFFFFF"/>
        </w:rPr>
        <w:t>.</w:t>
      </w:r>
      <w:r>
        <w:rPr>
          <w:rStyle w:val="FootnoteReference"/>
          <w:color w:val="000000"/>
          <w:shd w:val="clear" w:color="auto" w:fill="FFFFFF"/>
        </w:rPr>
        <w:footnoteReference w:id="98"/>
      </w:r>
      <w:r>
        <w:rPr>
          <w:rStyle w:val="normaltextrun"/>
          <w:color w:val="000000"/>
          <w:shd w:val="clear" w:color="auto" w:fill="FFFFFF"/>
        </w:rPr>
        <w:t xml:space="preserve"> Reckwitz has argued that social practices ‘spatialise’ as a necessity.</w:t>
      </w:r>
      <w:r>
        <w:rPr>
          <w:rStyle w:val="FootnoteReference"/>
          <w:color w:val="000000"/>
          <w:shd w:val="clear" w:color="auto" w:fill="FFFFFF"/>
        </w:rPr>
        <w:footnoteReference w:id="99"/>
      </w:r>
      <w:r>
        <w:rPr>
          <w:rStyle w:val="normaltextrun"/>
          <w:color w:val="000000"/>
          <w:shd w:val="clear" w:color="auto" w:fill="FFFFFF"/>
        </w:rPr>
        <w:t xml:space="preserve"> Developed by Henri Lefebvre, the concept of ‘spatialisation’ frames space as both material and cultural: produced by positioning objects and bodies in a particular way, embodying social relationships.</w:t>
      </w:r>
      <w:r>
        <w:rPr>
          <w:rStyle w:val="FootnoteReference"/>
          <w:color w:val="000000"/>
          <w:shd w:val="clear" w:color="auto" w:fill="FFFFFF"/>
        </w:rPr>
        <w:footnoteReference w:id="100"/>
      </w:r>
      <w:r>
        <w:rPr>
          <w:rStyle w:val="normaltextrun"/>
          <w:color w:val="000000"/>
          <w:shd w:val="clear" w:color="auto" w:fill="FFFFFF"/>
        </w:rPr>
        <w:t xml:space="preserve"> With a perspective later echoed by Reckwitz, Lefebvre </w:t>
      </w:r>
      <w:r>
        <w:rPr>
          <w:rStyle w:val="normaltextrun"/>
          <w:color w:val="000000"/>
          <w:shd w:val="clear" w:color="auto" w:fill="FFFFFF"/>
        </w:rPr>
        <w:lastRenderedPageBreak/>
        <w:t>argued that spaces are ‘secreted’ by the ‘spatial practices’ of any given society.</w:t>
      </w:r>
      <w:r>
        <w:rPr>
          <w:rStyle w:val="FootnoteReference"/>
          <w:color w:val="000000"/>
          <w:shd w:val="clear" w:color="auto" w:fill="FFFFFF"/>
        </w:rPr>
        <w:footnoteReference w:id="101"/>
      </w:r>
      <w:r>
        <w:rPr>
          <w:rStyle w:val="normaltextrun"/>
          <w:color w:val="000000"/>
          <w:shd w:val="clear" w:color="auto" w:fill="FFFFFF"/>
        </w:rPr>
        <w:t xml:space="preserve"> </w:t>
      </w:r>
      <w:r w:rsidRPr="00574F92">
        <w:rPr>
          <w:color w:val="000000"/>
          <w:shd w:val="clear" w:color="auto" w:fill="FFFFFF"/>
        </w:rPr>
        <w:t>Taking this further, Reckwitz has underlined the relationship between objects, spaces and practices in stating that every practice is subject to ‘artefact-space structuration’.</w:t>
      </w:r>
      <w:r w:rsidRPr="00574F92">
        <w:rPr>
          <w:color w:val="000000"/>
          <w:shd w:val="clear" w:color="auto" w:fill="FFFFFF"/>
          <w:vertAlign w:val="superscript"/>
        </w:rPr>
        <w:footnoteReference w:id="102"/>
      </w:r>
      <w:r w:rsidRPr="00574F92">
        <w:rPr>
          <w:color w:val="000000"/>
          <w:shd w:val="clear" w:color="auto" w:fill="FFFFFF"/>
        </w:rPr>
        <w:t xml:space="preserve"> </w:t>
      </w:r>
      <w:r>
        <w:rPr>
          <w:color w:val="000000"/>
          <w:shd w:val="clear" w:color="auto" w:fill="FFFFFF"/>
        </w:rPr>
        <w:t>C</w:t>
      </w:r>
      <w:r w:rsidRPr="00574F92">
        <w:rPr>
          <w:color w:val="000000"/>
          <w:shd w:val="clear" w:color="auto" w:fill="FFFFFF"/>
        </w:rPr>
        <w:t>rucial for Reckwitz</w:t>
      </w:r>
      <w:r>
        <w:rPr>
          <w:color w:val="000000"/>
          <w:shd w:val="clear" w:color="auto" w:fill="FFFFFF"/>
        </w:rPr>
        <w:t xml:space="preserve"> </w:t>
      </w:r>
      <w:r w:rsidRPr="00574F92">
        <w:rPr>
          <w:color w:val="000000"/>
          <w:shd w:val="clear" w:color="auto" w:fill="FFFFFF"/>
        </w:rPr>
        <w:t>are the ‘affects’ which are ‘directed at artefacts/objects and are structured by the spaces these artefacts/objects form’.</w:t>
      </w:r>
      <w:r w:rsidRPr="00574F92">
        <w:rPr>
          <w:color w:val="000000"/>
          <w:shd w:val="clear" w:color="auto" w:fill="FFFFFF"/>
          <w:vertAlign w:val="superscript"/>
        </w:rPr>
        <w:footnoteReference w:id="103"/>
      </w:r>
      <w:r>
        <w:rPr>
          <w:rStyle w:val="normaltextrun"/>
          <w:color w:val="000000"/>
          <w:shd w:val="clear" w:color="auto" w:fill="FFFFFF"/>
        </w:rPr>
        <w:t xml:space="preserve"> </w:t>
      </w:r>
      <w:r w:rsidRPr="00C8190E">
        <w:rPr>
          <w:color w:val="000000"/>
          <w:shd w:val="clear" w:color="auto" w:fill="FFFFFF"/>
        </w:rPr>
        <w:t xml:space="preserve">Reckwitz uses ‘affects’ in place of ‘emotions’, reasoning that the latter suggests a passive reaction to a stimulus rather than the active, dynamic experience implied by ‘affects’. Other scholars have found ‘emotion’ a full enough term and ‘emotion’ alone </w:t>
      </w:r>
      <w:r>
        <w:rPr>
          <w:color w:val="000000"/>
          <w:shd w:val="clear" w:color="auto" w:fill="FFFFFF"/>
        </w:rPr>
        <w:t>is used in the following discussion</w:t>
      </w:r>
      <w:r w:rsidRPr="00C8190E">
        <w:rPr>
          <w:color w:val="000000"/>
          <w:shd w:val="clear" w:color="auto" w:fill="FFFFFF"/>
        </w:rPr>
        <w:t>, with the arguments put forward by Reckwitz incorporated into its meaning.</w:t>
      </w:r>
    </w:p>
    <w:p w14:paraId="3FE35912" w14:textId="77777777" w:rsidR="00EC1EEB" w:rsidRDefault="00EC1EEB" w:rsidP="00C47014">
      <w:pPr>
        <w:spacing w:after="0" w:line="480" w:lineRule="auto"/>
        <w:ind w:firstLine="720"/>
        <w:jc w:val="both"/>
        <w:rPr>
          <w:rStyle w:val="normaltextrun"/>
          <w:color w:val="000000"/>
          <w:shd w:val="clear" w:color="auto" w:fill="FFFFFF"/>
        </w:rPr>
      </w:pPr>
      <w:r>
        <w:rPr>
          <w:rStyle w:val="normaltextrun"/>
          <w:color w:val="000000"/>
          <w:shd w:val="clear" w:color="auto" w:fill="FFFFFF"/>
        </w:rPr>
        <w:t>Conceptualising space as an active participant in practices adds another layer to analysis of inscriptions on objects and buildings. Reckwitz’ perspective informs one of the key contentions of this thesis whereby</w:t>
      </w:r>
      <w:r w:rsidRPr="00175D6D">
        <w:rPr>
          <w:color w:val="000000"/>
          <w:shd w:val="clear" w:color="auto" w:fill="FFFFFF"/>
        </w:rPr>
        <w:t xml:space="preserve"> marriage as a social practice, entangled with inscription, </w:t>
      </w:r>
      <w:r>
        <w:rPr>
          <w:color w:val="000000"/>
          <w:shd w:val="clear" w:color="auto" w:fill="FFFFFF"/>
        </w:rPr>
        <w:t xml:space="preserve">is understood to have </w:t>
      </w:r>
      <w:r w:rsidRPr="00175D6D">
        <w:rPr>
          <w:color w:val="000000"/>
          <w:shd w:val="clear" w:color="auto" w:fill="FFFFFF"/>
        </w:rPr>
        <w:t>contributed to the production of domestic space.</w:t>
      </w:r>
      <w:r>
        <w:rPr>
          <w:color w:val="000000"/>
          <w:shd w:val="clear" w:color="auto" w:fill="FFFFFF"/>
        </w:rPr>
        <w:t xml:space="preserve"> This thesis argues that a</w:t>
      </w:r>
      <w:r w:rsidRPr="005D27E9">
        <w:rPr>
          <w:color w:val="000000"/>
          <w:shd w:val="clear" w:color="auto" w:fill="FFFFFF"/>
        </w:rPr>
        <w:t>ll the inscriptions considered</w:t>
      </w:r>
      <w:r>
        <w:rPr>
          <w:color w:val="000000"/>
          <w:shd w:val="clear" w:color="auto" w:fill="FFFFFF"/>
        </w:rPr>
        <w:t xml:space="preserve"> here created</w:t>
      </w:r>
      <w:r w:rsidRPr="005D27E9">
        <w:rPr>
          <w:color w:val="000000"/>
          <w:shd w:val="clear" w:color="auto" w:fill="FFFFFF"/>
        </w:rPr>
        <w:t xml:space="preserve"> inscribed spaces.</w:t>
      </w:r>
      <w:r>
        <w:rPr>
          <w:color w:val="000000"/>
          <w:shd w:val="clear" w:color="auto" w:fill="FFFFFF"/>
        </w:rPr>
        <w:t xml:space="preserve"> Like Hall Farmhouse discussed above, m</w:t>
      </w:r>
      <w:r w:rsidRPr="005D27E9">
        <w:rPr>
          <w:color w:val="000000"/>
          <w:shd w:val="clear" w:color="auto" w:fill="FFFFFF"/>
        </w:rPr>
        <w:t xml:space="preserve">ultiple houses </w:t>
      </w:r>
      <w:r>
        <w:rPr>
          <w:color w:val="000000"/>
          <w:shd w:val="clear" w:color="auto" w:fill="FFFFFF"/>
        </w:rPr>
        <w:t xml:space="preserve">also </w:t>
      </w:r>
      <w:r w:rsidRPr="005D27E9">
        <w:rPr>
          <w:color w:val="000000"/>
          <w:shd w:val="clear" w:color="auto" w:fill="FFFFFF"/>
        </w:rPr>
        <w:t>feature</w:t>
      </w:r>
      <w:r>
        <w:rPr>
          <w:color w:val="000000"/>
          <w:shd w:val="clear" w:color="auto" w:fill="FFFFFF"/>
        </w:rPr>
        <w:t>d</w:t>
      </w:r>
      <w:r w:rsidRPr="005D27E9">
        <w:rPr>
          <w:color w:val="000000"/>
          <w:shd w:val="clear" w:color="auto" w:fill="FFFFFF"/>
        </w:rPr>
        <w:t xml:space="preserve"> inscriptions</w:t>
      </w:r>
      <w:r>
        <w:rPr>
          <w:color w:val="000000"/>
          <w:shd w:val="clear" w:color="auto" w:fill="FFFFFF"/>
        </w:rPr>
        <w:t xml:space="preserve"> </w:t>
      </w:r>
      <w:r w:rsidRPr="005D27E9">
        <w:rPr>
          <w:color w:val="000000"/>
          <w:shd w:val="clear" w:color="auto" w:fill="FFFFFF"/>
        </w:rPr>
        <w:t>both on their interiors and their façades</w:t>
      </w:r>
      <w:r>
        <w:rPr>
          <w:color w:val="000000"/>
          <w:shd w:val="clear" w:color="auto" w:fill="FFFFFF"/>
        </w:rPr>
        <w:t xml:space="preserve">. This thesis reveals that inscription was consciously repeated throughout the early modern home – often across several years and sometimes even decades – creating potential constellations of inscription. In considering the social, cultural and emotional potency of inscribed objects and buildings, this thesis understands the spaces they formed to be similarly significant. Where the social practice of marriage was subject to ‘artefact-space structuration’ within the inscribed home, Reckwitz’ framework provides an insight into the extent to which </w:t>
      </w:r>
      <w:r>
        <w:rPr>
          <w:color w:val="000000"/>
          <w:shd w:val="clear" w:color="auto" w:fill="FFFFFF"/>
        </w:rPr>
        <w:lastRenderedPageBreak/>
        <w:t>material culture and the spaces it created were continuously involved in sustaining and reinforcing familial relationships and identities.</w:t>
      </w:r>
    </w:p>
    <w:p w14:paraId="0FDCDF95" w14:textId="77777777" w:rsidR="00EC1EEB" w:rsidRDefault="00EC1EEB" w:rsidP="00C47014">
      <w:pPr>
        <w:spacing w:after="0" w:line="480" w:lineRule="auto"/>
        <w:ind w:firstLine="720"/>
        <w:jc w:val="both"/>
        <w:rPr>
          <w:rStyle w:val="normaltextrun"/>
          <w:color w:val="000000"/>
          <w:shd w:val="clear" w:color="auto" w:fill="FFFFFF"/>
        </w:rPr>
      </w:pPr>
      <w:r>
        <w:rPr>
          <w:rStyle w:val="normaltextrun"/>
          <w:color w:val="000000"/>
          <w:shd w:val="clear" w:color="auto" w:fill="FFFFFF"/>
        </w:rPr>
        <w:t xml:space="preserve">This thesis contends that where inscriptions specifically referenced </w:t>
      </w:r>
      <w:proofErr w:type="gramStart"/>
      <w:r>
        <w:rPr>
          <w:rStyle w:val="normaltextrun"/>
          <w:color w:val="000000"/>
          <w:shd w:val="clear" w:color="auto" w:fill="FFFFFF"/>
        </w:rPr>
        <w:t>marriage</w:t>
      </w:r>
      <w:proofErr w:type="gramEnd"/>
      <w:r>
        <w:rPr>
          <w:rStyle w:val="normaltextrun"/>
          <w:color w:val="000000"/>
          <w:shd w:val="clear" w:color="auto" w:fill="FFFFFF"/>
        </w:rPr>
        <w:t xml:space="preserve"> they ought to be considered an element of marriage itself, and analysed together with the spaces, emotions and people who occupied the area in which inscriptions appeared. Where elements with diverse characteristics are negotiated in what follows (things, bodies, emotions, knowledge, spaces) finding an ‘interface’ between them is invaluable. Consequently, a social practice approach which confronts these multiple elements from the outset and strives to consider them jointly is most useful to analysis. Such an approach serves as a reminder that no single element premising marriage initials can be considered in isolation, and that only in understanding the social practice of marriage as a multiform action and a means of emotional management can its constituent elements be comprehended.</w:t>
      </w:r>
    </w:p>
    <w:p w14:paraId="277A1B04" w14:textId="77777777" w:rsidR="00EC1EEB" w:rsidRDefault="00EC1EEB" w:rsidP="00C47014">
      <w:pPr>
        <w:spacing w:after="0" w:line="480" w:lineRule="auto"/>
        <w:ind w:firstLine="720"/>
        <w:jc w:val="both"/>
      </w:pPr>
    </w:p>
    <w:p w14:paraId="126B31A9" w14:textId="77777777" w:rsidR="00EC1EEB" w:rsidRPr="004C30A7" w:rsidRDefault="00EC1EEB" w:rsidP="00C47014">
      <w:pPr>
        <w:spacing w:after="0" w:line="480" w:lineRule="auto"/>
        <w:jc w:val="both"/>
        <w:rPr>
          <w:rFonts w:eastAsia="Calibri"/>
          <w:b/>
          <w:bCs/>
          <w:lang w:val="en-US"/>
        </w:rPr>
      </w:pPr>
      <w:r w:rsidRPr="004C30A7">
        <w:rPr>
          <w:rFonts w:eastAsia="Calibri"/>
          <w:b/>
          <w:bCs/>
          <w:lang w:val="en-US"/>
        </w:rPr>
        <w:t>Method</w:t>
      </w:r>
      <w:r>
        <w:rPr>
          <w:rFonts w:eastAsia="Calibri"/>
          <w:b/>
          <w:bCs/>
          <w:lang w:val="en-US"/>
        </w:rPr>
        <w:t>s and Sources</w:t>
      </w:r>
    </w:p>
    <w:p w14:paraId="355CE5A1" w14:textId="6E26BFA4" w:rsidR="00EC1EEB" w:rsidRPr="004C30A7" w:rsidRDefault="00EC1EEB" w:rsidP="00C47014">
      <w:pPr>
        <w:spacing w:after="0" w:line="480" w:lineRule="auto"/>
        <w:ind w:firstLine="720"/>
        <w:jc w:val="both"/>
        <w:rPr>
          <w:rFonts w:eastAsia="Calibri"/>
          <w:lang w:val="en-US"/>
        </w:rPr>
      </w:pPr>
      <w:r w:rsidRPr="004C30A7">
        <w:rPr>
          <w:rFonts w:eastAsia="Calibri"/>
          <w:lang w:val="en-US"/>
        </w:rPr>
        <w:t>At the heart of this thesis is a comparison between inscriptions and inscription practices in the parishes of Bolton-le-Sands in northern Lancashire and Prestbury in eastern Cheshire (</w:t>
      </w:r>
      <w:r w:rsidR="00B01D16">
        <w:rPr>
          <w:rFonts w:eastAsia="Calibri"/>
          <w:lang w:val="en-US"/>
        </w:rPr>
        <w:t>Map 1</w:t>
      </w:r>
      <w:r>
        <w:rPr>
          <w:rFonts w:eastAsia="Calibri"/>
          <w:lang w:val="en-US"/>
        </w:rPr>
        <w:t>, p.</w:t>
      </w:r>
      <w:r w:rsidR="00A06B1E">
        <w:rPr>
          <w:rFonts w:eastAsia="Calibri"/>
          <w:lang w:val="en-US"/>
        </w:rPr>
        <w:t>308</w:t>
      </w:r>
      <w:r w:rsidRPr="004C30A7">
        <w:rPr>
          <w:rFonts w:eastAsia="Calibri"/>
          <w:lang w:val="en-US"/>
        </w:rPr>
        <w:t xml:space="preserve">). Following an exploration of how inscriptions were being used and discussed in contemporary printed texts in the first chapter, three subsequent chapters examine the Lancashire and Cheshire case study communities in depth. They chart the economic, social and material lives of middling sort households in both areas, examining how those inscribing their homes (commonly referred to as ‘inscribers’ throughout) compared with their peers. Individual inscribed homes are explored in extensive detail, using archival sources to reconstruct the circumstances surrounding </w:t>
      </w:r>
      <w:proofErr w:type="gramStart"/>
      <w:r w:rsidRPr="004C30A7">
        <w:rPr>
          <w:rFonts w:eastAsia="Calibri"/>
          <w:lang w:val="en-US"/>
        </w:rPr>
        <w:t>inscription</w:t>
      </w:r>
      <w:proofErr w:type="gramEnd"/>
      <w:r w:rsidRPr="004C30A7">
        <w:rPr>
          <w:rFonts w:eastAsia="Calibri"/>
          <w:lang w:val="en-US"/>
        </w:rPr>
        <w:t xml:space="preserve">. The final chapter then considers the materiality of a range of different inscriptions, exploring the iconography and </w:t>
      </w:r>
      <w:r w:rsidRPr="004C30A7">
        <w:rPr>
          <w:rFonts w:eastAsia="Calibri"/>
          <w:lang w:val="en-US"/>
        </w:rPr>
        <w:lastRenderedPageBreak/>
        <w:t xml:space="preserve">imagery used in both areas. The thesis combines a granular, micro-historical approach to considering individual inscriptions, houses and families with traditional local historical methods. While research into each parish is vital </w:t>
      </w:r>
      <w:r>
        <w:rPr>
          <w:rFonts w:eastAsia="Calibri"/>
          <w:lang w:val="en-US"/>
        </w:rPr>
        <w:t>for u</w:t>
      </w:r>
      <w:r w:rsidRPr="004C30A7">
        <w:rPr>
          <w:rFonts w:eastAsia="Calibri"/>
          <w:lang w:val="en-US"/>
        </w:rPr>
        <w:t xml:space="preserve">nderstanding how each </w:t>
      </w:r>
      <w:proofErr w:type="gramStart"/>
      <w:r w:rsidRPr="004C30A7">
        <w:rPr>
          <w:rFonts w:eastAsia="Calibri"/>
          <w:lang w:val="en-US"/>
        </w:rPr>
        <w:t>inscribing</w:t>
      </w:r>
      <w:proofErr w:type="gramEnd"/>
      <w:r w:rsidRPr="004C30A7">
        <w:rPr>
          <w:rFonts w:eastAsia="Calibri"/>
          <w:lang w:val="en-US"/>
        </w:rPr>
        <w:t xml:space="preserve"> household sat within their wider region, each property also contributes to a deeper understanding of the community within which it stands. With research relating to both areas consistently situated within analysis of broader cultural trends surrounding inscription in early modern England, the granular and wide lens approaches used here mutually reinforce one another.</w:t>
      </w:r>
    </w:p>
    <w:p w14:paraId="47E22508" w14:textId="6C5192F1" w:rsidR="00EC1EEB" w:rsidRPr="004C30A7" w:rsidRDefault="00EC1EEB" w:rsidP="00C47014">
      <w:pPr>
        <w:spacing w:after="0" w:line="480" w:lineRule="auto"/>
        <w:ind w:firstLine="720"/>
        <w:jc w:val="both"/>
        <w:rPr>
          <w:rFonts w:eastAsia="Calibri"/>
          <w:lang w:val="en-US"/>
        </w:rPr>
      </w:pPr>
      <w:r w:rsidRPr="004C30A7">
        <w:rPr>
          <w:rFonts w:eastAsia="Calibri"/>
          <w:lang w:val="en-US"/>
        </w:rPr>
        <w:t>Situated in north Lancashire on the south-eastern edge of Morecambe Bay, the southern boundary of Bolton-le-Sands parish lies just four miles north of Lancaster</w:t>
      </w:r>
      <w:r>
        <w:rPr>
          <w:rFonts w:eastAsia="Calibri"/>
          <w:lang w:val="en-US"/>
        </w:rPr>
        <w:t>.</w:t>
      </w:r>
      <w:r w:rsidRPr="004C30A7">
        <w:rPr>
          <w:rFonts w:eastAsia="Calibri"/>
          <w:lang w:val="en-US"/>
        </w:rPr>
        <w:t xml:space="preserve"> The parish church of Holy Trinity lay within Bolton-le-Sands village, serving the townships of Bolton-le-Sands, Slyne-with-Hest to the south, and Over Kellet and Nether Kellet to the north</w:t>
      </w:r>
      <w:r>
        <w:rPr>
          <w:rFonts w:eastAsia="Calibri"/>
          <w:lang w:val="en-US"/>
        </w:rPr>
        <w:t xml:space="preserve"> </w:t>
      </w:r>
      <w:r w:rsidRPr="004C30A7">
        <w:rPr>
          <w:rFonts w:eastAsia="Calibri"/>
          <w:lang w:val="en-US"/>
        </w:rPr>
        <w:t>(</w:t>
      </w:r>
      <w:r w:rsidR="0021635D">
        <w:rPr>
          <w:rFonts w:eastAsia="Calibri"/>
          <w:lang w:val="en-US"/>
        </w:rPr>
        <w:t>Map</w:t>
      </w:r>
      <w:r w:rsidRPr="004C30A7">
        <w:rPr>
          <w:rFonts w:eastAsia="Calibri"/>
          <w:lang w:val="en-US"/>
        </w:rPr>
        <w:t xml:space="preserve"> </w:t>
      </w:r>
      <w:r w:rsidR="00212921">
        <w:rPr>
          <w:rFonts w:eastAsia="Calibri"/>
          <w:lang w:val="en-US"/>
        </w:rPr>
        <w:t>2</w:t>
      </w:r>
      <w:r>
        <w:rPr>
          <w:rFonts w:eastAsia="Calibri"/>
          <w:lang w:val="en-US"/>
        </w:rPr>
        <w:t>, p.</w:t>
      </w:r>
      <w:r w:rsidR="00A06B1E">
        <w:rPr>
          <w:rFonts w:eastAsia="Calibri"/>
          <w:lang w:val="en-US"/>
        </w:rPr>
        <w:t>309</w:t>
      </w:r>
      <w:r w:rsidRPr="004C30A7">
        <w:rPr>
          <w:rFonts w:eastAsia="Calibri"/>
          <w:lang w:val="en-US"/>
        </w:rPr>
        <w:t>).</w:t>
      </w:r>
      <w:r w:rsidRPr="004C30A7">
        <w:rPr>
          <w:rFonts w:eastAsia="Calibri"/>
          <w:vertAlign w:val="superscript"/>
          <w:lang w:val="en-US"/>
        </w:rPr>
        <w:footnoteReference w:id="104"/>
      </w:r>
      <w:r w:rsidRPr="004C30A7">
        <w:rPr>
          <w:rFonts w:eastAsia="Calibri"/>
          <w:lang w:val="en-US"/>
        </w:rPr>
        <w:t xml:space="preserve"> The name Bolton-le-Sands has only been used since the nineteenth century, prior to which the village and parish were referred to as Bolton ‘in Lonsdale’ owing to its location in the </w:t>
      </w:r>
      <w:proofErr w:type="spellStart"/>
      <w:r w:rsidRPr="004C30A7">
        <w:rPr>
          <w:rFonts w:eastAsia="Calibri"/>
          <w:lang w:val="en-US"/>
        </w:rPr>
        <w:t>hundred</w:t>
      </w:r>
      <w:proofErr w:type="spellEnd"/>
      <w:r w:rsidRPr="004C30A7">
        <w:rPr>
          <w:rFonts w:eastAsia="Calibri"/>
          <w:lang w:val="en-US"/>
        </w:rPr>
        <w:t xml:space="preserve"> of South Lonsdale, or Bolton ‘in Kendal’ on account of the deanery to which it was attached.</w:t>
      </w:r>
      <w:r>
        <w:rPr>
          <w:rStyle w:val="FootnoteReference"/>
          <w:rFonts w:eastAsia="Calibri"/>
          <w:lang w:val="en-US"/>
        </w:rPr>
        <w:footnoteReference w:id="105"/>
      </w:r>
      <w:r w:rsidRPr="004C30A7">
        <w:rPr>
          <w:rFonts w:eastAsia="Calibri"/>
          <w:lang w:val="en-US"/>
        </w:rPr>
        <w:t xml:space="preserve"> Other documents also include the names Bolton ‘near the sands’, ‘by the sands’ or ‘in the sands’ due to its proximity to the shoreline which, at low tide, could be crossed on foot and by carriage by travellers heading to Cartmel.</w:t>
      </w:r>
      <w:r w:rsidRPr="004C30A7">
        <w:rPr>
          <w:rFonts w:eastAsia="Calibri"/>
          <w:vertAlign w:val="superscript"/>
          <w:lang w:val="en-US"/>
        </w:rPr>
        <w:footnoteReference w:id="106"/>
      </w:r>
      <w:r w:rsidRPr="004C30A7">
        <w:rPr>
          <w:rFonts w:eastAsia="Calibri"/>
          <w:lang w:val="en-US"/>
        </w:rPr>
        <w:t xml:space="preserve"> Small chapelries appear to have existed in Bolton-le-Sands village for travellers to pray for safe passage or give thanks after a journey across the sands</w:t>
      </w:r>
      <w:r>
        <w:rPr>
          <w:rFonts w:eastAsia="Calibri"/>
          <w:lang w:val="en-US"/>
        </w:rPr>
        <w:t>. However,</w:t>
      </w:r>
      <w:r w:rsidRPr="004C30A7">
        <w:rPr>
          <w:rFonts w:eastAsia="Calibri"/>
          <w:lang w:val="en-US"/>
        </w:rPr>
        <w:t xml:space="preserve"> the only two clergy appointed in the parish were </w:t>
      </w:r>
      <w:r w:rsidRPr="004C30A7">
        <w:rPr>
          <w:rFonts w:eastAsia="Calibri"/>
          <w:lang w:val="en-US"/>
        </w:rPr>
        <w:lastRenderedPageBreak/>
        <w:t xml:space="preserve">the vicar at Holy Trinity and a curate serving the separate benefice of Over Kellet </w:t>
      </w:r>
      <w:r>
        <w:rPr>
          <w:rFonts w:eastAsia="Calibri"/>
          <w:lang w:val="en-US"/>
        </w:rPr>
        <w:t xml:space="preserve">– a </w:t>
      </w:r>
      <w:r w:rsidRPr="004C30A7">
        <w:rPr>
          <w:rFonts w:eastAsia="Calibri"/>
          <w:lang w:val="en-US"/>
        </w:rPr>
        <w:t xml:space="preserve">‘township-chapelry’ </w:t>
      </w:r>
      <w:proofErr w:type="gramStart"/>
      <w:r w:rsidRPr="004C30A7">
        <w:rPr>
          <w:rFonts w:eastAsia="Calibri"/>
          <w:lang w:val="en-US"/>
        </w:rPr>
        <w:t xml:space="preserve">in its own right </w:t>
      </w:r>
      <w:r>
        <w:rPr>
          <w:rFonts w:eastAsia="Calibri"/>
          <w:lang w:val="en-US"/>
        </w:rPr>
        <w:t>which</w:t>
      </w:r>
      <w:proofErr w:type="gramEnd"/>
      <w:r w:rsidRPr="004C30A7">
        <w:rPr>
          <w:rFonts w:eastAsia="Calibri"/>
          <w:lang w:val="en-US"/>
        </w:rPr>
        <w:t xml:space="preserve"> ha</w:t>
      </w:r>
      <w:r>
        <w:rPr>
          <w:rFonts w:eastAsia="Calibri"/>
          <w:lang w:val="en-US"/>
        </w:rPr>
        <w:t>d</w:t>
      </w:r>
      <w:r w:rsidRPr="004C30A7">
        <w:rPr>
          <w:rFonts w:eastAsia="Calibri"/>
          <w:lang w:val="en-US"/>
        </w:rPr>
        <w:t xml:space="preserve"> its own baptism, marriage and burial registers </w:t>
      </w:r>
      <w:r>
        <w:rPr>
          <w:rFonts w:eastAsia="Calibri"/>
          <w:lang w:val="en-US"/>
        </w:rPr>
        <w:t>from</w:t>
      </w:r>
      <w:r w:rsidRPr="004C30A7">
        <w:rPr>
          <w:rFonts w:eastAsia="Calibri"/>
          <w:lang w:val="en-US"/>
        </w:rPr>
        <w:t xml:space="preserve"> 1648</w:t>
      </w:r>
      <w:r>
        <w:rPr>
          <w:rFonts w:eastAsia="Calibri"/>
          <w:lang w:val="en-US"/>
        </w:rPr>
        <w:t xml:space="preserve"> onwards</w:t>
      </w:r>
      <w:r w:rsidRPr="004C30A7">
        <w:rPr>
          <w:rFonts w:eastAsia="Calibri"/>
          <w:lang w:val="en-US"/>
        </w:rPr>
        <w:t>.</w:t>
      </w:r>
      <w:r w:rsidRPr="004C30A7">
        <w:rPr>
          <w:rFonts w:eastAsia="Calibri"/>
          <w:vertAlign w:val="superscript"/>
          <w:lang w:val="en-US"/>
        </w:rPr>
        <w:footnoteReference w:id="107"/>
      </w:r>
    </w:p>
    <w:p w14:paraId="49B3920D" w14:textId="1B34220B" w:rsidR="00EC1EEB" w:rsidRDefault="00EC1EEB" w:rsidP="00C47014">
      <w:pPr>
        <w:spacing w:after="0" w:line="480" w:lineRule="auto"/>
        <w:ind w:firstLine="720"/>
        <w:jc w:val="both"/>
        <w:rPr>
          <w:rFonts w:eastAsia="Calibri"/>
          <w:lang w:val="en-US"/>
        </w:rPr>
      </w:pPr>
      <w:r w:rsidRPr="004C30A7">
        <w:rPr>
          <w:rFonts w:eastAsia="Calibri"/>
          <w:lang w:val="en-US"/>
        </w:rPr>
        <w:t xml:space="preserve">Prestbury parish was far </w:t>
      </w:r>
      <w:r>
        <w:rPr>
          <w:rFonts w:eastAsia="Calibri"/>
          <w:lang w:val="en-US"/>
        </w:rPr>
        <w:t>larger</w:t>
      </w:r>
      <w:r w:rsidRPr="004C30A7">
        <w:rPr>
          <w:rFonts w:eastAsia="Calibri"/>
          <w:lang w:val="en-US"/>
        </w:rPr>
        <w:t xml:space="preserve"> than Bolton-le-Sands parish. One of the unusually large parishes dotting the north of England, Prestbury comprised 32 townships in the seventeenth century (as seen in Figure </w:t>
      </w:r>
      <w:r w:rsidR="00E76DCA">
        <w:rPr>
          <w:rFonts w:eastAsia="Calibri"/>
          <w:lang w:val="en-US"/>
        </w:rPr>
        <w:t>3</w:t>
      </w:r>
      <w:r>
        <w:rPr>
          <w:rFonts w:eastAsia="Calibri"/>
          <w:lang w:val="en-US"/>
        </w:rPr>
        <w:t>, p.</w:t>
      </w:r>
      <w:r w:rsidR="002B6C4E">
        <w:rPr>
          <w:rFonts w:eastAsia="Calibri"/>
          <w:lang w:val="en-US"/>
        </w:rPr>
        <w:t>317</w:t>
      </w:r>
      <w:r>
        <w:rPr>
          <w:rFonts w:eastAsia="Calibri"/>
          <w:lang w:val="en-US"/>
        </w:rPr>
        <w:t>)</w:t>
      </w:r>
      <w:r w:rsidRPr="004C30A7">
        <w:rPr>
          <w:rFonts w:eastAsia="Calibri"/>
          <w:lang w:val="en-US"/>
        </w:rPr>
        <w:t xml:space="preserve"> and was the third largest of any parish in the country.</w:t>
      </w:r>
      <w:r w:rsidRPr="004C30A7">
        <w:rPr>
          <w:rFonts w:eastAsia="Calibri"/>
          <w:vertAlign w:val="superscript"/>
          <w:lang w:val="en-US"/>
        </w:rPr>
        <w:footnoteReference w:id="108"/>
      </w:r>
      <w:r w:rsidRPr="004C30A7">
        <w:rPr>
          <w:rFonts w:eastAsia="Calibri"/>
          <w:lang w:val="en-US"/>
        </w:rPr>
        <w:t xml:space="preserve"> This study is primarily concerned with inscribed houses in the townships of Butley, Sutton, Wildboarclough and Kettleshulme – marked on the map in </w:t>
      </w:r>
      <w:r w:rsidR="004F44AE">
        <w:rPr>
          <w:rFonts w:eastAsia="Calibri"/>
          <w:lang w:val="en-US"/>
        </w:rPr>
        <w:t>Map 3</w:t>
      </w:r>
      <w:r>
        <w:rPr>
          <w:rFonts w:eastAsia="Calibri"/>
          <w:lang w:val="en-US"/>
        </w:rPr>
        <w:t xml:space="preserve"> (p.</w:t>
      </w:r>
      <w:r w:rsidR="00A06B1E">
        <w:rPr>
          <w:rFonts w:eastAsia="Calibri"/>
          <w:lang w:val="en-US"/>
        </w:rPr>
        <w:t>310</w:t>
      </w:r>
      <w:r>
        <w:rPr>
          <w:rFonts w:eastAsia="Calibri"/>
          <w:lang w:val="en-US"/>
        </w:rPr>
        <w:t>)</w:t>
      </w:r>
      <w:r w:rsidRPr="004C30A7">
        <w:rPr>
          <w:rFonts w:eastAsia="Calibri"/>
          <w:lang w:val="en-US"/>
        </w:rPr>
        <w:t>.</w:t>
      </w:r>
      <w:r>
        <w:rPr>
          <w:rFonts w:eastAsia="Calibri"/>
          <w:lang w:val="en-US"/>
        </w:rPr>
        <w:t xml:space="preserve"> Property ownership represents a key difference between the parishes of Bolton-le-Sands and Prestbury, and one of the major findings of this thesis relates to the ways in which differences in tenure impacted inscription practices. While in Bolton-le-Sands the occupation of land through freehold or copyhold ‘for inheritance’ agreements was commonplace, copyhold ‘for lives’ tenancies were widespread in Prestbury. Many residents in the four Prestbury townships considered here held their estates under lease from members of the local landowning </w:t>
      </w:r>
      <w:proofErr w:type="gramStart"/>
      <w:r>
        <w:rPr>
          <w:rFonts w:eastAsia="Calibri"/>
          <w:lang w:val="en-US"/>
        </w:rPr>
        <w:t>families</w:t>
      </w:r>
      <w:proofErr w:type="gramEnd"/>
      <w:r>
        <w:rPr>
          <w:rFonts w:eastAsia="Calibri"/>
          <w:lang w:val="en-US"/>
        </w:rPr>
        <w:t xml:space="preserve"> </w:t>
      </w:r>
      <w:r w:rsidRPr="004E2FE4">
        <w:rPr>
          <w:rFonts w:eastAsia="Calibri"/>
          <w:lang w:val="en-US"/>
        </w:rPr>
        <w:t>the Leghs of Adlington, the Leghs of Lyme and the Stanley</w:t>
      </w:r>
      <w:r>
        <w:rPr>
          <w:rFonts w:eastAsia="Calibri"/>
          <w:lang w:val="en-US"/>
        </w:rPr>
        <w:t xml:space="preserve"> family</w:t>
      </w:r>
      <w:r w:rsidRPr="004E2FE4">
        <w:rPr>
          <w:rFonts w:eastAsia="Calibri"/>
          <w:lang w:val="en-US"/>
        </w:rPr>
        <w:t>, who held the earldom of Derby.</w:t>
      </w:r>
      <w:r>
        <w:rPr>
          <w:rFonts w:eastAsia="Calibri"/>
          <w:lang w:val="en-US"/>
        </w:rPr>
        <w:t xml:space="preserve"> Where available, leases have provided invaluable insight into the history of houses considered in Prestbury parish.</w:t>
      </w:r>
      <w:r>
        <w:rPr>
          <w:rStyle w:val="FootnoteReference"/>
          <w:rFonts w:eastAsia="Calibri"/>
          <w:lang w:val="en-US"/>
        </w:rPr>
        <w:footnoteReference w:id="109"/>
      </w:r>
    </w:p>
    <w:p w14:paraId="08F6D704" w14:textId="77777777" w:rsidR="00EC1EEB" w:rsidRPr="00A93341" w:rsidRDefault="00EC1EEB" w:rsidP="00C47014">
      <w:pPr>
        <w:spacing w:after="0" w:line="480" w:lineRule="auto"/>
        <w:ind w:firstLine="720"/>
        <w:jc w:val="both"/>
        <w:rPr>
          <w:rFonts w:eastAsia="Calibri"/>
          <w:lang w:val="en-US"/>
        </w:rPr>
      </w:pPr>
      <w:r w:rsidRPr="004C30A7">
        <w:rPr>
          <w:rFonts w:eastAsia="Calibri"/>
          <w:lang w:val="en-US"/>
        </w:rPr>
        <w:t xml:space="preserve"> Bolton-le-Sands and Prestbury were selected as case study communities following a preliminary research phase. Central to the methodology underpinning this thesis is the </w:t>
      </w:r>
      <w:r w:rsidRPr="004C30A7">
        <w:rPr>
          <w:rFonts w:eastAsia="Calibri"/>
          <w:lang w:val="en-US"/>
        </w:rPr>
        <w:lastRenderedPageBreak/>
        <w:t xml:space="preserve">understanding that the materiality of inscriptions is fundamental in understanding their meaning and significance. Consequently, the selection of case study communities was dependent on the survival of inscriptions, requiring that any community chosen would be rich in standing buildings with inscribed text dating from the seventeenth and eighteenth centuries. Comprising a database of ‘all nationally protected historic buildings and sites in England’ (including ‘listed buildings, scheduled monuments, protected wrecks, registered parks and gardens, and battlefields’) the </w:t>
      </w:r>
      <w:r w:rsidRPr="004C30A7">
        <w:rPr>
          <w:rFonts w:eastAsia="Calibri"/>
          <w:i/>
          <w:iCs/>
        </w:rPr>
        <w:t xml:space="preserve">National Heritage List for England </w:t>
      </w:r>
      <w:r w:rsidRPr="004C30A7">
        <w:rPr>
          <w:rFonts w:eastAsia="Calibri"/>
        </w:rPr>
        <w:t>(</w:t>
      </w:r>
      <w:r w:rsidRPr="004C30A7">
        <w:rPr>
          <w:rFonts w:eastAsia="Calibri"/>
          <w:i/>
          <w:iCs/>
        </w:rPr>
        <w:t>NHLE</w:t>
      </w:r>
      <w:r w:rsidRPr="004C30A7">
        <w:rPr>
          <w:rFonts w:eastAsia="Calibri"/>
        </w:rPr>
        <w:t>) provided a crucial tool for identifying surviving inscribed properties.</w:t>
      </w:r>
      <w:r w:rsidRPr="004C30A7">
        <w:rPr>
          <w:rFonts w:eastAsia="Calibri"/>
          <w:vertAlign w:val="superscript"/>
        </w:rPr>
        <w:footnoteReference w:id="110"/>
      </w:r>
      <w:r w:rsidRPr="004C30A7">
        <w:rPr>
          <w:rFonts w:eastAsia="Calibri"/>
        </w:rPr>
        <w:t xml:space="preserve"> Search functions made it possible to retrieve listing entries </w:t>
      </w:r>
      <w:r>
        <w:rPr>
          <w:rFonts w:eastAsia="Calibri"/>
        </w:rPr>
        <w:t>which featured</w:t>
      </w:r>
      <w:r w:rsidRPr="004C30A7">
        <w:rPr>
          <w:rFonts w:eastAsia="Calibri"/>
        </w:rPr>
        <w:t xml:space="preserve"> the terms ‘inscribed’, ‘inscription’, ‘initial/s’ and ‘engraved/engraving’, expediting the process of finding homes with marital inscriptions carved into or otherwise placed upon their fabric.</w:t>
      </w:r>
      <w:r w:rsidRPr="004C30A7">
        <w:rPr>
          <w:rFonts w:eastAsia="Calibri"/>
          <w:vertAlign w:val="superscript"/>
        </w:rPr>
        <w:footnoteReference w:id="111"/>
      </w:r>
      <w:r w:rsidRPr="004C30A7">
        <w:rPr>
          <w:rFonts w:eastAsia="Calibri"/>
        </w:rPr>
        <w:t xml:space="preserve"> </w:t>
      </w:r>
    </w:p>
    <w:p w14:paraId="00A36336" w14:textId="77777777" w:rsidR="00EC1EEB" w:rsidRPr="004C30A7" w:rsidRDefault="00EC1EEB" w:rsidP="00C47014">
      <w:pPr>
        <w:spacing w:after="0" w:line="480" w:lineRule="auto"/>
        <w:ind w:firstLine="720"/>
        <w:jc w:val="both"/>
        <w:rPr>
          <w:rFonts w:eastAsia="Calibri"/>
        </w:rPr>
      </w:pPr>
      <w:r w:rsidRPr="004C30A7">
        <w:rPr>
          <w:rFonts w:eastAsia="Calibri"/>
        </w:rPr>
        <w:t xml:space="preserve">Bolton-le-Sands formed a starting point in the selection process. An appendix in the </w:t>
      </w:r>
      <w:r>
        <w:rPr>
          <w:rFonts w:eastAsia="Calibri"/>
        </w:rPr>
        <w:t>John D. Marshall-</w:t>
      </w:r>
      <w:r w:rsidRPr="004C30A7">
        <w:rPr>
          <w:rFonts w:eastAsia="Calibri"/>
        </w:rPr>
        <w:t xml:space="preserve">edited </w:t>
      </w:r>
      <w:r w:rsidRPr="004C30A7">
        <w:rPr>
          <w:rFonts w:eastAsia="Calibri"/>
          <w:i/>
          <w:iCs/>
        </w:rPr>
        <w:t>Autobiography of William Stout</w:t>
      </w:r>
      <w:r>
        <w:rPr>
          <w:rFonts w:eastAsia="Calibri"/>
          <w:i/>
          <w:iCs/>
        </w:rPr>
        <w:t xml:space="preserve"> of Lancaster</w:t>
      </w:r>
      <w:r w:rsidRPr="004C30A7">
        <w:rPr>
          <w:rFonts w:eastAsia="Calibri"/>
          <w:i/>
          <w:iCs/>
        </w:rPr>
        <w:t xml:space="preserve"> </w:t>
      </w:r>
      <w:r w:rsidRPr="004C30A7">
        <w:rPr>
          <w:rFonts w:eastAsia="Calibri"/>
        </w:rPr>
        <w:t>referenced an inscribed Bolton-le-Sands property with the initials ‘T</w:t>
      </w:r>
      <w:r w:rsidRPr="004C30A7">
        <w:rPr>
          <w:rFonts w:eastAsia="Calibri"/>
          <w:vertAlign w:val="superscript"/>
        </w:rPr>
        <w:t>Y</w:t>
      </w:r>
      <w:r w:rsidRPr="004C30A7">
        <w:rPr>
          <w:rFonts w:eastAsia="Calibri"/>
        </w:rPr>
        <w:t>E’ and year ‘1680’ carved above its main doorway.</w:t>
      </w:r>
      <w:r w:rsidRPr="004C30A7">
        <w:rPr>
          <w:rFonts w:eastAsia="Calibri"/>
          <w:vertAlign w:val="superscript"/>
        </w:rPr>
        <w:footnoteReference w:id="112"/>
      </w:r>
      <w:r w:rsidRPr="004C30A7">
        <w:rPr>
          <w:rFonts w:eastAsia="Calibri"/>
        </w:rPr>
        <w:t xml:space="preserve"> The inscription commemorated Thomas and Ellen Yates, and further searches using the </w:t>
      </w:r>
      <w:r w:rsidRPr="004C30A7">
        <w:rPr>
          <w:rFonts w:eastAsia="Calibri"/>
          <w:i/>
          <w:iCs/>
        </w:rPr>
        <w:t xml:space="preserve">NHLE </w:t>
      </w:r>
      <w:r w:rsidRPr="004C30A7">
        <w:rPr>
          <w:rFonts w:eastAsia="Calibri"/>
        </w:rPr>
        <w:t xml:space="preserve">revealed a network of initialled homes throughout the parish. Visiting the properties in person, it became evident that additional inscriptions survived in unlisted buildings, </w:t>
      </w:r>
      <w:r>
        <w:rPr>
          <w:rFonts w:eastAsia="Calibri"/>
        </w:rPr>
        <w:t>in cases where inscriptions had either</w:t>
      </w:r>
      <w:r w:rsidRPr="004C30A7">
        <w:rPr>
          <w:rFonts w:eastAsia="Calibri"/>
        </w:rPr>
        <w:t xml:space="preserve"> been repositioned or reused in altered and reconstructed properties not </w:t>
      </w:r>
      <w:r>
        <w:rPr>
          <w:rFonts w:eastAsia="Calibri"/>
        </w:rPr>
        <w:t xml:space="preserve">of sufficient historical significance to be </w:t>
      </w:r>
      <w:r w:rsidRPr="004C30A7">
        <w:rPr>
          <w:rFonts w:eastAsia="Calibri"/>
        </w:rPr>
        <w:t xml:space="preserve">recognised by the listing </w:t>
      </w:r>
      <w:r w:rsidRPr="004C30A7">
        <w:rPr>
          <w:rFonts w:eastAsia="Calibri"/>
        </w:rPr>
        <w:lastRenderedPageBreak/>
        <w:t xml:space="preserve">process. Identifying as many similar properties as possible </w:t>
      </w:r>
      <w:r>
        <w:rPr>
          <w:rFonts w:eastAsia="Calibri"/>
        </w:rPr>
        <w:t xml:space="preserve">in other areas </w:t>
      </w:r>
      <w:r w:rsidRPr="004C30A7">
        <w:rPr>
          <w:rFonts w:eastAsia="Calibri"/>
        </w:rPr>
        <w:t xml:space="preserve">using the </w:t>
      </w:r>
      <w:r w:rsidRPr="004C30A7">
        <w:rPr>
          <w:rFonts w:eastAsia="Calibri"/>
          <w:i/>
          <w:iCs/>
        </w:rPr>
        <w:t>NHLE,</w:t>
      </w:r>
      <w:r w:rsidRPr="004C30A7">
        <w:rPr>
          <w:rFonts w:eastAsia="Calibri"/>
        </w:rPr>
        <w:t xml:space="preserve"> I </w:t>
      </w:r>
      <w:r>
        <w:rPr>
          <w:rFonts w:eastAsia="Calibri"/>
        </w:rPr>
        <w:t xml:space="preserve">then </w:t>
      </w:r>
      <w:r w:rsidRPr="004C30A7">
        <w:rPr>
          <w:rFonts w:eastAsia="Calibri"/>
        </w:rPr>
        <w:t xml:space="preserve">undertook site visits to </w:t>
      </w:r>
      <w:r>
        <w:rPr>
          <w:rFonts w:eastAsia="Calibri"/>
        </w:rPr>
        <w:t>parts of</w:t>
      </w:r>
      <w:r w:rsidRPr="004C30A7">
        <w:rPr>
          <w:rFonts w:eastAsia="Calibri"/>
        </w:rPr>
        <w:t xml:space="preserve"> East Anglia </w:t>
      </w:r>
      <w:r>
        <w:rPr>
          <w:rFonts w:eastAsia="Calibri"/>
        </w:rPr>
        <w:t xml:space="preserve">and </w:t>
      </w:r>
      <w:r w:rsidRPr="004C30A7">
        <w:rPr>
          <w:rFonts w:eastAsia="Calibri"/>
        </w:rPr>
        <w:t>Cheshir</w:t>
      </w:r>
      <w:r>
        <w:rPr>
          <w:rFonts w:eastAsia="Calibri"/>
        </w:rPr>
        <w:t>e</w:t>
      </w:r>
      <w:r w:rsidRPr="004C30A7">
        <w:rPr>
          <w:rFonts w:eastAsia="Calibri"/>
        </w:rPr>
        <w:t xml:space="preserve">. In Norfolk, inscribed properties were scattered throughout the county. </w:t>
      </w:r>
      <w:proofErr w:type="gramStart"/>
      <w:r w:rsidRPr="004C30A7">
        <w:rPr>
          <w:rFonts w:eastAsia="Calibri"/>
        </w:rPr>
        <w:t>Owing to the fact that</w:t>
      </w:r>
      <w:proofErr w:type="gramEnd"/>
      <w:r w:rsidRPr="004C30A7">
        <w:rPr>
          <w:rFonts w:eastAsia="Calibri"/>
        </w:rPr>
        <w:t xml:space="preserve"> this would necessitate in-depth research into</w:t>
      </w:r>
      <w:r>
        <w:rPr>
          <w:rFonts w:eastAsia="Calibri"/>
        </w:rPr>
        <w:t xml:space="preserve"> multiple </w:t>
      </w:r>
      <w:r w:rsidRPr="004C30A7">
        <w:rPr>
          <w:rFonts w:eastAsia="Calibri"/>
        </w:rPr>
        <w:t xml:space="preserve">different parishes, Norfolk was discounted as an infeasible community study. While </w:t>
      </w:r>
      <w:r>
        <w:rPr>
          <w:rFonts w:eastAsia="Calibri"/>
        </w:rPr>
        <w:t xml:space="preserve">the </w:t>
      </w:r>
      <w:r w:rsidRPr="004C30A7">
        <w:rPr>
          <w:rFonts w:eastAsia="Calibri"/>
        </w:rPr>
        <w:t xml:space="preserve">Prestbury </w:t>
      </w:r>
      <w:r>
        <w:rPr>
          <w:rFonts w:eastAsia="Calibri"/>
        </w:rPr>
        <w:t xml:space="preserve">townships </w:t>
      </w:r>
      <w:r w:rsidRPr="004C30A7">
        <w:rPr>
          <w:rFonts w:eastAsia="Calibri"/>
        </w:rPr>
        <w:t xml:space="preserve">posed </w:t>
      </w:r>
      <w:r>
        <w:rPr>
          <w:rFonts w:eastAsia="Calibri"/>
        </w:rPr>
        <w:t>their</w:t>
      </w:r>
      <w:r w:rsidRPr="004C30A7">
        <w:rPr>
          <w:rFonts w:eastAsia="Calibri"/>
        </w:rPr>
        <w:t xml:space="preserve"> own challenges </w:t>
      </w:r>
      <w:r>
        <w:rPr>
          <w:rFonts w:eastAsia="Calibri"/>
        </w:rPr>
        <w:t>given their location within</w:t>
      </w:r>
      <w:r w:rsidRPr="004C30A7">
        <w:rPr>
          <w:rFonts w:eastAsia="Calibri"/>
        </w:rPr>
        <w:t xml:space="preserve"> a large parish, the survival of a high proportion of standing buildings within a small area rendered </w:t>
      </w:r>
      <w:r>
        <w:rPr>
          <w:rFonts w:eastAsia="Calibri"/>
        </w:rPr>
        <w:t xml:space="preserve">Prestbury </w:t>
      </w:r>
      <w:r w:rsidRPr="004C30A7">
        <w:rPr>
          <w:rFonts w:eastAsia="Calibri"/>
        </w:rPr>
        <w:t>a suitable counterpart to Bolton-le-Sands.</w:t>
      </w:r>
    </w:p>
    <w:p w14:paraId="1721CF48" w14:textId="77777777" w:rsidR="00EC1EEB" w:rsidRPr="004C30A7" w:rsidRDefault="00EC1EEB" w:rsidP="00C47014">
      <w:pPr>
        <w:spacing w:after="0" w:line="480" w:lineRule="auto"/>
        <w:ind w:firstLine="720"/>
        <w:jc w:val="both"/>
        <w:rPr>
          <w:rFonts w:eastAsia="Calibri"/>
          <w:lang w:val="en-US"/>
        </w:rPr>
      </w:pPr>
      <w:r w:rsidRPr="004C30A7">
        <w:rPr>
          <w:rFonts w:eastAsia="Calibri"/>
        </w:rPr>
        <w:t xml:space="preserve">Undertaking site visits served two key functions. Firstly, it facilitated exhaustive documentary research. </w:t>
      </w:r>
      <w:r w:rsidRPr="004C30A7">
        <w:rPr>
          <w:rFonts w:eastAsia="Calibri"/>
          <w:lang w:val="en-US"/>
        </w:rPr>
        <w:t xml:space="preserve">For Bolton-le-Sands and Prestbury, the recovery and consultation of as many written sources as possible offered a means of reconstructing the lives of those using inscribed text upon their homes, opening a gateway into understanding the meanings inscribers perceived within the inscriptions they commissioned. Site visits therefore allowed me to establish connections with owners and tenants of inscribed properties, investigating existing knowledge of surviving documents. In some </w:t>
      </w:r>
      <w:proofErr w:type="gramStart"/>
      <w:r w:rsidRPr="004C30A7">
        <w:rPr>
          <w:rFonts w:eastAsia="Calibri"/>
          <w:lang w:val="en-US"/>
        </w:rPr>
        <w:t>cases</w:t>
      </w:r>
      <w:proofErr w:type="gramEnd"/>
      <w:r w:rsidRPr="004C30A7">
        <w:rPr>
          <w:rFonts w:eastAsia="Calibri"/>
          <w:lang w:val="en-US"/>
        </w:rPr>
        <w:t xml:space="preserve"> this gave me direct access to sources that had not been deposited into archives, which would otherwise </w:t>
      </w:r>
      <w:r>
        <w:rPr>
          <w:rFonts w:eastAsia="Calibri"/>
          <w:lang w:val="en-US"/>
        </w:rPr>
        <w:t xml:space="preserve">have </w:t>
      </w:r>
      <w:r w:rsidRPr="004C30A7">
        <w:rPr>
          <w:rFonts w:eastAsia="Calibri"/>
          <w:lang w:val="en-US"/>
        </w:rPr>
        <w:t xml:space="preserve">remained unknown. Secondly, site visits also enabled the identification of surviving material culture. My original research intentions involved examining inscribed standing buildings and analysing inscribed objects held in museums and in private collections. Unexpectedly, the first visit to Bolton-le-Sands revealed inscribed fixtures, fittings and household goods surviving inside multiple homes whose </w:t>
      </w:r>
      <w:proofErr w:type="gramStart"/>
      <w:r w:rsidRPr="004C30A7">
        <w:rPr>
          <w:rFonts w:eastAsia="Calibri"/>
          <w:lang w:val="en-US"/>
        </w:rPr>
        <w:t>façades</w:t>
      </w:r>
      <w:proofErr w:type="gramEnd"/>
      <w:r w:rsidRPr="004C30A7">
        <w:rPr>
          <w:rFonts w:eastAsia="Calibri"/>
          <w:lang w:val="en-US"/>
        </w:rPr>
        <w:t xml:space="preserve"> also featured inscriptions. In most cases</w:t>
      </w:r>
      <w:r>
        <w:rPr>
          <w:rFonts w:eastAsia="Calibri"/>
          <w:lang w:val="en-US"/>
        </w:rPr>
        <w:t>,</w:t>
      </w:r>
      <w:r w:rsidRPr="004C30A7">
        <w:rPr>
          <w:rFonts w:eastAsia="Calibri"/>
          <w:lang w:val="en-US"/>
        </w:rPr>
        <w:t xml:space="preserve"> both sets were added by the same families. Directly contacting inhabitants of inscribed buildings</w:t>
      </w:r>
      <w:r>
        <w:rPr>
          <w:rFonts w:eastAsia="Calibri"/>
          <w:lang w:val="en-US"/>
        </w:rPr>
        <w:t xml:space="preserve"> therefore</w:t>
      </w:r>
      <w:r w:rsidRPr="004C30A7">
        <w:rPr>
          <w:rFonts w:eastAsia="Calibri"/>
          <w:lang w:val="en-US"/>
        </w:rPr>
        <w:t xml:space="preserve"> provided </w:t>
      </w:r>
      <w:r>
        <w:rPr>
          <w:rFonts w:eastAsia="Calibri"/>
          <w:lang w:val="en-US"/>
        </w:rPr>
        <w:t xml:space="preserve">crucial </w:t>
      </w:r>
      <w:r w:rsidRPr="004C30A7">
        <w:rPr>
          <w:rFonts w:eastAsia="Calibri"/>
          <w:lang w:val="en-US"/>
        </w:rPr>
        <w:t>access to many original fixtures and furnishings, which I was able to photograph and record where appropriate.</w:t>
      </w:r>
    </w:p>
    <w:p w14:paraId="0719CDA2" w14:textId="4BBB24C8" w:rsidR="00EC1EEB" w:rsidRPr="004C30A7" w:rsidRDefault="00EC1EEB" w:rsidP="00C47014">
      <w:pPr>
        <w:spacing w:after="0" w:line="480" w:lineRule="auto"/>
        <w:ind w:firstLine="720"/>
        <w:jc w:val="both"/>
        <w:rPr>
          <w:rFonts w:eastAsia="Calibri"/>
          <w:lang w:val="en-US"/>
        </w:rPr>
      </w:pPr>
      <w:r w:rsidRPr="004C30A7">
        <w:rPr>
          <w:rFonts w:eastAsia="Calibri"/>
          <w:lang w:val="en-US"/>
        </w:rPr>
        <w:lastRenderedPageBreak/>
        <w:t xml:space="preserve">At least 54 inscribed properties constructed between 1650 and 1750 survive in the Bolton-le-Sands townships considered here, with at least 36 surviving across the four townships examined in Prestbury. </w:t>
      </w:r>
      <w:r>
        <w:rPr>
          <w:rFonts w:eastAsia="Calibri"/>
          <w:lang w:val="en-US"/>
        </w:rPr>
        <w:t xml:space="preserve">While </w:t>
      </w:r>
      <w:r w:rsidRPr="004C30A7">
        <w:rPr>
          <w:rFonts w:eastAsia="Calibri"/>
          <w:lang w:val="en-US"/>
        </w:rPr>
        <w:t xml:space="preserve">I attempted to visit and photograph all </w:t>
      </w:r>
      <w:proofErr w:type="gramStart"/>
      <w:r w:rsidRPr="004C30A7">
        <w:rPr>
          <w:rFonts w:eastAsia="Calibri"/>
          <w:lang w:val="en-US"/>
        </w:rPr>
        <w:t>inscriptions</w:t>
      </w:r>
      <w:proofErr w:type="gramEnd"/>
      <w:r w:rsidRPr="004C30A7">
        <w:rPr>
          <w:rFonts w:eastAsia="Calibri"/>
          <w:lang w:val="en-US"/>
        </w:rPr>
        <w:t xml:space="preserve">, </w:t>
      </w:r>
      <w:r>
        <w:rPr>
          <w:rFonts w:eastAsia="Calibri"/>
          <w:lang w:val="en-US"/>
        </w:rPr>
        <w:t>I unfortunately</w:t>
      </w:r>
      <w:r w:rsidRPr="004C30A7">
        <w:rPr>
          <w:rFonts w:eastAsia="Calibri"/>
          <w:lang w:val="en-US"/>
        </w:rPr>
        <w:t xml:space="preserve"> </w:t>
      </w:r>
      <w:r>
        <w:rPr>
          <w:rFonts w:eastAsia="Calibri"/>
          <w:lang w:val="en-US"/>
        </w:rPr>
        <w:t>met some insurmountable obstacles</w:t>
      </w:r>
      <w:r w:rsidRPr="004C30A7">
        <w:rPr>
          <w:rFonts w:eastAsia="Calibri"/>
          <w:lang w:val="en-US"/>
        </w:rPr>
        <w:t xml:space="preserve">. On occasions where I could not contact inhabitants of houses where inscriptions were not visible from public paths (for example where new porches had been constructed, protecting and obscuring inscribed </w:t>
      </w:r>
      <w:proofErr w:type="gramStart"/>
      <w:r w:rsidRPr="004C30A7">
        <w:rPr>
          <w:rFonts w:eastAsia="Calibri"/>
          <w:lang w:val="en-US"/>
        </w:rPr>
        <w:t>façades</w:t>
      </w:r>
      <w:proofErr w:type="gramEnd"/>
      <w:r w:rsidRPr="004C30A7">
        <w:rPr>
          <w:rFonts w:eastAsia="Calibri"/>
          <w:lang w:val="en-US"/>
        </w:rPr>
        <w:t>, or where carv</w:t>
      </w:r>
      <w:r>
        <w:rPr>
          <w:rFonts w:eastAsia="Calibri"/>
          <w:lang w:val="en-US"/>
        </w:rPr>
        <w:t>ings</w:t>
      </w:r>
      <w:r w:rsidRPr="004C30A7">
        <w:rPr>
          <w:rFonts w:eastAsia="Calibri"/>
          <w:lang w:val="en-US"/>
        </w:rPr>
        <w:t xml:space="preserve"> had been repositioned either inside or at the rear of properties) I was forced to discount houses from my research. This impacted seven properties in Prestbury, reducing my sample to 29. Bolton-le-Sands was less affected,</w:t>
      </w:r>
      <w:r>
        <w:rPr>
          <w:rFonts w:eastAsia="Calibri"/>
          <w:lang w:val="en-US"/>
        </w:rPr>
        <w:t xml:space="preserve"> </w:t>
      </w:r>
      <w:r w:rsidRPr="004C30A7">
        <w:rPr>
          <w:rFonts w:eastAsia="Calibri"/>
          <w:lang w:val="en-US"/>
        </w:rPr>
        <w:t xml:space="preserve">since a strikingly high proportion of inscriptions have been included in a comprehensive gazetteer: </w:t>
      </w:r>
      <w:r w:rsidRPr="004C30A7">
        <w:rPr>
          <w:rFonts w:eastAsia="Calibri"/>
          <w:i/>
          <w:iCs/>
          <w:lang w:val="en-US"/>
        </w:rPr>
        <w:t>The Dated Buildings of South Lonsdale.</w:t>
      </w:r>
      <w:r w:rsidRPr="004C30A7">
        <w:rPr>
          <w:rFonts w:eastAsia="Calibri"/>
          <w:vertAlign w:val="superscript"/>
          <w:lang w:val="en-US"/>
        </w:rPr>
        <w:footnoteReference w:id="113"/>
      </w:r>
      <w:r w:rsidRPr="004C30A7">
        <w:rPr>
          <w:rFonts w:eastAsia="Calibri"/>
          <w:i/>
          <w:iCs/>
          <w:lang w:val="en-US"/>
        </w:rPr>
        <w:t xml:space="preserve"> </w:t>
      </w:r>
      <w:r>
        <w:rPr>
          <w:rFonts w:eastAsia="Calibri"/>
          <w:lang w:val="en-US"/>
        </w:rPr>
        <w:t xml:space="preserve">As mentioned above, this extensively researched publication by </w:t>
      </w:r>
      <w:r w:rsidRPr="004C30A7">
        <w:rPr>
          <w:rFonts w:eastAsia="Calibri"/>
          <w:lang w:val="en-US"/>
        </w:rPr>
        <w:t xml:space="preserve">Emmeline Garnett </w:t>
      </w:r>
      <w:r>
        <w:rPr>
          <w:rFonts w:eastAsia="Calibri"/>
          <w:lang w:val="en-US"/>
        </w:rPr>
        <w:t>includes a wealth</w:t>
      </w:r>
      <w:r w:rsidRPr="004C30A7">
        <w:rPr>
          <w:rFonts w:eastAsia="Calibri"/>
          <w:lang w:val="en-US"/>
        </w:rPr>
        <w:t xml:space="preserve"> </w:t>
      </w:r>
      <w:r w:rsidR="0034542B">
        <w:rPr>
          <w:rFonts w:eastAsia="Calibri"/>
          <w:lang w:val="en-US"/>
        </w:rPr>
        <w:t xml:space="preserve">of </w:t>
      </w:r>
      <w:r w:rsidRPr="004C30A7">
        <w:rPr>
          <w:rFonts w:eastAsia="Calibri"/>
          <w:lang w:val="en-US"/>
        </w:rPr>
        <w:t>brief but extensively researched historical summaries of dated inscriptions throughout the South Lonsdale</w:t>
      </w:r>
      <w:r>
        <w:rPr>
          <w:rFonts w:eastAsia="Calibri"/>
          <w:lang w:val="en-US"/>
        </w:rPr>
        <w:t xml:space="preserve"> hundred</w:t>
      </w:r>
      <w:r w:rsidRPr="004C30A7">
        <w:rPr>
          <w:rFonts w:eastAsia="Calibri"/>
          <w:lang w:val="en-US"/>
        </w:rPr>
        <w:t>, in which Bolton-le-Sands is located. Consequently, even where I was unable to access inscriptions myself, Garnett’s illustrations generally provided sufficient detail to still include houses within my research.</w:t>
      </w:r>
    </w:p>
    <w:p w14:paraId="03F281FB" w14:textId="77777777" w:rsidR="00EC1EEB" w:rsidRPr="001D00CE" w:rsidRDefault="00EC1EEB" w:rsidP="00C47014">
      <w:pPr>
        <w:spacing w:after="0" w:line="480" w:lineRule="auto"/>
        <w:ind w:firstLine="720"/>
        <w:jc w:val="both"/>
        <w:rPr>
          <w:rFonts w:eastAsia="Calibri"/>
          <w:lang w:val="en-US"/>
        </w:rPr>
      </w:pPr>
      <w:r w:rsidRPr="001D00CE">
        <w:rPr>
          <w:rFonts w:eastAsia="Calibri"/>
          <w:lang w:val="en-US"/>
        </w:rPr>
        <w:t>Having identified a wider source base of 54 homes in Bolton-le-Sands and 29 in Prestbury, I cross-referenced all surviving inscriptions with local parish registers. With many dated initials comprising three or four letters and therefore referencing both the forenames and shared surnames of married couples, it was possible to use marriage entries in the parish registers of nearby churches to identify couples who had commissioned inscriptions.</w:t>
      </w:r>
      <w:r w:rsidRPr="001D00CE">
        <w:rPr>
          <w:rFonts w:eastAsia="Calibri"/>
          <w:vertAlign w:val="superscript"/>
          <w:lang w:val="en-US"/>
        </w:rPr>
        <w:footnoteReference w:id="114"/>
      </w:r>
      <w:r w:rsidRPr="001D00CE">
        <w:rPr>
          <w:rFonts w:eastAsia="Calibri"/>
          <w:lang w:val="en-US"/>
        </w:rPr>
        <w:t xml:space="preserve"> This </w:t>
      </w:r>
      <w:r w:rsidRPr="001D00CE">
        <w:rPr>
          <w:rFonts w:eastAsia="Calibri"/>
          <w:lang w:val="en-US"/>
        </w:rPr>
        <w:lastRenderedPageBreak/>
        <w:t>method allowed me to connect many homes with specific families or couples</w:t>
      </w:r>
      <w:r>
        <w:rPr>
          <w:rFonts w:eastAsia="Calibri"/>
          <w:lang w:val="en-US"/>
        </w:rPr>
        <w:t>.</w:t>
      </w:r>
      <w:r w:rsidRPr="001D00CE">
        <w:rPr>
          <w:rFonts w:eastAsia="Calibri"/>
          <w:lang w:val="en-US"/>
        </w:rPr>
        <w:t xml:space="preserve"> </w:t>
      </w:r>
      <w:r>
        <w:rPr>
          <w:rFonts w:eastAsia="Calibri"/>
          <w:lang w:val="en-US"/>
        </w:rPr>
        <w:t>Nonetheless,</w:t>
      </w:r>
      <w:r w:rsidRPr="001D00CE">
        <w:rPr>
          <w:rFonts w:eastAsia="Calibri"/>
          <w:lang w:val="en-US"/>
        </w:rPr>
        <w:t xml:space="preserve"> owing to many gaps in parish register coverage, this was not always achievable.</w:t>
      </w:r>
      <w:r w:rsidRPr="001D00CE">
        <w:rPr>
          <w:rFonts w:eastAsia="Calibri"/>
          <w:vertAlign w:val="superscript"/>
          <w:lang w:val="en-US"/>
        </w:rPr>
        <w:footnoteReference w:id="115"/>
      </w:r>
      <w:r w:rsidRPr="001D00CE">
        <w:rPr>
          <w:rFonts w:eastAsia="Calibri"/>
          <w:lang w:val="en-US"/>
        </w:rPr>
        <w:t xml:space="preserve"> In response to this scarcity of sources, I created an additional ‘core sample’ within the wider sample of inscribed homes, selecting an equal number of properties from each parish where it was possible to determine the names of those responsible for inscriptions. The core sample included 20 houses (ten from Bolton-le-Sands and ten from Prestbury) connected with 38 inscribers (19 from each area)</w:t>
      </w:r>
      <w:r>
        <w:rPr>
          <w:rFonts w:eastAsia="Calibri"/>
          <w:lang w:val="en-US"/>
        </w:rPr>
        <w:t xml:space="preserve"> and will be introduced in full at the beginning of chapter two.</w:t>
      </w:r>
    </w:p>
    <w:p w14:paraId="097125E8" w14:textId="77777777" w:rsidR="00EC1EEB" w:rsidRDefault="00EC1EEB" w:rsidP="00C47014">
      <w:pPr>
        <w:spacing w:after="0" w:line="480" w:lineRule="auto"/>
        <w:ind w:firstLine="720"/>
        <w:jc w:val="both"/>
        <w:rPr>
          <w:rFonts w:eastAsia="Calibri"/>
          <w:lang w:val="en-US"/>
        </w:rPr>
      </w:pPr>
      <w:r w:rsidRPr="001D00CE">
        <w:rPr>
          <w:rFonts w:eastAsia="Calibri"/>
          <w:lang w:val="en-US"/>
        </w:rPr>
        <w:t xml:space="preserve">This thesis </w:t>
      </w:r>
      <w:proofErr w:type="gramStart"/>
      <w:r w:rsidRPr="001D00CE">
        <w:rPr>
          <w:rFonts w:eastAsia="Calibri"/>
          <w:lang w:val="en-US"/>
        </w:rPr>
        <w:t>engages</w:t>
      </w:r>
      <w:r>
        <w:rPr>
          <w:rFonts w:eastAsia="Calibri"/>
          <w:lang w:val="en-US"/>
        </w:rPr>
        <w:t xml:space="preserve"> </w:t>
      </w:r>
      <w:r w:rsidRPr="001D00CE">
        <w:rPr>
          <w:rFonts w:eastAsia="Calibri"/>
          <w:lang w:val="en-US"/>
        </w:rPr>
        <w:t>with</w:t>
      </w:r>
      <w:proofErr w:type="gramEnd"/>
      <w:r w:rsidRPr="001D00CE">
        <w:rPr>
          <w:rFonts w:eastAsia="Calibri"/>
          <w:lang w:val="en-US"/>
        </w:rPr>
        <w:t xml:space="preserve"> inscription practices at a variety of different levels. Inscriptions and inscribers in the core sample are investigated at the most granular level: as many written sources relating to them as possible have been collated, exhaustively researching the economic, social, material and life cycle circumstances surrounding </w:t>
      </w:r>
      <w:proofErr w:type="gramStart"/>
      <w:r w:rsidRPr="001D00CE">
        <w:rPr>
          <w:rFonts w:eastAsia="Calibri"/>
          <w:lang w:val="en-US"/>
        </w:rPr>
        <w:t>inscription</w:t>
      </w:r>
      <w:proofErr w:type="gramEnd"/>
      <w:r w:rsidRPr="001D00CE">
        <w:rPr>
          <w:rFonts w:eastAsia="Calibri"/>
          <w:lang w:val="en-US"/>
        </w:rPr>
        <w:t xml:space="preserve"> and building a deeper understanding of the different moments and meanings people commemorated in and upon their homes. The wider sample provides a broader lens for inscriptions, allowing for the exploration of different designs and iconographies and building a richer picture of the stylistic vocabulary surrounding engraved text and dates in both areas. Exploring each region at the parish level offers a means of understanding inscribers in context, seeing how they compared with neighbours and peers of similar social standing and situating them within their communities. Zooming out further and exploring the meanings attributed to inscriptions in contemporary print culture affords an opportunity to consider ideas about inscription in early modern England and how epigraphs compare with </w:t>
      </w:r>
      <w:r w:rsidRPr="001D00CE">
        <w:rPr>
          <w:rFonts w:eastAsia="Calibri"/>
          <w:lang w:val="en-US"/>
        </w:rPr>
        <w:lastRenderedPageBreak/>
        <w:t>wider perceptions of the relationship between the body and materiality in seventeenth- and eighteenth-century society.</w:t>
      </w:r>
    </w:p>
    <w:p w14:paraId="54C7FB73" w14:textId="77777777" w:rsidR="00EC1EEB" w:rsidRDefault="00EC1EEB" w:rsidP="00C47014">
      <w:pPr>
        <w:spacing w:after="0" w:line="480" w:lineRule="auto"/>
        <w:jc w:val="both"/>
        <w:rPr>
          <w:rFonts w:eastAsia="Calibri"/>
          <w:lang w:val="en-US"/>
        </w:rPr>
      </w:pPr>
    </w:p>
    <w:p w14:paraId="17065BE2" w14:textId="77777777" w:rsidR="00EC1EEB" w:rsidRDefault="00EC1EEB" w:rsidP="00C47014">
      <w:pPr>
        <w:spacing w:after="0" w:line="480" w:lineRule="auto"/>
        <w:jc w:val="both"/>
        <w:rPr>
          <w:rFonts w:eastAsia="Calibri"/>
          <w:b/>
          <w:bCs/>
          <w:lang w:val="en-US"/>
        </w:rPr>
      </w:pPr>
      <w:r>
        <w:rPr>
          <w:rFonts w:eastAsia="Calibri"/>
          <w:b/>
          <w:bCs/>
          <w:lang w:val="en-US"/>
        </w:rPr>
        <w:t>Argument and Chapter Structure</w:t>
      </w:r>
    </w:p>
    <w:p w14:paraId="69FFBAE0" w14:textId="77777777" w:rsidR="00EC1EEB" w:rsidRPr="00A93341" w:rsidRDefault="00EC1EEB" w:rsidP="00C47014">
      <w:pPr>
        <w:spacing w:after="0" w:line="480" w:lineRule="auto"/>
        <w:jc w:val="both"/>
        <w:rPr>
          <w:rFonts w:eastAsia="Calibri"/>
          <w:lang w:val="en-US"/>
        </w:rPr>
      </w:pPr>
      <w:r w:rsidRPr="00A93341">
        <w:rPr>
          <w:rFonts w:eastAsia="Calibri"/>
          <w:lang w:val="en-US"/>
        </w:rPr>
        <w:tab/>
      </w:r>
      <w:r>
        <w:rPr>
          <w:rFonts w:eastAsia="Calibri"/>
          <w:lang w:val="en-US"/>
        </w:rPr>
        <w:t>This thesis establishes that t</w:t>
      </w:r>
      <w:r w:rsidRPr="00A93341">
        <w:rPr>
          <w:rFonts w:eastAsia="Calibri"/>
          <w:lang w:val="en-US"/>
        </w:rPr>
        <w:t>hose who commissioned inscriptions upon the outsides of their homes in Bolton-le-Sands and Prestbury generally came from within the broad social group of the middling sorts. As a result, this is the group with which this thesis is primarily concerned. In distinguishing between the ‘degrees of people’ living in early modern England, Keith Wrightson has demonstrated how contemporary William Harrison understood the gentry as sitting atop the hierarchy, followed by the citizens and burgesses possessing the freedom of England’s cities, with the yeomen of the countryside beneath them, and at the bottom the labourers and servants seen as worthy only ‘to be ruled and not to rule other’.</w:t>
      </w:r>
      <w:r w:rsidRPr="00A93341">
        <w:rPr>
          <w:rFonts w:eastAsia="Calibri"/>
          <w:vertAlign w:val="superscript"/>
          <w:lang w:val="en-US"/>
        </w:rPr>
        <w:footnoteReference w:id="116"/>
      </w:r>
      <w:r w:rsidRPr="00A93341">
        <w:rPr>
          <w:rFonts w:eastAsia="Calibri"/>
          <w:lang w:val="en-US"/>
        </w:rPr>
        <w:t xml:space="preserve"> Harrison perceived differences in status depending on rural or urban life, and Wrightson confirms that social stratification differed according to local context, with ostensibly similar status groups possessing variable levels of wealth depending on where they lived.</w:t>
      </w:r>
      <w:r w:rsidRPr="00A93341">
        <w:rPr>
          <w:rFonts w:eastAsia="Calibri"/>
          <w:vertAlign w:val="superscript"/>
          <w:lang w:val="en-US"/>
        </w:rPr>
        <w:footnoteReference w:id="117"/>
      </w:r>
      <w:r w:rsidRPr="00A93341">
        <w:rPr>
          <w:rFonts w:eastAsia="Calibri"/>
          <w:lang w:val="en-US"/>
        </w:rPr>
        <w:t xml:space="preserve"> The eight townships considered across Bolton-le-Sands and Prestbury parishes were all rural in the 1650-1750 period examined here. All were either hamlets or villages but were within reach of market centres: as mentioned above, Bolton-le-Sands was just a short distance from Lancaster, while Prestbury parish included the growing market town of Macclesfield</w:t>
      </w:r>
      <w:r>
        <w:rPr>
          <w:rFonts w:eastAsia="Calibri"/>
          <w:lang w:val="en-US"/>
        </w:rPr>
        <w:t>,</w:t>
      </w:r>
      <w:r w:rsidRPr="00A93341">
        <w:rPr>
          <w:rFonts w:eastAsia="Calibri"/>
          <w:lang w:val="en-US"/>
        </w:rPr>
        <w:t xml:space="preserve"> which had a burgeoning silk trade and expanded considerably in the ensuing centuries.</w:t>
      </w:r>
      <w:r w:rsidRPr="00A93341">
        <w:rPr>
          <w:rFonts w:eastAsia="Calibri"/>
          <w:vertAlign w:val="superscript"/>
          <w:lang w:val="en-US"/>
        </w:rPr>
        <w:footnoteReference w:id="118"/>
      </w:r>
    </w:p>
    <w:p w14:paraId="12B1120C" w14:textId="6605FB7D" w:rsidR="00EC1EEB" w:rsidRPr="00A93341" w:rsidRDefault="00EC1EEB" w:rsidP="00C47014">
      <w:pPr>
        <w:spacing w:after="0" w:line="480" w:lineRule="auto"/>
        <w:jc w:val="both"/>
        <w:rPr>
          <w:rFonts w:eastAsia="Calibri"/>
          <w:lang w:val="en-US"/>
        </w:rPr>
      </w:pPr>
      <w:r w:rsidRPr="00A93341">
        <w:rPr>
          <w:rFonts w:eastAsia="Calibri"/>
          <w:lang w:val="en-US"/>
        </w:rPr>
        <w:lastRenderedPageBreak/>
        <w:tab/>
        <w:t>Although wealth is an important element of this discussion, understandings of the middling sorts in what follows are informed by status-based definitions put forward by Wrightson as well as Margaret Hunt, Henry R. French and Jonathan Barry and Christopher Brooks.</w:t>
      </w:r>
      <w:r w:rsidRPr="00A93341">
        <w:rPr>
          <w:rFonts w:eastAsia="Calibri"/>
          <w:vertAlign w:val="superscript"/>
          <w:lang w:val="en-US"/>
        </w:rPr>
        <w:footnoteReference w:id="119"/>
      </w:r>
      <w:r w:rsidRPr="00A93341">
        <w:rPr>
          <w:rFonts w:eastAsia="Calibri"/>
          <w:lang w:val="en-US"/>
        </w:rPr>
        <w:t xml:space="preserve"> Accounting for their breadth and diversity, the middling sorts are understood as ‘beneath the gentry but above the level of the </w:t>
      </w:r>
      <w:proofErr w:type="spellStart"/>
      <w:r w:rsidRPr="00A93341">
        <w:rPr>
          <w:rFonts w:eastAsia="Calibri"/>
          <w:lang w:val="en-US"/>
        </w:rPr>
        <w:t>labouring</w:t>
      </w:r>
      <w:proofErr w:type="spellEnd"/>
      <w:r w:rsidRPr="00A93341">
        <w:rPr>
          <w:rFonts w:eastAsia="Calibri"/>
          <w:lang w:val="en-US"/>
        </w:rPr>
        <w:t xml:space="preserve"> classes’, mostly working for a living but with a growing number supported ‘wholly or partially by rental income or other investments’.</w:t>
      </w:r>
      <w:r w:rsidRPr="00A93341">
        <w:rPr>
          <w:rFonts w:eastAsia="Calibri"/>
          <w:vertAlign w:val="superscript"/>
          <w:lang w:val="en-US"/>
        </w:rPr>
        <w:footnoteReference w:id="120"/>
      </w:r>
      <w:r w:rsidRPr="00A93341">
        <w:rPr>
          <w:rFonts w:eastAsia="Calibri"/>
          <w:lang w:val="en-US"/>
        </w:rPr>
        <w:t xml:space="preserve"> Notably, Barry and Brooks have also emphasised that although the middling sorts did have to ‘work for their income’, they generally worked for themselves rather than for anyone else, ‘rarely employed by others’.</w:t>
      </w:r>
      <w:r w:rsidRPr="00A93341">
        <w:rPr>
          <w:rFonts w:eastAsia="Calibri"/>
          <w:vertAlign w:val="superscript"/>
          <w:lang w:val="en-US"/>
        </w:rPr>
        <w:footnoteReference w:id="121"/>
      </w:r>
      <w:r w:rsidRPr="00A93341">
        <w:rPr>
          <w:rFonts w:eastAsia="Calibri"/>
          <w:lang w:val="en-US"/>
        </w:rPr>
        <w:t xml:space="preserve"> While Barry and Brooks have also described them as ‘neither very rich nor very poor’, Hunt has also suggested that most middling people had incomes between £50 and £2,000, with the ‘bulk’ concentrated among those earning between £80 and £150.</w:t>
      </w:r>
      <w:r w:rsidRPr="00A93341">
        <w:rPr>
          <w:rFonts w:eastAsia="Calibri"/>
          <w:vertAlign w:val="superscript"/>
          <w:lang w:val="en-US"/>
        </w:rPr>
        <w:footnoteReference w:id="122"/>
      </w:r>
      <w:r w:rsidRPr="00A93341">
        <w:rPr>
          <w:rFonts w:eastAsia="Calibri"/>
          <w:lang w:val="en-US"/>
        </w:rPr>
        <w:t xml:space="preserve"> In terms of actual occupations, here the middling sorts generally aligned with Weatherill’s understanding of them as comprising ‘the lesser gentry, professions, merchants, shopkeepers, farmers, yeomen, husbandmen, and craftsmen’, who Weatherill argues made up around half of all English households in the late</w:t>
      </w:r>
      <w:r w:rsidR="00ED10E2">
        <w:rPr>
          <w:rFonts w:eastAsia="Calibri"/>
          <w:lang w:val="en-US"/>
        </w:rPr>
        <w:t>-</w:t>
      </w:r>
      <w:r w:rsidRPr="00A93341">
        <w:rPr>
          <w:rFonts w:eastAsia="Calibri"/>
          <w:lang w:val="en-US"/>
        </w:rPr>
        <w:t>seventeenth century.</w:t>
      </w:r>
      <w:r w:rsidRPr="00A93341">
        <w:rPr>
          <w:rFonts w:eastAsia="Calibri"/>
          <w:vertAlign w:val="superscript"/>
          <w:lang w:val="en-US"/>
        </w:rPr>
        <w:footnoteReference w:id="123"/>
      </w:r>
    </w:p>
    <w:p w14:paraId="2E0E14B3" w14:textId="77777777" w:rsidR="00EC1EEB" w:rsidRDefault="00EC1EEB" w:rsidP="00C47014">
      <w:pPr>
        <w:spacing w:after="0" w:line="480" w:lineRule="auto"/>
        <w:jc w:val="both"/>
        <w:rPr>
          <w:rFonts w:eastAsia="Calibri"/>
        </w:rPr>
      </w:pPr>
      <w:r>
        <w:rPr>
          <w:rFonts w:eastAsia="Calibri"/>
        </w:rPr>
        <w:lastRenderedPageBreak/>
        <w:tab/>
      </w:r>
      <w:r w:rsidRPr="0033614C">
        <w:rPr>
          <w:rFonts w:eastAsia="Calibri"/>
        </w:rPr>
        <w:t>Th</w:t>
      </w:r>
      <w:r>
        <w:rPr>
          <w:rFonts w:eastAsia="Calibri"/>
        </w:rPr>
        <w:t>e first chapter of th</w:t>
      </w:r>
      <w:r w:rsidRPr="0033614C">
        <w:rPr>
          <w:rFonts w:eastAsia="Calibri"/>
        </w:rPr>
        <w:t>is thesis commences with an exploration of inscription practi</w:t>
      </w:r>
      <w:r>
        <w:rPr>
          <w:rFonts w:eastAsia="Calibri"/>
        </w:rPr>
        <w:t>c</w:t>
      </w:r>
      <w:r w:rsidRPr="0033614C">
        <w:rPr>
          <w:rFonts w:eastAsia="Calibri"/>
        </w:rPr>
        <w:t>es in contemporary print</w:t>
      </w:r>
      <w:r>
        <w:rPr>
          <w:rFonts w:eastAsia="Calibri"/>
        </w:rPr>
        <w:t xml:space="preserve"> and </w:t>
      </w:r>
      <w:r w:rsidRPr="0033614C">
        <w:rPr>
          <w:rFonts w:eastAsia="Calibri"/>
        </w:rPr>
        <w:t>examines</w:t>
      </w:r>
      <w:r>
        <w:rPr>
          <w:rFonts w:eastAsia="Calibri"/>
        </w:rPr>
        <w:t xml:space="preserve"> the wider cultural significance of inscription in early modern England. Informed by scholarship engaging with the meanings of individual words and concepts in early modern society, it examines how the terms ‘inscribe</w:t>
      </w:r>
      <w:proofErr w:type="gramStart"/>
      <w:r>
        <w:rPr>
          <w:rFonts w:eastAsia="Calibri"/>
        </w:rPr>
        <w:t>’</w:t>
      </w:r>
      <w:proofErr w:type="gramEnd"/>
      <w:r>
        <w:rPr>
          <w:rFonts w:eastAsia="Calibri"/>
        </w:rPr>
        <w:t xml:space="preserve"> and ‘inscription’ were used in printed texts.</w:t>
      </w:r>
      <w:r>
        <w:rPr>
          <w:rStyle w:val="FootnoteReference"/>
          <w:rFonts w:eastAsia="Calibri"/>
        </w:rPr>
        <w:footnoteReference w:id="124"/>
      </w:r>
      <w:r>
        <w:rPr>
          <w:rFonts w:eastAsia="Calibri"/>
        </w:rPr>
        <w:t xml:space="preserve"> It also examines how inscriptions were being discussed in contemporary publications, demonstrating that early modern authors consistently drew parallels between inscribing objects and buildings and inscribing the body. The chapter considers a wide range of genres spanning drama, advice literature, religious texts and antiquarian writings and argues that inscription was widely discussed in contemporary society. It also introduces some key themes that will be developed upon in relation to case study areas and specific examples, highlighting the discourse surrounding inscribed text as a reinforcement of emotions and interpersonal relationships and underscoring the perceived role of inscription practices in contemporary memory cultures.</w:t>
      </w:r>
    </w:p>
    <w:p w14:paraId="6D3CF5A9" w14:textId="77777777" w:rsidR="00EC1EEB" w:rsidRDefault="00EC1EEB" w:rsidP="00C47014">
      <w:pPr>
        <w:spacing w:after="0" w:line="480" w:lineRule="auto"/>
        <w:jc w:val="both"/>
        <w:rPr>
          <w:rFonts w:eastAsia="Calibri"/>
        </w:rPr>
      </w:pPr>
      <w:r>
        <w:rPr>
          <w:rFonts w:eastAsia="Calibri"/>
        </w:rPr>
        <w:tab/>
        <w:t xml:space="preserve">The second chapter moves from discussions of wider society in early modern England to a detailed exploration of townships in Bolton-le-Sands and Prestbury. Examining life among the middling sorts in both parishes, the chapter situates those who inscribed their homes within their wider communities, using hearth tax records, wills and inventories to investigate population, wealth, status, work, literacy and bequeathing practices. Comparing the two parishes with each other and comparing inscribers with their peers in each locality, the chapter demonstrates that the middling sorts in Bolton-le-Sands were poorer than in </w:t>
      </w:r>
      <w:r>
        <w:rPr>
          <w:rFonts w:eastAsia="Calibri"/>
        </w:rPr>
        <w:lastRenderedPageBreak/>
        <w:t>Prestbury, and that inscribers were consistently not the wealthiest group in both areas, conflicting with existing historiographical arguments. Based on high literacy rates in the two parishes and even higher rates among inscribers, the chapter also establishes that those who commissioned inscriptions were defining themselves through text, using epitaphs as a cultural symbol within a wide network of similarly literate peers. The chapter also delineates differences in bequeathing practices between the two localities, charting differences in land ownership that limited copyhold tenants in Prestbury but did not impact freehold occupants in Bolton-le-Sands. Crucially, this chapter argues that wealth was not the primary factor in inscription, demonstrating that inscribers were engaging in a complex practice shaped by the cultural meaning of literacy and the types of tenancies they held.</w:t>
      </w:r>
    </w:p>
    <w:p w14:paraId="56A93E0B" w14:textId="38786868" w:rsidR="00EC1EEB" w:rsidRDefault="00EC1EEB" w:rsidP="00C47014">
      <w:pPr>
        <w:spacing w:after="0" w:line="480" w:lineRule="auto"/>
        <w:jc w:val="both"/>
        <w:rPr>
          <w:rFonts w:eastAsia="Calibri"/>
        </w:rPr>
      </w:pPr>
      <w:r>
        <w:rPr>
          <w:rFonts w:eastAsia="Calibri"/>
        </w:rPr>
        <w:tab/>
        <w:t>The third chapter further develops these points by reconstructing</w:t>
      </w:r>
      <w:r w:rsidR="0096732D">
        <w:rPr>
          <w:rFonts w:eastAsia="Calibri"/>
        </w:rPr>
        <w:t>,</w:t>
      </w:r>
      <w:r>
        <w:rPr>
          <w:rFonts w:eastAsia="Calibri"/>
        </w:rPr>
        <w:t xml:space="preserve"> in as much detail as possible</w:t>
      </w:r>
      <w:r w:rsidR="0096732D">
        <w:rPr>
          <w:rFonts w:eastAsia="Calibri"/>
        </w:rPr>
        <w:t>,</w:t>
      </w:r>
      <w:r>
        <w:rPr>
          <w:rFonts w:eastAsia="Calibri"/>
        </w:rPr>
        <w:t xml:space="preserve"> the moment of inscription within the life cycles of inscribers. Using in-depth archival research spanning parish registers and probate materials, letters, tax records and legal depositions, as well as a range of admissions registers, the chapter traces the circumstances surrounding the addition of each inscription. It argues that</w:t>
      </w:r>
      <w:r w:rsidRPr="00EC5AAF">
        <w:rPr>
          <w:color w:val="000000"/>
          <w:shd w:val="clear" w:color="auto" w:fill="FFFFFF"/>
        </w:rPr>
        <w:t xml:space="preserve"> </w:t>
      </w:r>
      <w:r w:rsidRPr="00EC5AAF">
        <w:rPr>
          <w:rFonts w:eastAsia="Calibri"/>
        </w:rPr>
        <w:t>inscriptions were important physical symbols of marriage, cementing and displaying a couple’s union and their commitment to home and family. It shows how marriage initials performed key social functions, added to houses ahead of marriage to strengthen marriage contracts and used by single men to advertise their eligibility. It</w:t>
      </w:r>
      <w:r>
        <w:rPr>
          <w:rFonts w:eastAsia="Calibri"/>
        </w:rPr>
        <w:t xml:space="preserve"> also</w:t>
      </w:r>
      <w:r w:rsidRPr="00EC5AAF">
        <w:rPr>
          <w:rFonts w:eastAsia="Calibri"/>
        </w:rPr>
        <w:t xml:space="preserve"> shows that initials were used to mark tenancy changes, reinforcing property ownership or inheritance, and uses tenancy agreements to demonstrate that </w:t>
      </w:r>
      <w:r>
        <w:rPr>
          <w:rFonts w:eastAsia="Calibri"/>
        </w:rPr>
        <w:t>the vulnerability</w:t>
      </w:r>
      <w:r w:rsidRPr="00EC5AAF">
        <w:rPr>
          <w:rFonts w:eastAsia="Calibri"/>
        </w:rPr>
        <w:t xml:space="preserve"> </w:t>
      </w:r>
      <w:r>
        <w:rPr>
          <w:rFonts w:eastAsia="Calibri"/>
        </w:rPr>
        <w:t xml:space="preserve">of </w:t>
      </w:r>
      <w:r w:rsidRPr="00EC5AAF">
        <w:rPr>
          <w:rFonts w:eastAsia="Calibri"/>
        </w:rPr>
        <w:t>property tenure in Prestbury meant that many delayed adding initials to homes until confident the</w:t>
      </w:r>
      <w:r>
        <w:rPr>
          <w:rFonts w:eastAsia="Calibri"/>
        </w:rPr>
        <w:t xml:space="preserve">y </w:t>
      </w:r>
      <w:r w:rsidRPr="00EC5AAF">
        <w:rPr>
          <w:rFonts w:eastAsia="Calibri"/>
        </w:rPr>
        <w:t>would remain within their family.</w:t>
      </w:r>
      <w:r>
        <w:rPr>
          <w:rFonts w:eastAsia="Calibri"/>
        </w:rPr>
        <w:t xml:space="preserve"> The third chapter argues that inscriptions carved into the architectural fabric of domestic buildings facilitated </w:t>
      </w:r>
      <w:r w:rsidRPr="00C75EE1">
        <w:rPr>
          <w:rFonts w:eastAsia="Calibri"/>
        </w:rPr>
        <w:t xml:space="preserve">identity formation, the emotional reinforcement of key life cycle events, and the </w:t>
      </w:r>
      <w:r w:rsidRPr="00C75EE1">
        <w:rPr>
          <w:rFonts w:eastAsia="Calibri"/>
        </w:rPr>
        <w:lastRenderedPageBreak/>
        <w:t>establishment of a legacy.</w:t>
      </w:r>
      <w:r>
        <w:rPr>
          <w:rFonts w:eastAsia="Calibri"/>
        </w:rPr>
        <w:t xml:space="preserve"> Ultimately, it reveals that inscriptions were a social tool used by couples to transform a house into a home both for themselves and for subsequent generations.</w:t>
      </w:r>
    </w:p>
    <w:p w14:paraId="35BE0A55" w14:textId="77777777" w:rsidR="00EC1EEB" w:rsidRDefault="00EC1EEB" w:rsidP="00C47014">
      <w:pPr>
        <w:spacing w:after="0" w:line="480" w:lineRule="auto"/>
        <w:jc w:val="both"/>
        <w:rPr>
          <w:rFonts w:eastAsia="Calibri"/>
        </w:rPr>
      </w:pPr>
      <w:r>
        <w:rPr>
          <w:rFonts w:eastAsia="Calibri"/>
        </w:rPr>
        <w:tab/>
        <w:t xml:space="preserve">Chapter four examines household goods, inscriptions on objects inside homes, and the visual vocabulary used in epigraphs in Bolton-le-Sands and Prestbury. </w:t>
      </w:r>
      <w:r w:rsidRPr="00A95E6C">
        <w:rPr>
          <w:rFonts w:eastAsia="Calibri"/>
        </w:rPr>
        <w:t>Based on references to inscribed goods in wills and inventories</w:t>
      </w:r>
      <w:r>
        <w:rPr>
          <w:rFonts w:eastAsia="Calibri"/>
        </w:rPr>
        <w:t xml:space="preserve"> as well as </w:t>
      </w:r>
      <w:r w:rsidRPr="00A95E6C">
        <w:rPr>
          <w:rFonts w:eastAsia="Calibri"/>
        </w:rPr>
        <w:t xml:space="preserve">examples in museum collections, </w:t>
      </w:r>
      <w:r>
        <w:rPr>
          <w:rFonts w:eastAsia="Calibri"/>
        </w:rPr>
        <w:t>it</w:t>
      </w:r>
      <w:r w:rsidRPr="00A95E6C">
        <w:rPr>
          <w:rFonts w:eastAsia="Calibri"/>
        </w:rPr>
        <w:t xml:space="preserve"> argues that inscriptions transformed everyday objects into heirlooms and magnified interpersonal and emotional experiences.</w:t>
      </w:r>
      <w:r>
        <w:rPr>
          <w:rFonts w:eastAsia="Calibri"/>
        </w:rPr>
        <w:t xml:space="preserve"> Adopting a similar approach to the previous chapter in using archival sources to understand i</w:t>
      </w:r>
      <w:r w:rsidRPr="00F5446F">
        <w:rPr>
          <w:rFonts w:eastAsia="Calibri"/>
        </w:rPr>
        <w:t>nitialled objects</w:t>
      </w:r>
      <w:r>
        <w:rPr>
          <w:rFonts w:eastAsia="Calibri"/>
        </w:rPr>
        <w:t xml:space="preserve"> surviving inside standing buildings, this chapter </w:t>
      </w:r>
      <w:r w:rsidRPr="00F5446F">
        <w:rPr>
          <w:rFonts w:eastAsia="Calibri"/>
        </w:rPr>
        <w:t>contends that inscriptions turned houses into emotionally significant spaces.</w:t>
      </w:r>
      <w:r>
        <w:rPr>
          <w:rFonts w:eastAsia="Calibri"/>
        </w:rPr>
        <w:t xml:space="preserve"> </w:t>
      </w:r>
      <w:r w:rsidRPr="004B172B">
        <w:rPr>
          <w:rFonts w:eastAsia="Calibri"/>
        </w:rPr>
        <w:t xml:space="preserve">Examining inscriptions within and upon homes through an anthropological lens and tracing the meanings of constituent symbols and images, </w:t>
      </w:r>
      <w:r>
        <w:rPr>
          <w:rFonts w:eastAsia="Calibri"/>
        </w:rPr>
        <w:t>the final chapter</w:t>
      </w:r>
      <w:r w:rsidRPr="004B172B">
        <w:rPr>
          <w:rFonts w:eastAsia="Calibri"/>
        </w:rPr>
        <w:t xml:space="preserve"> </w:t>
      </w:r>
      <w:r>
        <w:rPr>
          <w:rFonts w:eastAsia="Calibri"/>
        </w:rPr>
        <w:t xml:space="preserve">also explores the meanings of different placements of inscriptions, </w:t>
      </w:r>
      <w:r w:rsidRPr="004B172B">
        <w:rPr>
          <w:rFonts w:eastAsia="Calibri"/>
        </w:rPr>
        <w:t>demonstrat</w:t>
      </w:r>
      <w:r>
        <w:rPr>
          <w:rFonts w:eastAsia="Calibri"/>
        </w:rPr>
        <w:t>ing</w:t>
      </w:r>
      <w:r w:rsidRPr="004B172B">
        <w:rPr>
          <w:rFonts w:eastAsia="Calibri"/>
        </w:rPr>
        <w:t xml:space="preserve"> </w:t>
      </w:r>
      <w:r>
        <w:rPr>
          <w:rFonts w:eastAsia="Calibri"/>
        </w:rPr>
        <w:t xml:space="preserve">how </w:t>
      </w:r>
      <w:r w:rsidRPr="004B172B">
        <w:rPr>
          <w:rFonts w:eastAsia="Calibri"/>
        </w:rPr>
        <w:t xml:space="preserve">superstitious and religious practices </w:t>
      </w:r>
      <w:r>
        <w:rPr>
          <w:rFonts w:eastAsia="Calibri"/>
        </w:rPr>
        <w:t xml:space="preserve">contributed to their significance. Ultimately this chapter contends </w:t>
      </w:r>
      <w:r w:rsidRPr="00E8297D">
        <w:rPr>
          <w:rFonts w:eastAsia="Calibri"/>
        </w:rPr>
        <w:t>that</w:t>
      </w:r>
      <w:r>
        <w:rPr>
          <w:rFonts w:eastAsia="Calibri"/>
        </w:rPr>
        <w:t>,</w:t>
      </w:r>
      <w:r w:rsidRPr="00E8297D">
        <w:rPr>
          <w:rFonts w:eastAsia="Calibri"/>
        </w:rPr>
        <w:t xml:space="preserve"> </w:t>
      </w:r>
      <w:r>
        <w:rPr>
          <w:rFonts w:eastAsia="Calibri"/>
        </w:rPr>
        <w:t xml:space="preserve">whether on objects or buildings, </w:t>
      </w:r>
      <w:r w:rsidRPr="00E8297D">
        <w:rPr>
          <w:rFonts w:eastAsia="Calibri"/>
        </w:rPr>
        <w:t>inscriptions were loci of emotion, reinforcing relationships and memories.</w:t>
      </w:r>
    </w:p>
    <w:p w14:paraId="569F2CA7" w14:textId="6E2F65F5" w:rsidR="00EC1EEB" w:rsidRPr="000F32D8" w:rsidRDefault="00EC1EEB" w:rsidP="00C47014">
      <w:pPr>
        <w:spacing w:after="0" w:line="480" w:lineRule="auto"/>
        <w:jc w:val="both"/>
        <w:rPr>
          <w:rFonts w:eastAsia="Calibri"/>
        </w:rPr>
      </w:pPr>
      <w:r>
        <w:rPr>
          <w:rFonts w:eastAsia="Calibri"/>
        </w:rPr>
        <w:tab/>
        <w:t>While marital inscriptions were prevalent in early modern England, contemporary sources were mostly silent on the uses and meanings of the marriage initials common among them. In recognising the extent to which early modern marriage was a material and social practice, this thesis demonstrates the role of inscriptions in sustaining marriage, engendering a sense of legacy and shared identity, and allowing couples to shape their understandings of themselves and their lives together within, and in relation to, the marital home</w:t>
      </w:r>
      <w:r w:rsidR="00E4140E">
        <w:rPr>
          <w:rFonts w:eastAsia="Calibri"/>
        </w:rPr>
        <w:t>.</w:t>
      </w:r>
    </w:p>
    <w:p w14:paraId="3CFC221D" w14:textId="77777777" w:rsidR="00E4140E" w:rsidRDefault="00E4140E" w:rsidP="00E4140E">
      <w:pPr>
        <w:spacing w:after="0" w:line="480" w:lineRule="auto"/>
        <w:rPr>
          <w:rFonts w:cs="Calibri"/>
          <w:b/>
          <w:sz w:val="32"/>
          <w:szCs w:val="32"/>
          <w:u w:val="single"/>
        </w:rPr>
        <w:sectPr w:rsidR="00E4140E" w:rsidSect="002376E8">
          <w:footerReference w:type="default" r:id="rId9"/>
          <w:pgSz w:w="11906" w:h="16838"/>
          <w:pgMar w:top="1440" w:right="1440" w:bottom="1440" w:left="1440" w:header="720" w:footer="720" w:gutter="0"/>
          <w:pgNumType w:start="1"/>
          <w:cols w:space="720"/>
          <w:docGrid w:linePitch="360"/>
        </w:sectPr>
      </w:pPr>
    </w:p>
    <w:p w14:paraId="30D46FEA" w14:textId="4D10D724" w:rsidR="00F8582D" w:rsidRPr="00F8582D" w:rsidRDefault="00F8582D" w:rsidP="00E4140E">
      <w:pPr>
        <w:spacing w:after="0" w:line="480" w:lineRule="auto"/>
        <w:rPr>
          <w:rFonts w:cs="Calibri"/>
          <w:b/>
          <w:sz w:val="32"/>
          <w:szCs w:val="32"/>
          <w:u w:val="single"/>
        </w:rPr>
      </w:pPr>
      <w:r w:rsidRPr="00F8582D">
        <w:rPr>
          <w:rFonts w:cs="Calibri"/>
          <w:b/>
          <w:sz w:val="32"/>
          <w:szCs w:val="32"/>
          <w:u w:val="single"/>
        </w:rPr>
        <w:lastRenderedPageBreak/>
        <w:t xml:space="preserve">Chapter </w:t>
      </w:r>
      <w:r w:rsidR="00A91753">
        <w:rPr>
          <w:rFonts w:cs="Calibri"/>
          <w:b/>
          <w:sz w:val="32"/>
          <w:szCs w:val="32"/>
          <w:u w:val="single"/>
        </w:rPr>
        <w:t>One</w:t>
      </w:r>
      <w:r w:rsidRPr="00F8582D">
        <w:rPr>
          <w:rFonts w:cs="Calibri"/>
          <w:b/>
          <w:sz w:val="32"/>
          <w:szCs w:val="32"/>
          <w:u w:val="single"/>
        </w:rPr>
        <w:t>: Inscription Culture: Inscri</w:t>
      </w:r>
      <w:r w:rsidR="00314356">
        <w:rPr>
          <w:rFonts w:cs="Calibri"/>
          <w:b/>
          <w:sz w:val="32"/>
          <w:szCs w:val="32"/>
          <w:u w:val="single"/>
        </w:rPr>
        <w:t>bed</w:t>
      </w:r>
      <w:r w:rsidRPr="00F8582D">
        <w:rPr>
          <w:rFonts w:cs="Calibri"/>
          <w:b/>
          <w:sz w:val="32"/>
          <w:szCs w:val="32"/>
          <w:u w:val="single"/>
        </w:rPr>
        <w:t xml:space="preserve"> Building</w:t>
      </w:r>
      <w:r w:rsidR="00314356">
        <w:rPr>
          <w:rFonts w:cs="Calibri"/>
          <w:b/>
          <w:sz w:val="32"/>
          <w:szCs w:val="32"/>
          <w:u w:val="single"/>
        </w:rPr>
        <w:t>s</w:t>
      </w:r>
      <w:r w:rsidRPr="00F8582D">
        <w:rPr>
          <w:rFonts w:cs="Calibri"/>
          <w:b/>
          <w:sz w:val="32"/>
          <w:szCs w:val="32"/>
          <w:u w:val="single"/>
        </w:rPr>
        <w:t xml:space="preserve"> and Objects in </w:t>
      </w:r>
      <w:r w:rsidR="00314356">
        <w:rPr>
          <w:rFonts w:cs="Calibri"/>
          <w:b/>
          <w:sz w:val="32"/>
          <w:szCs w:val="32"/>
          <w:u w:val="single"/>
        </w:rPr>
        <w:t>Early Modern England</w:t>
      </w:r>
    </w:p>
    <w:p w14:paraId="60D63993" w14:textId="77777777" w:rsidR="00F81D5C" w:rsidRDefault="00F8582D" w:rsidP="00F8582D">
      <w:pPr>
        <w:spacing w:after="0" w:line="480" w:lineRule="auto"/>
        <w:jc w:val="both"/>
        <w:rPr>
          <w:rFonts w:cs="Calibri"/>
          <w:b/>
        </w:rPr>
      </w:pPr>
      <w:r w:rsidRPr="00F8582D">
        <w:rPr>
          <w:rFonts w:cs="Calibri"/>
          <w:b/>
        </w:rPr>
        <w:t>Introduction</w:t>
      </w:r>
    </w:p>
    <w:p w14:paraId="30CF5FEA" w14:textId="192F587A" w:rsidR="003B4249" w:rsidRPr="003B4249" w:rsidRDefault="003B4249" w:rsidP="003B4249">
      <w:pPr>
        <w:spacing w:after="0" w:line="480" w:lineRule="auto"/>
        <w:ind w:firstLine="720"/>
        <w:jc w:val="both"/>
      </w:pPr>
      <w:r w:rsidRPr="003B4249">
        <w:t>In the twenty-first century, inscriptions are broadly understood as ‘a set of characters or words written, engraved, or otherwise traced upon a surface’.</w:t>
      </w:r>
      <w:r w:rsidRPr="003B4249">
        <w:rPr>
          <w:vertAlign w:val="superscript"/>
        </w:rPr>
        <w:footnoteReference w:id="125"/>
      </w:r>
      <w:r w:rsidRPr="003B4249">
        <w:t xml:space="preserve"> The </w:t>
      </w:r>
      <w:r w:rsidRPr="003B4249">
        <w:rPr>
          <w:i/>
          <w:iCs/>
        </w:rPr>
        <w:t xml:space="preserve">Oxford English Dictionary </w:t>
      </w:r>
      <w:r w:rsidRPr="003B4249">
        <w:t>states that common surfaces for inscriptions include monuments, buildings, stones, tablets, medals, coins and vases, as well as the inner covers of books and other compositions.</w:t>
      </w:r>
      <w:r w:rsidRPr="003B4249">
        <w:rPr>
          <w:vertAlign w:val="superscript"/>
        </w:rPr>
        <w:footnoteReference w:id="126"/>
      </w:r>
      <w:r w:rsidRPr="003B4249">
        <w:t xml:space="preserve"> While most definitions represent inscription as a descriptive or dedicatory act, providing a ‘record’ for posterity, one modern definition also carries bodily connotations, with ‘inscription’ used in anatomy to describe one internal organ coming into contact with another.</w:t>
      </w:r>
      <w:r w:rsidRPr="003B4249">
        <w:rPr>
          <w:vertAlign w:val="superscript"/>
        </w:rPr>
        <w:footnoteReference w:id="127"/>
      </w:r>
      <w:r w:rsidRPr="003B4249">
        <w:t xml:space="preserve"> Comparable bodily associations are visible in early modern dictionaries. Compiled in 1708 by John Kersey, the </w:t>
      </w:r>
      <w:r w:rsidRPr="003B4249">
        <w:rPr>
          <w:i/>
          <w:iCs/>
        </w:rPr>
        <w:t>Dictionarium Anglo-</w:t>
      </w:r>
      <w:proofErr w:type="spellStart"/>
      <w:r w:rsidRPr="003B4249">
        <w:rPr>
          <w:i/>
          <w:iCs/>
        </w:rPr>
        <w:t>Britannicum</w:t>
      </w:r>
      <w:proofErr w:type="spellEnd"/>
      <w:r w:rsidRPr="003B4249">
        <w:rPr>
          <w:i/>
          <w:iCs/>
        </w:rPr>
        <w:t xml:space="preserve"> </w:t>
      </w:r>
      <w:r w:rsidRPr="003B4249">
        <w:t xml:space="preserve">defined </w:t>
      </w:r>
      <w:r w:rsidR="00605898">
        <w:t xml:space="preserve">an </w:t>
      </w:r>
      <w:r w:rsidRPr="003B4249">
        <w:t xml:space="preserve">‘Inscription’ as ‘a Title, Name, or Character, written or </w:t>
      </w:r>
      <w:proofErr w:type="spellStart"/>
      <w:r w:rsidRPr="003B4249">
        <w:t>engraven</w:t>
      </w:r>
      <w:proofErr w:type="spellEnd"/>
      <w:r w:rsidRPr="003B4249">
        <w:t xml:space="preserve"> upon </w:t>
      </w:r>
      <w:proofErr w:type="spellStart"/>
      <w:r w:rsidRPr="003B4249">
        <w:t>any thing</w:t>
      </w:r>
      <w:proofErr w:type="spellEnd"/>
      <w:r w:rsidRPr="003B4249">
        <w:t>’.</w:t>
      </w:r>
      <w:r w:rsidRPr="003B4249">
        <w:rPr>
          <w:vertAlign w:val="superscript"/>
        </w:rPr>
        <w:footnoteReference w:id="128"/>
      </w:r>
      <w:r w:rsidRPr="003B4249">
        <w:t xml:space="preserve"> As this entry suggests, ‘inscribe’ was used almost interchangeably with ‘engrave’ in the early modern period. Another entry defined ‘Imprint’ as ‘to engrave or fix a thing in one’s mind’, and this chapter will demonstrate how, in early modern England, ‘inscribe’ and ‘engrave’ were understood as actions that could be performed on or within the body, whether in material or metaphorical terms.</w:t>
      </w:r>
      <w:r w:rsidRPr="003B4249">
        <w:rPr>
          <w:vertAlign w:val="superscript"/>
        </w:rPr>
        <w:footnoteReference w:id="129"/>
      </w:r>
      <w:r w:rsidRPr="003B4249">
        <w:t xml:space="preserve"> It will chart the connections that contemporaries perceived between inscribing text upon material culture </w:t>
      </w:r>
      <w:r w:rsidRPr="003B4249">
        <w:lastRenderedPageBreak/>
        <w:t xml:space="preserve">and the built environment and simultaneous processes of inscribing the flesh, mind and soul, exploring the role of engraved text in shaping emotions, memories and faith. </w:t>
      </w:r>
    </w:p>
    <w:p w14:paraId="31DA2E49" w14:textId="6F52B36D" w:rsidR="00787A9C" w:rsidRDefault="00787A9C" w:rsidP="00787A9C">
      <w:pPr>
        <w:spacing w:after="0" w:line="480" w:lineRule="auto"/>
        <w:ind w:firstLine="720"/>
        <w:jc w:val="both"/>
      </w:pPr>
      <w:r w:rsidRPr="0037560B">
        <w:t>This chapter examines the use of the words ‘inscribe’, ‘inscription’, ‘engrave’ and ‘engraving’ in early modern Engl</w:t>
      </w:r>
      <w:r>
        <w:t>ish printed books</w:t>
      </w:r>
      <w:r w:rsidRPr="0037560B">
        <w:t xml:space="preserve">. </w:t>
      </w:r>
      <w:r>
        <w:t>I</w:t>
      </w:r>
      <w:r w:rsidRPr="0037560B">
        <w:t>t does not deal with inscribed homes in Bolton-le-Sands and Prestbury directly</w:t>
      </w:r>
      <w:r w:rsidR="003D5D88">
        <w:t xml:space="preserve"> but instead </w:t>
      </w:r>
      <w:r w:rsidR="003E759C">
        <w:t>work</w:t>
      </w:r>
      <w:r w:rsidR="003D5D88">
        <w:t>s</w:t>
      </w:r>
      <w:r w:rsidR="003E759C">
        <w:t xml:space="preserve"> </w:t>
      </w:r>
      <w:r w:rsidRPr="0037560B">
        <w:t xml:space="preserve">with early modern </w:t>
      </w:r>
      <w:r>
        <w:t>print</w:t>
      </w:r>
      <w:r w:rsidR="003D5D88">
        <w:t xml:space="preserve"> to</w:t>
      </w:r>
      <w:r w:rsidRPr="0037560B">
        <w:t xml:space="preserve"> investigate the contemporary paradigm which rendered inscriptions (and the practices </w:t>
      </w:r>
      <w:r>
        <w:t xml:space="preserve">that </w:t>
      </w:r>
      <w:r w:rsidRPr="0037560B">
        <w:t>produc</w:t>
      </w:r>
      <w:r>
        <w:t>ed</w:t>
      </w:r>
      <w:r w:rsidRPr="0037560B">
        <w:t xml:space="preserve"> them) </w:t>
      </w:r>
      <w:r w:rsidR="00901202">
        <w:t>significant</w:t>
      </w:r>
      <w:r w:rsidRPr="0037560B">
        <w:t>.</w:t>
      </w:r>
      <w:r w:rsidR="009C0B24">
        <w:t xml:space="preserve"> In so doing, it interrogates the meanings people living in Bolton-le-Sands and Prestbury may have attached to text engraved upon their properties and possessions</w:t>
      </w:r>
      <w:r w:rsidR="000E7A8E">
        <w:t xml:space="preserve">, </w:t>
      </w:r>
      <w:r w:rsidR="0081191B">
        <w:t xml:space="preserve">informing </w:t>
      </w:r>
      <w:r w:rsidR="00E47FB1">
        <w:t>analysis</w:t>
      </w:r>
      <w:r w:rsidR="0081191B">
        <w:t xml:space="preserve"> in</w:t>
      </w:r>
      <w:r w:rsidR="000E7A8E">
        <w:t xml:space="preserve"> later chapters</w:t>
      </w:r>
      <w:r w:rsidR="009C0B24">
        <w:t>.</w:t>
      </w:r>
      <w:r w:rsidRPr="0037560B">
        <w:t xml:space="preserve"> Crucially, this chapter demonstrates </w:t>
      </w:r>
      <w:r>
        <w:t>that inscriptions were widely discussed in contemporary society</w:t>
      </w:r>
      <w:r w:rsidR="00E93B8D">
        <w:t>. Moreover, it highlights how</w:t>
      </w:r>
      <w:r w:rsidRPr="0037560B">
        <w:t xml:space="preserve"> text inscribed </w:t>
      </w:r>
      <w:r>
        <w:t>up</w:t>
      </w:r>
      <w:r w:rsidRPr="0037560B">
        <w:t>on objects and buildings was understood as capable of acting upon the human body, which could itself be ‘</w:t>
      </w:r>
      <w:proofErr w:type="spellStart"/>
      <w:r w:rsidRPr="0037560B">
        <w:t>engraven</w:t>
      </w:r>
      <w:proofErr w:type="spellEnd"/>
      <w:r w:rsidRPr="0037560B">
        <w:t>’.</w:t>
      </w:r>
    </w:p>
    <w:p w14:paraId="1A2E8276" w14:textId="77777777" w:rsidR="00787A9C" w:rsidRDefault="00787A9C" w:rsidP="00787A9C">
      <w:pPr>
        <w:spacing w:after="0" w:line="480" w:lineRule="auto"/>
        <w:ind w:firstLine="720"/>
        <w:jc w:val="both"/>
      </w:pPr>
      <w:r w:rsidRPr="003B4249">
        <w:t>Often present within published descriptions of the engraved body was the heart, which Michael Stolberg has emphasised was the ‘principal site’ of early modern emotion.</w:t>
      </w:r>
      <w:r w:rsidRPr="003B4249">
        <w:rPr>
          <w:vertAlign w:val="superscript"/>
        </w:rPr>
        <w:footnoteReference w:id="130"/>
      </w:r>
      <w:r w:rsidRPr="003B4249">
        <w:t xml:space="preserve"> Contemporaries believed that that the heart was animated both by ever-moving ‘hot vital spirits’ that invigorated the body, and by the ‘ephemeral affective movement’ of changing emotions.</w:t>
      </w:r>
      <w:r w:rsidRPr="003B4249">
        <w:rPr>
          <w:vertAlign w:val="superscript"/>
        </w:rPr>
        <w:footnoteReference w:id="131"/>
      </w:r>
      <w:r w:rsidRPr="003B4249">
        <w:t xml:space="preserve"> Pulled between these two beliefs, Katie Barclay and Bronwyn Reddan have emphasised that the early modern heart had an ‘instability of meaning’, functioning ‘physiologically as emotion was directed as corporeal experience, and metaphorically as a structure of self’.</w:t>
      </w:r>
      <w:r w:rsidRPr="003B4249">
        <w:rPr>
          <w:vertAlign w:val="superscript"/>
        </w:rPr>
        <w:footnoteReference w:id="132"/>
      </w:r>
      <w:r w:rsidRPr="003B4249">
        <w:t xml:space="preserve"> Just as the body </w:t>
      </w:r>
      <w:r>
        <w:t xml:space="preserve">itself </w:t>
      </w:r>
      <w:r w:rsidRPr="003B4249">
        <w:t xml:space="preserve">was believed to be ‘relatively open, relatively permeable’, </w:t>
      </w:r>
      <w:r>
        <w:t>subject to</w:t>
      </w:r>
      <w:r w:rsidRPr="003B4249">
        <w:t xml:space="preserve"> changes in environment, weather, diet and the cosmos itself, so too </w:t>
      </w:r>
      <w:r w:rsidRPr="003B4249">
        <w:lastRenderedPageBreak/>
        <w:t>was the heart perceived as ‘porous’, capable of</w:t>
      </w:r>
      <w:r>
        <w:t xml:space="preserve"> receiving and</w:t>
      </w:r>
      <w:r w:rsidRPr="003B4249">
        <w:t xml:space="preserve"> containing a host of input spanning the written word, religious teachings, memories and emotions.</w:t>
      </w:r>
      <w:r w:rsidRPr="003B4249">
        <w:rPr>
          <w:vertAlign w:val="superscript"/>
        </w:rPr>
        <w:footnoteReference w:id="133"/>
      </w:r>
      <w:r w:rsidRPr="003B4249">
        <w:t xml:space="preserve"> All of these understandings are tangible in the books discussed below.</w:t>
      </w:r>
    </w:p>
    <w:p w14:paraId="054F977A" w14:textId="77777777" w:rsidR="00787A9C" w:rsidRDefault="00787A9C" w:rsidP="00787A9C">
      <w:pPr>
        <w:spacing w:after="0" w:line="480" w:lineRule="auto"/>
        <w:ind w:firstLine="720"/>
        <w:jc w:val="both"/>
      </w:pPr>
      <w:r>
        <w:t>E</w:t>
      </w:r>
      <w:r w:rsidRPr="003B4249">
        <w:t>arly modern writers often referred to the body in simultaneously material and either spiritual or metaphorical terms</w:t>
      </w:r>
      <w:r>
        <w:t>. Consequently,</w:t>
      </w:r>
      <w:r w:rsidRPr="003B4249">
        <w:t xml:space="preserve"> </w:t>
      </w:r>
      <w:r>
        <w:t>the following discussion adopts a</w:t>
      </w:r>
      <w:r w:rsidRPr="003B4249">
        <w:t xml:space="preserve">n expansive approach to the body. While the body and soul were </w:t>
      </w:r>
      <w:r>
        <w:t xml:space="preserve">generally </w:t>
      </w:r>
      <w:r w:rsidRPr="003B4249">
        <w:t xml:space="preserve">regarded as separate, the </w:t>
      </w:r>
      <w:r>
        <w:t>belief</w:t>
      </w:r>
      <w:r w:rsidRPr="003B4249">
        <w:t xml:space="preserve"> that ‘the body was determined, ultimately, by the soul’ was widely accepted among educated people between 1550 and 1700.</w:t>
      </w:r>
      <w:r w:rsidRPr="003B4249">
        <w:rPr>
          <w:vertAlign w:val="superscript"/>
        </w:rPr>
        <w:footnoteReference w:id="134"/>
      </w:r>
      <w:r w:rsidRPr="003B4249">
        <w:t xml:space="preserve"> Richard Sugg has argued that ‘the soul was responsible not just for the most obvious senses, such as sight and hearing, but for the entire unity of mind, will and bodily motion’.</w:t>
      </w:r>
      <w:r w:rsidRPr="003B4249">
        <w:rPr>
          <w:vertAlign w:val="superscript"/>
        </w:rPr>
        <w:footnoteReference w:id="135"/>
      </w:r>
      <w:r w:rsidRPr="003B4249">
        <w:t xml:space="preserve"> </w:t>
      </w:r>
      <w:r>
        <w:t>Correspondingly</w:t>
      </w:r>
      <w:r w:rsidRPr="003B4249">
        <w:t>, discussions of ‘the body’ throughout this chapter are consistently entwined with ideas about the mind, soul and spirit which, as will be seen, were al</w:t>
      </w:r>
      <w:r>
        <w:t>l</w:t>
      </w:r>
      <w:r w:rsidRPr="003B4249">
        <w:t xml:space="preserve"> frequently depicted as surfaces ripe for inscription. Most </w:t>
      </w:r>
      <w:r>
        <w:t>texts</w:t>
      </w:r>
      <w:r w:rsidRPr="003B4249">
        <w:t xml:space="preserve"> considered did not delineate any boundaries between these</w:t>
      </w:r>
      <w:r>
        <w:t xml:space="preserve"> different</w:t>
      </w:r>
      <w:r w:rsidRPr="003B4249">
        <w:t xml:space="preserve"> elements. Rather than doing so here, the primary focus is on the centrality of inscriptions in contemporary </w:t>
      </w:r>
      <w:r>
        <w:t xml:space="preserve">print, </w:t>
      </w:r>
      <w:r w:rsidRPr="003B4249">
        <w:t>using discourse involving inscriptions to understand how contemporaries conceived of the relationship between inscribed material culture on the one hand, and people on the other.</w:t>
      </w:r>
    </w:p>
    <w:p w14:paraId="5972D60C" w14:textId="7001B536" w:rsidR="00787A9C" w:rsidRDefault="00787A9C" w:rsidP="00787A9C">
      <w:pPr>
        <w:spacing w:after="0" w:line="480" w:lineRule="auto"/>
        <w:ind w:firstLine="720"/>
        <w:jc w:val="both"/>
      </w:pPr>
      <w:r>
        <w:t>Placing i</w:t>
      </w:r>
      <w:r w:rsidRPr="00CE7359">
        <w:t>nscri</w:t>
      </w:r>
      <w:r>
        <w:t>ptions upon</w:t>
      </w:r>
      <w:r w:rsidRPr="00CE7359">
        <w:t xml:space="preserve"> objects and buildings </w:t>
      </w:r>
      <w:r>
        <w:t>w</w:t>
      </w:r>
      <w:r w:rsidRPr="00CE7359">
        <w:t xml:space="preserve">as a material and social practice conditioned by a long history. </w:t>
      </w:r>
      <w:r>
        <w:t xml:space="preserve">In </w:t>
      </w:r>
      <w:r w:rsidRPr="002F25DF">
        <w:t>early modern England</w:t>
      </w:r>
      <w:r>
        <w:t>,</w:t>
      </w:r>
      <w:r w:rsidRPr="002F25DF">
        <w:t xml:space="preserve"> the built environment was replete with inscriptions made in the previous 1200 years, added during the Roman occupation of Britain and thereafter</w:t>
      </w:r>
      <w:r>
        <w:t xml:space="preserve">. </w:t>
      </w:r>
      <w:r w:rsidRPr="001E2966">
        <w:t>Early modern authors understood themselves as both inheritors and protectors of an inscribed landscape</w:t>
      </w:r>
      <w:r>
        <w:t xml:space="preserve"> and</w:t>
      </w:r>
      <w:r w:rsidRPr="001E2966">
        <w:t xml:space="preserve"> inscriptions form</w:t>
      </w:r>
      <w:r>
        <w:t>ed</w:t>
      </w:r>
      <w:r w:rsidRPr="001E2966">
        <w:t xml:space="preserve"> the backbone of many </w:t>
      </w:r>
      <w:r w:rsidRPr="001E2966">
        <w:lastRenderedPageBreak/>
        <w:t>antiquarian texts, mined by the historians of the age for information on the distant and more recent past</w:t>
      </w:r>
      <w:r>
        <w:t>.</w:t>
      </w:r>
      <w:r>
        <w:rPr>
          <w:rStyle w:val="FootnoteReference"/>
        </w:rPr>
        <w:footnoteReference w:id="136"/>
      </w:r>
      <w:r>
        <w:t xml:space="preserve"> I</w:t>
      </w:r>
      <w:r w:rsidRPr="002951F7">
        <w:t>n the wake of the Reformation</w:t>
      </w:r>
      <w:r>
        <w:t>,</w:t>
      </w:r>
      <w:r w:rsidRPr="002951F7">
        <w:t xml:space="preserve"> Protestant emphas</w:t>
      </w:r>
      <w:r>
        <w:t xml:space="preserve">es </w:t>
      </w:r>
      <w:r w:rsidRPr="002951F7">
        <w:t xml:space="preserve">on the </w:t>
      </w:r>
      <w:r>
        <w:t>W</w:t>
      </w:r>
      <w:r w:rsidRPr="002951F7">
        <w:t xml:space="preserve">ord of God </w:t>
      </w:r>
      <w:r w:rsidR="000E18EF">
        <w:t>went hand-in-hand with</w:t>
      </w:r>
      <w:r w:rsidRPr="002951F7">
        <w:t xml:space="preserve"> an enthusiasm for distancing faith from its previously</w:t>
      </w:r>
      <w:r>
        <w:t xml:space="preserve"> </w:t>
      </w:r>
      <w:r w:rsidRPr="002951F7">
        <w:t>heavily</w:t>
      </w:r>
      <w:r>
        <w:t>-</w:t>
      </w:r>
      <w:r w:rsidRPr="002951F7">
        <w:t>ritualised Catholic trappings</w:t>
      </w:r>
      <w:r w:rsidR="000E18EF">
        <w:t>.</w:t>
      </w:r>
      <w:r w:rsidR="000E18EF">
        <w:rPr>
          <w:rStyle w:val="FootnoteReference"/>
        </w:rPr>
        <w:footnoteReference w:id="137"/>
      </w:r>
      <w:r>
        <w:t xml:space="preserve"> </w:t>
      </w:r>
      <w:r w:rsidR="000E18EF">
        <w:t>In this context,</w:t>
      </w:r>
      <w:r>
        <w:t xml:space="preserve"> Scott </w:t>
      </w:r>
      <w:proofErr w:type="spellStart"/>
      <w:r>
        <w:t>Newstok</w:t>
      </w:r>
      <w:proofErr w:type="spellEnd"/>
      <w:r>
        <w:t xml:space="preserve"> </w:t>
      </w:r>
      <w:r w:rsidRPr="00DD0AB6">
        <w:t>has argued that text replaced ritual as the primary vessel of meaning</w:t>
      </w:r>
      <w:r>
        <w:t>.</w:t>
      </w:r>
      <w:r w:rsidR="00EC1708">
        <w:rPr>
          <w:rStyle w:val="FootnoteReference"/>
        </w:rPr>
        <w:footnoteReference w:id="138"/>
      </w:r>
      <w:r>
        <w:t xml:space="preserve"> I</w:t>
      </w:r>
      <w:r w:rsidRPr="00294C70">
        <w:t xml:space="preserve">nscription was also prevalent throughout Christian scripture, </w:t>
      </w:r>
      <w:r>
        <w:t>with</w:t>
      </w:r>
      <w:r w:rsidRPr="00294C70">
        <w:t xml:space="preserve"> </w:t>
      </w:r>
      <w:r>
        <w:t>P</w:t>
      </w:r>
      <w:r w:rsidRPr="00294C70">
        <w:t xml:space="preserve">rotestant scholars </w:t>
      </w:r>
      <w:r>
        <w:t>emphasising the value of</w:t>
      </w:r>
      <w:r w:rsidRPr="00294C70">
        <w:t xml:space="preserve"> text</w:t>
      </w:r>
      <w:r>
        <w:t>ual inscriptions</w:t>
      </w:r>
      <w:r w:rsidRPr="00294C70">
        <w:t xml:space="preserve"> </w:t>
      </w:r>
      <w:r>
        <w:t xml:space="preserve">on different types of material culture </w:t>
      </w:r>
      <w:r w:rsidRPr="00294C70">
        <w:t xml:space="preserve">as a means of transmitting and reinforcing </w:t>
      </w:r>
      <w:r>
        <w:t>G</w:t>
      </w:r>
      <w:r w:rsidRPr="00294C70">
        <w:t>od's teachings</w:t>
      </w:r>
      <w:r>
        <w:t xml:space="preserve">. </w:t>
      </w:r>
      <w:r w:rsidRPr="003F6E87">
        <w:t xml:space="preserve">Within a culture that </w:t>
      </w:r>
      <w:r>
        <w:t>esteemed</w:t>
      </w:r>
      <w:r w:rsidRPr="003F6E87">
        <w:t xml:space="preserve"> inscribed text as both a means of religious instruction and as an invaluable tool for </w:t>
      </w:r>
      <w:r>
        <w:t>deco</w:t>
      </w:r>
      <w:r w:rsidRPr="003F6E87">
        <w:t xml:space="preserve">ding </w:t>
      </w:r>
      <w:r>
        <w:t xml:space="preserve">and preserving </w:t>
      </w:r>
      <w:r w:rsidRPr="003F6E87">
        <w:t>the past</w:t>
      </w:r>
      <w:r>
        <w:t xml:space="preserve">, </w:t>
      </w:r>
      <w:r w:rsidRPr="00383C1D">
        <w:t xml:space="preserve">concomitant with understandings of inscription as a bodily </w:t>
      </w:r>
      <w:r>
        <w:t>e</w:t>
      </w:r>
      <w:r w:rsidRPr="00383C1D">
        <w:t>xperience</w:t>
      </w:r>
      <w:r>
        <w:t>, it is evident that the inscriptions present in Bolton-le-Sands and Prestbury were part of a much larger discourse.</w:t>
      </w:r>
    </w:p>
    <w:p w14:paraId="258A6314" w14:textId="77777777" w:rsidR="00787A9C" w:rsidRDefault="00787A9C" w:rsidP="00787A9C">
      <w:pPr>
        <w:spacing w:after="0" w:line="480" w:lineRule="auto"/>
        <w:ind w:firstLine="720"/>
        <w:jc w:val="both"/>
      </w:pPr>
      <w:r>
        <w:t>This</w:t>
      </w:r>
      <w:r w:rsidRPr="00B3011C">
        <w:t xml:space="preserve"> chapter discuss</w:t>
      </w:r>
      <w:r>
        <w:t>es</w:t>
      </w:r>
      <w:r w:rsidRPr="00B3011C">
        <w:t xml:space="preserve"> early modern inscription cultures in three ways. </w:t>
      </w:r>
      <w:r w:rsidRPr="00A21CBD">
        <w:t>The first section considers</w:t>
      </w:r>
      <w:r>
        <w:t xml:space="preserve"> perceptions of</w:t>
      </w:r>
      <w:r w:rsidRPr="00A21CBD">
        <w:t xml:space="preserve"> romantic love as textual, inscribed on or </w:t>
      </w:r>
      <w:r>
        <w:t>inside</w:t>
      </w:r>
      <w:r w:rsidRPr="00A21CBD">
        <w:t xml:space="preserve"> the body. Examining contemporary ideas about talismans</w:t>
      </w:r>
      <w:r>
        <w:t xml:space="preserve"> and discussions of inscribed objects in </w:t>
      </w:r>
      <w:r w:rsidRPr="00A21CBD">
        <w:t>early modern literature and advice books</w:t>
      </w:r>
      <w:r>
        <w:t>,</w:t>
      </w:r>
      <w:r w:rsidRPr="00A21CBD">
        <w:t xml:space="preserve"> the section explores how </w:t>
      </w:r>
      <w:r>
        <w:t xml:space="preserve">the </w:t>
      </w:r>
      <w:r w:rsidRPr="00A21CBD">
        <w:t>material</w:t>
      </w:r>
      <w:r>
        <w:t>ity</w:t>
      </w:r>
      <w:r w:rsidRPr="00A21CBD">
        <w:t xml:space="preserve"> </w:t>
      </w:r>
      <w:r>
        <w:t>of engraved text contributed to its ability to</w:t>
      </w:r>
      <w:r w:rsidRPr="00A21CBD">
        <w:t xml:space="preserve"> initiat</w:t>
      </w:r>
      <w:r>
        <w:t>e</w:t>
      </w:r>
      <w:r w:rsidRPr="00A21CBD">
        <w:t>, enabl</w:t>
      </w:r>
      <w:r>
        <w:t xml:space="preserve">e </w:t>
      </w:r>
      <w:r w:rsidRPr="00A21CBD">
        <w:t>and perpetuat</w:t>
      </w:r>
      <w:r>
        <w:t xml:space="preserve">e </w:t>
      </w:r>
      <w:r w:rsidRPr="00A21CBD">
        <w:t>lov</w:t>
      </w:r>
      <w:r>
        <w:t xml:space="preserve">e. </w:t>
      </w:r>
      <w:r w:rsidRPr="006518E5">
        <w:t xml:space="preserve">The second section focuses on </w:t>
      </w:r>
      <w:r>
        <w:t>religiously motivated books</w:t>
      </w:r>
      <w:r w:rsidRPr="006518E5">
        <w:t>.</w:t>
      </w:r>
      <w:r>
        <w:t xml:space="preserve"> It charts contemporary beliefs in the function of inscriptions, whereby the flesh, mind and soul became inscribed with faith and a love for God through reading and interacting with Christian teachings inscribed on the built environment.</w:t>
      </w:r>
      <w:r w:rsidRPr="0039625B">
        <w:t xml:space="preserve"> </w:t>
      </w:r>
      <w:r w:rsidRPr="00983A08">
        <w:t xml:space="preserve">This section also considers the threshold, </w:t>
      </w:r>
      <w:r>
        <w:t xml:space="preserve">examining </w:t>
      </w:r>
      <w:r w:rsidRPr="00983A08">
        <w:t xml:space="preserve">anthropological </w:t>
      </w:r>
      <w:r>
        <w:t>literature</w:t>
      </w:r>
      <w:r w:rsidRPr="00983A08">
        <w:t xml:space="preserve"> </w:t>
      </w:r>
      <w:r>
        <w:t xml:space="preserve">and </w:t>
      </w:r>
      <w:r w:rsidRPr="00983A08">
        <w:lastRenderedPageBreak/>
        <w:t xml:space="preserve">investigating </w:t>
      </w:r>
      <w:r>
        <w:t xml:space="preserve">the </w:t>
      </w:r>
      <w:r w:rsidRPr="00983A08">
        <w:t xml:space="preserve">scriptural </w:t>
      </w:r>
      <w:r>
        <w:t>basis for textual inscriptions at the entryway to the home – a common site for inscriptions in Bolton-le-Sands and Prestbury.</w:t>
      </w:r>
    </w:p>
    <w:p w14:paraId="4907AC24" w14:textId="527C8486" w:rsidR="00787A9C" w:rsidRDefault="00787A9C" w:rsidP="00C76388">
      <w:pPr>
        <w:spacing w:after="0" w:line="480" w:lineRule="auto"/>
        <w:ind w:firstLine="720"/>
        <w:jc w:val="both"/>
      </w:pPr>
      <w:r w:rsidRPr="00981F5D">
        <w:t xml:space="preserve">Following on from </w:t>
      </w:r>
      <w:r>
        <w:t>considering</w:t>
      </w:r>
      <w:r w:rsidRPr="00981F5D">
        <w:t xml:space="preserve"> literary and </w:t>
      </w:r>
      <w:r>
        <w:t>explicitly religious</w:t>
      </w:r>
      <w:r w:rsidRPr="00981F5D">
        <w:t xml:space="preserve"> </w:t>
      </w:r>
      <w:r>
        <w:t xml:space="preserve">texts, </w:t>
      </w:r>
      <w:r w:rsidRPr="00981F5D">
        <w:t xml:space="preserve">the third section </w:t>
      </w:r>
      <w:r>
        <w:t>considers</w:t>
      </w:r>
      <w:r w:rsidRPr="00981F5D">
        <w:t xml:space="preserve"> </w:t>
      </w:r>
      <w:r>
        <w:t xml:space="preserve">how early modern authors described and understood </w:t>
      </w:r>
      <w:r w:rsidRPr="00981F5D">
        <w:t>monumental inscriptions in the</w:t>
      </w:r>
      <w:r>
        <w:t xml:space="preserve"> physical</w:t>
      </w:r>
      <w:r w:rsidRPr="00981F5D">
        <w:t xml:space="preserve"> built environmen</w:t>
      </w:r>
      <w:r>
        <w:t>t</w:t>
      </w:r>
      <w:r w:rsidRPr="00981F5D">
        <w:t xml:space="preserve">. </w:t>
      </w:r>
      <w:r>
        <w:t>This section argues</w:t>
      </w:r>
      <w:r w:rsidRPr="00981F5D">
        <w:t xml:space="preserve"> that inscr</w:t>
      </w:r>
      <w:r>
        <w:t>ibed text</w:t>
      </w:r>
      <w:r w:rsidRPr="00981F5D">
        <w:t xml:space="preserve"> </w:t>
      </w:r>
      <w:r>
        <w:t>formed an essential part</w:t>
      </w:r>
      <w:r w:rsidRPr="00981F5D">
        <w:t xml:space="preserve"> </w:t>
      </w:r>
      <w:r>
        <w:t>of</w:t>
      </w:r>
      <w:r w:rsidRPr="00981F5D">
        <w:t xml:space="preserve"> contemporary memory cultures</w:t>
      </w:r>
      <w:r>
        <w:t xml:space="preserve">, with inscriptions </w:t>
      </w:r>
      <w:r w:rsidRPr="00493DC0">
        <w:t xml:space="preserve">understood as a means of promoting virtuous actions and deeds and memory </w:t>
      </w:r>
      <w:r>
        <w:t xml:space="preserve">framed </w:t>
      </w:r>
      <w:r w:rsidRPr="00493DC0">
        <w:t>as textual</w:t>
      </w:r>
      <w:r>
        <w:t>ly</w:t>
      </w:r>
      <w:r w:rsidRPr="00493DC0">
        <w:t xml:space="preserve"> </w:t>
      </w:r>
      <w:r>
        <w:t>engraved</w:t>
      </w:r>
      <w:r w:rsidRPr="00493DC0">
        <w:t xml:space="preserve"> upon the body</w:t>
      </w:r>
      <w:r>
        <w:t>. Together, the three sections show that i</w:t>
      </w:r>
      <w:r w:rsidRPr="00C154E4">
        <w:t>nscription</w:t>
      </w:r>
      <w:r>
        <w:t>s</w:t>
      </w:r>
      <w:r w:rsidRPr="00C154E4">
        <w:t xml:space="preserve"> were </w:t>
      </w:r>
      <w:r>
        <w:t xml:space="preserve">a </w:t>
      </w:r>
      <w:r w:rsidRPr="00C154E4">
        <w:t>key concern in</w:t>
      </w:r>
      <w:r>
        <w:t xml:space="preserve"> early modern</w:t>
      </w:r>
      <w:r w:rsidRPr="00C154E4">
        <w:t xml:space="preserve"> </w:t>
      </w:r>
      <w:r>
        <w:t xml:space="preserve">England. </w:t>
      </w:r>
      <w:r w:rsidRPr="00C154E4">
        <w:t xml:space="preserve">They </w:t>
      </w:r>
      <w:r>
        <w:t xml:space="preserve">were widely discussed across a range of genres spanning drama, poetry, advice literature, published sermons and exegetical works, and </w:t>
      </w:r>
      <w:r w:rsidR="00EC1708">
        <w:t>were central to</w:t>
      </w:r>
      <w:r>
        <w:t xml:space="preserve"> early modern antiquarian writing. Inscriptions </w:t>
      </w:r>
      <w:r w:rsidRPr="00C154E4">
        <w:t xml:space="preserve">were applied not only </w:t>
      </w:r>
      <w:r>
        <w:t xml:space="preserve">to </w:t>
      </w:r>
      <w:r w:rsidRPr="00C154E4">
        <w:t>commemorat</w:t>
      </w:r>
      <w:r>
        <w:t>e</w:t>
      </w:r>
      <w:r w:rsidRPr="00C154E4">
        <w:t xml:space="preserve"> events and actions but </w:t>
      </w:r>
      <w:r>
        <w:t>to inscribe the emotions, teachings and ideas they contained within the bodies of those who read them,</w:t>
      </w:r>
      <w:r w:rsidRPr="00C154E4">
        <w:t xml:space="preserve"> reinforcing emotion</w:t>
      </w:r>
      <w:r w:rsidR="00D9024D">
        <w:t>al experiences</w:t>
      </w:r>
      <w:r>
        <w:t xml:space="preserve"> and faith and</w:t>
      </w:r>
      <w:r w:rsidRPr="00C154E4">
        <w:t xml:space="preserve"> engendering virtuous conduct</w:t>
      </w:r>
      <w:r>
        <w:t xml:space="preserve">. There is no evidence for whether those living in Bolton-le-Sands and Prestbury were engaging directly with any of the texts discussed here. </w:t>
      </w:r>
      <w:r w:rsidR="008763E6">
        <w:t xml:space="preserve">Instead, the wider cultural context traceable through print is used to highlight the potential </w:t>
      </w:r>
      <w:r w:rsidR="009A7694">
        <w:t>meanings and associations inscribed text might have carried in both parishes.</w:t>
      </w:r>
      <w:r w:rsidR="00C76388">
        <w:t xml:space="preserve"> </w:t>
      </w:r>
      <w:r>
        <w:t>In later chapters discussing the significance of inscriptions at case study properties in both areas, the insights provided by this chapter will prove essential.</w:t>
      </w:r>
    </w:p>
    <w:p w14:paraId="72FDA566" w14:textId="77777777" w:rsidR="00AE6DAF" w:rsidRPr="00AE6DAF" w:rsidRDefault="00AE6DAF" w:rsidP="002C5ECA">
      <w:pPr>
        <w:spacing w:after="0" w:line="480" w:lineRule="auto"/>
        <w:jc w:val="both"/>
      </w:pPr>
    </w:p>
    <w:p w14:paraId="5F9BB697" w14:textId="3BFB2C39" w:rsidR="00D70431" w:rsidRPr="00D70431" w:rsidRDefault="00F8582D" w:rsidP="00D70431">
      <w:pPr>
        <w:spacing w:after="0" w:line="480" w:lineRule="auto"/>
        <w:jc w:val="both"/>
        <w:rPr>
          <w:rFonts w:cs="Calibri"/>
          <w:b/>
        </w:rPr>
      </w:pPr>
      <w:r w:rsidRPr="00062533">
        <w:rPr>
          <w:rFonts w:cs="Calibri"/>
          <w:b/>
        </w:rPr>
        <w:t>T</w:t>
      </w:r>
      <w:r w:rsidR="004D57AF" w:rsidRPr="00062533">
        <w:rPr>
          <w:rFonts w:cs="Calibri"/>
          <w:b/>
        </w:rPr>
        <w:t>ext, Tokens and Talismans: Inscriptions</w:t>
      </w:r>
      <w:r w:rsidR="000C1FCF">
        <w:rPr>
          <w:rFonts w:cs="Calibri"/>
          <w:b/>
        </w:rPr>
        <w:t xml:space="preserve"> of Love and Protection </w:t>
      </w:r>
      <w:r w:rsidR="004D57AF" w:rsidRPr="00062533">
        <w:rPr>
          <w:rFonts w:cs="Calibri"/>
          <w:b/>
        </w:rPr>
        <w:t>upon Objects and the Body</w:t>
      </w:r>
    </w:p>
    <w:p w14:paraId="73B8976B" w14:textId="49FD155F" w:rsidR="003C1596" w:rsidRDefault="000C1FCF" w:rsidP="00062533">
      <w:pPr>
        <w:spacing w:after="0" w:line="480" w:lineRule="auto"/>
        <w:ind w:firstLine="720"/>
        <w:jc w:val="both"/>
      </w:pPr>
      <w:r>
        <w:t xml:space="preserve">To begin, </w:t>
      </w:r>
      <w:r w:rsidR="00A56294" w:rsidRPr="00A56294">
        <w:t>this section explores</w:t>
      </w:r>
      <w:r w:rsidR="00465855">
        <w:t xml:space="preserve"> the use of inscribed text in communicating and reinforcing</w:t>
      </w:r>
      <w:r w:rsidR="00A56294" w:rsidRPr="00A56294">
        <w:t xml:space="preserve"> romantic love. It examines the way</w:t>
      </w:r>
      <w:r w:rsidR="00EE67C5">
        <w:t>s</w:t>
      </w:r>
      <w:r w:rsidR="00A56294" w:rsidRPr="00A56294">
        <w:t xml:space="preserve"> in which </w:t>
      </w:r>
      <w:proofErr w:type="gramStart"/>
      <w:r w:rsidR="00A56294" w:rsidRPr="00A56294">
        <w:t>love</w:t>
      </w:r>
      <w:proofErr w:type="gramEnd"/>
      <w:r w:rsidR="00A56294" w:rsidRPr="00A56294">
        <w:t xml:space="preserve"> and courtship were described in early modern plays, advice books and conduct literature, </w:t>
      </w:r>
      <w:r w:rsidR="00153F8E">
        <w:t xml:space="preserve">and in the process </w:t>
      </w:r>
      <w:r w:rsidR="00A56294" w:rsidRPr="00A56294">
        <w:t>demonstrat</w:t>
      </w:r>
      <w:r w:rsidR="00153F8E">
        <w:t>es</w:t>
      </w:r>
      <w:r w:rsidR="00A56294" w:rsidRPr="00A56294">
        <w:t xml:space="preserve"> </w:t>
      </w:r>
      <w:r w:rsidR="00A56294" w:rsidRPr="00A56294">
        <w:lastRenderedPageBreak/>
        <w:t>that love was framed as something inscribed upon the body.</w:t>
      </w:r>
      <w:r w:rsidR="004B1EA2" w:rsidRPr="004B1EA2">
        <w:t xml:space="preserve"> </w:t>
      </w:r>
      <w:r w:rsidR="00153F8E">
        <w:t>Throughout this discussion</w:t>
      </w:r>
      <w:r w:rsidR="00D9024D">
        <w:t>,</w:t>
      </w:r>
      <w:r w:rsidR="00153F8E">
        <w:t xml:space="preserve"> it will also become clear that </w:t>
      </w:r>
      <w:r w:rsidR="004B1EA2" w:rsidRPr="004B1EA2">
        <w:t>inscribed objects</w:t>
      </w:r>
      <w:r w:rsidR="002067CB">
        <w:t xml:space="preserve"> were closely connected to the concept of text inscribed</w:t>
      </w:r>
      <w:r w:rsidR="004B1EA2" w:rsidRPr="004B1EA2">
        <w:t xml:space="preserve"> within the heart and </w:t>
      </w:r>
      <w:r w:rsidR="00A6411D">
        <w:t xml:space="preserve">upon the </w:t>
      </w:r>
      <w:r w:rsidR="004B1EA2" w:rsidRPr="004B1EA2">
        <w:t>flesh</w:t>
      </w:r>
      <w:r w:rsidR="00B81C3A">
        <w:t xml:space="preserve">. </w:t>
      </w:r>
      <w:r w:rsidR="002067CB">
        <w:t xml:space="preserve">Early modern magical beliefs and the writings of natural philosophers </w:t>
      </w:r>
      <w:r w:rsidR="009F2C8C">
        <w:t xml:space="preserve">and physicians </w:t>
      </w:r>
      <w:r w:rsidR="002067CB">
        <w:t>will</w:t>
      </w:r>
      <w:r w:rsidR="009F2C8C">
        <w:t xml:space="preserve"> be examined, </w:t>
      </w:r>
      <w:r w:rsidR="00B81C3A" w:rsidRPr="00B81C3A">
        <w:t xml:space="preserve">highlighting the use of objects as talismans in averting evil and </w:t>
      </w:r>
      <w:r w:rsidR="00B81C3A">
        <w:t>invoking</w:t>
      </w:r>
      <w:r w:rsidR="00B81C3A" w:rsidRPr="00B81C3A">
        <w:t xml:space="preserve"> good fortune</w:t>
      </w:r>
      <w:r w:rsidR="00B81C3A">
        <w:t>.</w:t>
      </w:r>
      <w:r w:rsidR="009F2C8C">
        <w:t xml:space="preserve"> Contemporary printed discussions of</w:t>
      </w:r>
      <w:r w:rsidR="00B81C3A">
        <w:t xml:space="preserve"> </w:t>
      </w:r>
      <w:r w:rsidR="009F2C8C">
        <w:t>l</w:t>
      </w:r>
      <w:r w:rsidR="006926AB" w:rsidRPr="006926AB">
        <w:t>ove tokens</w:t>
      </w:r>
      <w:r w:rsidR="00DA731E">
        <w:t xml:space="preserve"> and</w:t>
      </w:r>
      <w:r w:rsidR="006926AB" w:rsidRPr="006926AB">
        <w:t xml:space="preserve"> </w:t>
      </w:r>
      <w:r w:rsidR="006926AB">
        <w:t>p</w:t>
      </w:r>
      <w:r w:rsidR="006926AB" w:rsidRPr="006926AB">
        <w:t>osy inscriptions will</w:t>
      </w:r>
      <w:r w:rsidR="00753D33">
        <w:t xml:space="preserve"> </w:t>
      </w:r>
      <w:r w:rsidR="006926AB" w:rsidRPr="006926AB">
        <w:t>be considered through this lens, elucidating the crossovers between talismans and early modern courting gifts</w:t>
      </w:r>
      <w:r w:rsidR="006219A3">
        <w:t xml:space="preserve"> inscribed with text</w:t>
      </w:r>
      <w:r w:rsidR="007566F5">
        <w:t xml:space="preserve">, </w:t>
      </w:r>
      <w:r w:rsidR="00DA731E">
        <w:t>demonstrating</w:t>
      </w:r>
      <w:r w:rsidR="007566F5">
        <w:t xml:space="preserve"> how</w:t>
      </w:r>
      <w:r w:rsidR="007F64D5">
        <w:t xml:space="preserve"> text itself </w:t>
      </w:r>
      <w:r w:rsidR="00753D33">
        <w:t xml:space="preserve">was understood to </w:t>
      </w:r>
      <w:r w:rsidR="007F64D5">
        <w:t>possess talismanic powers</w:t>
      </w:r>
      <w:r w:rsidR="006926AB" w:rsidRPr="006926AB">
        <w:t>.</w:t>
      </w:r>
      <w:r w:rsidR="006926AB">
        <w:t xml:space="preserve"> </w:t>
      </w:r>
      <w:r w:rsidR="006926AB" w:rsidRPr="006926AB">
        <w:t>Where words of love were inscribed materially upon objects</w:t>
      </w:r>
      <w:r w:rsidR="00FA15FB">
        <w:t>,</w:t>
      </w:r>
      <w:r w:rsidR="006926AB" w:rsidRPr="006926AB">
        <w:t xml:space="preserve"> and emotions were believed to be inscribed upon and within the body,</w:t>
      </w:r>
      <w:r w:rsidR="007F64D5" w:rsidRPr="007F64D5">
        <w:t xml:space="preserve"> </w:t>
      </w:r>
      <w:r w:rsidR="00BA5095">
        <w:t>t</w:t>
      </w:r>
      <w:r w:rsidR="007F64D5" w:rsidRPr="007F64D5">
        <w:t>h</w:t>
      </w:r>
      <w:r w:rsidR="006B6BF4">
        <w:t>is offers a vital insight into the</w:t>
      </w:r>
      <w:r w:rsidR="007F64D5" w:rsidRPr="007F64D5">
        <w:t xml:space="preserve"> bodily significance and potency of </w:t>
      </w:r>
      <w:r w:rsidR="006B6BF4">
        <w:t>textual inscriptions in early modern England</w:t>
      </w:r>
      <w:r w:rsidR="007F64D5">
        <w:t>.</w:t>
      </w:r>
    </w:p>
    <w:p w14:paraId="0B95D88A" w14:textId="1A38308B" w:rsidR="00F73793" w:rsidRDefault="005B409A" w:rsidP="00062533">
      <w:pPr>
        <w:spacing w:after="0" w:line="480" w:lineRule="auto"/>
        <w:ind w:firstLine="720"/>
        <w:jc w:val="both"/>
      </w:pPr>
      <w:r w:rsidRPr="00062533">
        <w:t xml:space="preserve">In </w:t>
      </w:r>
      <w:r w:rsidR="00F76FDE">
        <w:t>early modern English texts,</w:t>
      </w:r>
      <w:r w:rsidRPr="00062533">
        <w:t xml:space="preserve"> an engraved heart was</w:t>
      </w:r>
      <w:r w:rsidR="006A57FC">
        <w:t xml:space="preserve"> portrayed as </w:t>
      </w:r>
      <w:r w:rsidRPr="00062533">
        <w:t>steadfast</w:t>
      </w:r>
      <w:r w:rsidR="00931A38">
        <w:t>.</w:t>
      </w:r>
      <w:r w:rsidR="00036842" w:rsidRPr="00062533">
        <w:t xml:space="preserve"> </w:t>
      </w:r>
      <w:r w:rsidR="00931A38">
        <w:t>I</w:t>
      </w:r>
      <w:r w:rsidRPr="00062533">
        <w:t xml:space="preserve">n John Lyly’s </w:t>
      </w:r>
      <w:r w:rsidR="00C038B1" w:rsidRPr="00062533">
        <w:t xml:space="preserve">1588 </w:t>
      </w:r>
      <w:r w:rsidRPr="00062533">
        <w:t xml:space="preserve">play </w:t>
      </w:r>
      <w:proofErr w:type="spellStart"/>
      <w:r w:rsidRPr="00062533">
        <w:rPr>
          <w:i/>
          <w:iCs/>
        </w:rPr>
        <w:t>Gallathea</w:t>
      </w:r>
      <w:proofErr w:type="spellEnd"/>
      <w:r w:rsidRPr="00062533">
        <w:t>, for example,</w:t>
      </w:r>
      <w:r w:rsidRPr="00062533">
        <w:rPr>
          <w:i/>
          <w:iCs/>
        </w:rPr>
        <w:t xml:space="preserve"> </w:t>
      </w:r>
      <w:r w:rsidRPr="00062533">
        <w:t xml:space="preserve">the title character declares ‘I will never love any but Phillida, her love is </w:t>
      </w:r>
      <w:proofErr w:type="spellStart"/>
      <w:r w:rsidRPr="00062533">
        <w:t>engraven</w:t>
      </w:r>
      <w:proofErr w:type="spellEnd"/>
      <w:r w:rsidRPr="00062533">
        <w:t xml:space="preserve"> in my heart’.</w:t>
      </w:r>
      <w:r w:rsidRPr="00062533">
        <w:rPr>
          <w:rStyle w:val="FootnoteReference"/>
        </w:rPr>
        <w:footnoteReference w:id="139"/>
      </w:r>
      <w:r w:rsidR="005D3B22" w:rsidRPr="00062533">
        <w:t xml:space="preserve"> </w:t>
      </w:r>
      <w:r w:rsidR="00A518D5">
        <w:t>Contemporaries also described l</w:t>
      </w:r>
      <w:r w:rsidR="00921195">
        <w:t xml:space="preserve">ove </w:t>
      </w:r>
      <w:r w:rsidR="00A518D5">
        <w:t xml:space="preserve">as an inscription </w:t>
      </w:r>
      <w:r w:rsidR="00921195">
        <w:t>on the outside of the body,</w:t>
      </w:r>
      <w:r w:rsidR="007E19C4" w:rsidRPr="00062533">
        <w:t xml:space="preserve"> as </w:t>
      </w:r>
      <w:r w:rsidR="0013580B" w:rsidRPr="00062533">
        <w:t xml:space="preserve">in </w:t>
      </w:r>
      <w:r w:rsidR="0013580B" w:rsidRPr="00062533">
        <w:rPr>
          <w:i/>
          <w:iCs/>
        </w:rPr>
        <w:t xml:space="preserve">The False </w:t>
      </w:r>
      <w:proofErr w:type="spellStart"/>
      <w:r w:rsidR="0013580B" w:rsidRPr="00062533">
        <w:rPr>
          <w:i/>
          <w:iCs/>
        </w:rPr>
        <w:t>Favourit</w:t>
      </w:r>
      <w:proofErr w:type="spellEnd"/>
      <w:r w:rsidR="0013580B" w:rsidRPr="00062533">
        <w:rPr>
          <w:i/>
          <w:iCs/>
        </w:rPr>
        <w:t xml:space="preserve"> </w:t>
      </w:r>
      <w:proofErr w:type="spellStart"/>
      <w:r w:rsidR="0013580B" w:rsidRPr="00062533">
        <w:rPr>
          <w:i/>
          <w:iCs/>
        </w:rPr>
        <w:t>Disgrac’d</w:t>
      </w:r>
      <w:proofErr w:type="spellEnd"/>
      <w:r w:rsidR="0013580B" w:rsidRPr="00062533">
        <w:t xml:space="preserve"> by George Gerbier </w:t>
      </w:r>
      <w:proofErr w:type="spellStart"/>
      <w:r w:rsidR="0013580B" w:rsidRPr="00062533">
        <w:t>D’Ouvilly</w:t>
      </w:r>
      <w:proofErr w:type="spellEnd"/>
      <w:r w:rsidR="00921195">
        <w:t xml:space="preserve"> (1657)</w:t>
      </w:r>
      <w:r w:rsidR="0013580B" w:rsidRPr="20F878E9">
        <w:t xml:space="preserve">, where court favourite </w:t>
      </w:r>
      <w:proofErr w:type="spellStart"/>
      <w:r w:rsidR="0013580B" w:rsidRPr="20F878E9">
        <w:t>Hippolito</w:t>
      </w:r>
      <w:proofErr w:type="spellEnd"/>
      <w:r w:rsidR="0013580B" w:rsidRPr="20F878E9">
        <w:t xml:space="preserve"> asks the Duke’s daughter </w:t>
      </w:r>
      <w:proofErr w:type="spellStart"/>
      <w:r w:rsidR="0013580B" w:rsidRPr="20F878E9">
        <w:t>Lucebella</w:t>
      </w:r>
      <w:proofErr w:type="spellEnd"/>
      <w:r w:rsidR="0013580B" w:rsidRPr="20F878E9">
        <w:t xml:space="preserve"> to ‘Permit my </w:t>
      </w:r>
      <w:proofErr w:type="spellStart"/>
      <w:r w:rsidR="0013580B" w:rsidRPr="20F878E9">
        <w:t>loyall</w:t>
      </w:r>
      <w:proofErr w:type="spellEnd"/>
      <w:r w:rsidR="0013580B" w:rsidRPr="20F878E9">
        <w:t xml:space="preserve"> </w:t>
      </w:r>
      <w:proofErr w:type="spellStart"/>
      <w:r w:rsidR="0013580B" w:rsidRPr="20F878E9">
        <w:t>lippe</w:t>
      </w:r>
      <w:proofErr w:type="spellEnd"/>
      <w:r w:rsidR="0013580B" w:rsidRPr="20F878E9">
        <w:t xml:space="preserve">, on your pure hand, </w:t>
      </w:r>
      <w:proofErr w:type="spellStart"/>
      <w:r w:rsidR="0013580B" w:rsidRPr="20F878E9">
        <w:t>T’inscribe</w:t>
      </w:r>
      <w:proofErr w:type="spellEnd"/>
      <w:r w:rsidR="0013580B" w:rsidRPr="20F878E9">
        <w:t xml:space="preserve"> the figure of my perfect love’.</w:t>
      </w:r>
      <w:r w:rsidR="0013580B" w:rsidRPr="20F878E9">
        <w:rPr>
          <w:rStyle w:val="FootnoteReference"/>
        </w:rPr>
        <w:footnoteReference w:id="140"/>
      </w:r>
      <w:r w:rsidR="0013580B" w:rsidRPr="20F878E9">
        <w:t xml:space="preserve"> </w:t>
      </w:r>
      <w:r w:rsidR="0013580B">
        <w:t xml:space="preserve">In </w:t>
      </w:r>
      <w:r w:rsidR="0013580B">
        <w:rPr>
          <w:i/>
        </w:rPr>
        <w:t xml:space="preserve">La </w:t>
      </w:r>
      <w:proofErr w:type="spellStart"/>
      <w:r w:rsidR="0013580B">
        <w:rPr>
          <w:i/>
        </w:rPr>
        <w:t>Stratonica</w:t>
      </w:r>
      <w:proofErr w:type="spellEnd"/>
      <w:r w:rsidR="0013580B">
        <w:rPr>
          <w:i/>
        </w:rPr>
        <w:t xml:space="preserve"> </w:t>
      </w:r>
      <w:r w:rsidR="0013580B">
        <w:t xml:space="preserve">– a novel originally written in Italian but </w:t>
      </w:r>
      <w:r w:rsidR="00BB16C2">
        <w:t>‘</w:t>
      </w:r>
      <w:proofErr w:type="spellStart"/>
      <w:r w:rsidR="0013580B">
        <w:t>English</w:t>
      </w:r>
      <w:r w:rsidR="00BB16C2">
        <w:t>ed</w:t>
      </w:r>
      <w:proofErr w:type="spellEnd"/>
      <w:r w:rsidR="00BB16C2">
        <w:t>’</w:t>
      </w:r>
      <w:r w:rsidR="0013580B">
        <w:t xml:space="preserve"> in 1651 </w:t>
      </w:r>
      <w:r w:rsidR="00BB16C2">
        <w:t>–</w:t>
      </w:r>
      <w:r w:rsidR="0013580B">
        <w:t xml:space="preserve"> </w:t>
      </w:r>
      <w:proofErr w:type="spellStart"/>
      <w:r w:rsidR="0013580B">
        <w:t>Libanus</w:t>
      </w:r>
      <w:proofErr w:type="spellEnd"/>
      <w:r w:rsidR="0013580B">
        <w:t xml:space="preserve"> asks himself whether through speaking with the queen he ‘mayst have occasion to engrave [his] Love in her’.</w:t>
      </w:r>
      <w:r w:rsidR="0013580B">
        <w:rPr>
          <w:rStyle w:val="FootnoteReference"/>
        </w:rPr>
        <w:footnoteReference w:id="141"/>
      </w:r>
      <w:r w:rsidR="0013580B">
        <w:t xml:space="preserve"> </w:t>
      </w:r>
      <w:proofErr w:type="spellStart"/>
      <w:r w:rsidR="00BA69F2">
        <w:t>Libanus</w:t>
      </w:r>
      <w:proofErr w:type="spellEnd"/>
      <w:r w:rsidR="00BA69F2">
        <w:t xml:space="preserve">’ </w:t>
      </w:r>
      <w:r w:rsidR="00C01C2C">
        <w:t xml:space="preserve">question </w:t>
      </w:r>
      <w:r w:rsidR="000A527F">
        <w:t>operates</w:t>
      </w:r>
      <w:r w:rsidR="00C01C2C">
        <w:t xml:space="preserve"> on two levels</w:t>
      </w:r>
      <w:r w:rsidR="00B83CFE">
        <w:t xml:space="preserve">, as </w:t>
      </w:r>
      <w:r w:rsidR="00C01C2C">
        <w:t xml:space="preserve">while </w:t>
      </w:r>
      <w:r w:rsidR="00B83CFE">
        <w:t xml:space="preserve">he </w:t>
      </w:r>
      <w:r w:rsidR="00C01C2C">
        <w:t>ostensibly describ</w:t>
      </w:r>
      <w:r w:rsidR="00FE5782">
        <w:t>es</w:t>
      </w:r>
      <w:r w:rsidR="00C01C2C">
        <w:t xml:space="preserve"> a </w:t>
      </w:r>
      <w:r w:rsidR="00C01C2C">
        <w:lastRenderedPageBreak/>
        <w:t>conversation, h</w:t>
      </w:r>
      <w:r w:rsidR="002519CA">
        <w:t xml:space="preserve">is remarks </w:t>
      </w:r>
      <w:r w:rsidR="000C130A">
        <w:t xml:space="preserve">also </w:t>
      </w:r>
      <w:r w:rsidR="00127ABD">
        <w:t xml:space="preserve">carry </w:t>
      </w:r>
      <w:r w:rsidR="001254B5">
        <w:t xml:space="preserve">strong </w:t>
      </w:r>
      <w:r w:rsidR="00127ABD">
        <w:t>sexual undertone</w:t>
      </w:r>
      <w:r w:rsidR="000C130A">
        <w:t>s</w:t>
      </w:r>
      <w:r w:rsidR="00CC33F0">
        <w:t>. Read bo</w:t>
      </w:r>
      <w:r w:rsidR="00CD0B61">
        <w:t>th ways</w:t>
      </w:r>
      <w:r w:rsidR="00CC33F0">
        <w:t xml:space="preserve">, his </w:t>
      </w:r>
      <w:r w:rsidR="000B6E1B">
        <w:t xml:space="preserve">verbal expressions of love </w:t>
      </w:r>
      <w:r w:rsidR="00A278E0">
        <w:t>have</w:t>
      </w:r>
      <w:r w:rsidR="00935E73">
        <w:t xml:space="preserve"> </w:t>
      </w:r>
      <w:r w:rsidR="000B6E1B">
        <w:t>material</w:t>
      </w:r>
      <w:r w:rsidR="00A278E0">
        <w:t xml:space="preserve"> dimensions</w:t>
      </w:r>
      <w:r w:rsidR="00B83CFE">
        <w:t>:</w:t>
      </w:r>
      <w:r w:rsidR="000B6E1B">
        <w:t xml:space="preserve"> </w:t>
      </w:r>
      <w:r w:rsidR="00FE5782">
        <w:t>in</w:t>
      </w:r>
      <w:r w:rsidR="00B86B89">
        <w:t xml:space="preserve"> creating </w:t>
      </w:r>
      <w:r w:rsidR="000B6E1B">
        <w:t xml:space="preserve">emotion ‘engraved’ </w:t>
      </w:r>
      <w:r w:rsidR="00CA298E">
        <w:t>withi</w:t>
      </w:r>
      <w:r w:rsidR="000B6E1B">
        <w:t>n the queen’s body</w:t>
      </w:r>
      <w:r w:rsidR="00FE5782">
        <w:t>, they</w:t>
      </w:r>
      <w:r w:rsidR="00E5628D">
        <w:t xml:space="preserve"> t</w:t>
      </w:r>
      <w:r w:rsidR="00636F54">
        <w:t xml:space="preserve">hereby </w:t>
      </w:r>
      <w:r w:rsidR="00EC0D22">
        <w:t>enabl</w:t>
      </w:r>
      <w:r w:rsidR="00FE5782">
        <w:t>e</w:t>
      </w:r>
      <w:r w:rsidR="00EC0D22">
        <w:t xml:space="preserve"> the</w:t>
      </w:r>
      <w:r w:rsidR="000B6E1B">
        <w:t xml:space="preserve"> hoped-for physical consummation of his desires.</w:t>
      </w:r>
      <w:r w:rsidR="00CA298E">
        <w:t xml:space="preserve"> </w:t>
      </w:r>
      <w:r w:rsidR="00E5628D">
        <w:t>O</w:t>
      </w:r>
      <w:r w:rsidR="003E0F7C">
        <w:t xml:space="preserve">ther writers </w:t>
      </w:r>
      <w:r w:rsidR="006900FA">
        <w:t>equat</w:t>
      </w:r>
      <w:r w:rsidR="00E5628D">
        <w:t>ed</w:t>
      </w:r>
      <w:r w:rsidR="006900FA">
        <w:t xml:space="preserve"> the body with books or manuscripts</w:t>
      </w:r>
      <w:r w:rsidR="00B13440">
        <w:t xml:space="preserve">, </w:t>
      </w:r>
      <w:proofErr w:type="gramStart"/>
      <w:r w:rsidR="00B13440">
        <w:t>similarly</w:t>
      </w:r>
      <w:proofErr w:type="gramEnd"/>
      <w:r w:rsidR="00E5628D">
        <w:t xml:space="preserve"> adorned with inscribed text</w:t>
      </w:r>
      <w:r w:rsidR="00EE1B9F">
        <w:t>.</w:t>
      </w:r>
      <w:r w:rsidR="00632A1F">
        <w:t xml:space="preserve"> In Alexandre de la </w:t>
      </w:r>
      <w:proofErr w:type="spellStart"/>
      <w:r w:rsidR="00632A1F">
        <w:t>Roberdière’s</w:t>
      </w:r>
      <w:proofErr w:type="spellEnd"/>
      <w:r w:rsidR="00632A1F">
        <w:t xml:space="preserve"> novel </w:t>
      </w:r>
      <w:r w:rsidR="00632A1F">
        <w:rPr>
          <w:i/>
        </w:rPr>
        <w:t>Love Victorious</w:t>
      </w:r>
      <w:r w:rsidR="00D71BD6">
        <w:rPr>
          <w:i/>
        </w:rPr>
        <w:t xml:space="preserve"> </w:t>
      </w:r>
      <w:r w:rsidR="00D71BD6">
        <w:rPr>
          <w:iCs/>
        </w:rPr>
        <w:t>(1684)</w:t>
      </w:r>
      <w:r w:rsidR="00632A1F">
        <w:rPr>
          <w:i/>
        </w:rPr>
        <w:t xml:space="preserve">, </w:t>
      </w:r>
      <w:proofErr w:type="spellStart"/>
      <w:r w:rsidR="00632A1F">
        <w:t>Dorimont</w:t>
      </w:r>
      <w:proofErr w:type="spellEnd"/>
      <w:r w:rsidR="00632A1F">
        <w:t xml:space="preserve"> wonders whether he can supersede the feelings his rival </w:t>
      </w:r>
      <w:proofErr w:type="spellStart"/>
      <w:r w:rsidR="00632A1F">
        <w:t>Oronces</w:t>
      </w:r>
      <w:proofErr w:type="spellEnd"/>
      <w:r w:rsidR="00632A1F">
        <w:t xml:space="preserve"> has awoken in the woman he loves</w:t>
      </w:r>
      <w:r w:rsidR="00EE1B9F">
        <w:t>.</w:t>
      </w:r>
      <w:r w:rsidR="00632A1F">
        <w:t xml:space="preserve"> </w:t>
      </w:r>
      <w:r w:rsidR="00DE397F">
        <w:t>Using</w:t>
      </w:r>
      <w:r w:rsidR="00632A1F">
        <w:t xml:space="preserve"> terms associated with writing</w:t>
      </w:r>
      <w:r w:rsidR="00DE397F">
        <w:t xml:space="preserve">, he </w:t>
      </w:r>
      <w:r w:rsidR="00632A1F">
        <w:t>ruminat</w:t>
      </w:r>
      <w:r w:rsidR="00DE397F">
        <w:t>es</w:t>
      </w:r>
      <w:r w:rsidR="00632A1F">
        <w:t xml:space="preserve"> on how to ‘blot out the first impressions, which love had engraved in her heart’</w:t>
      </w:r>
      <w:r w:rsidR="00C21D8B">
        <w:t xml:space="preserve">, describing </w:t>
      </w:r>
      <w:r w:rsidR="003B1D2B">
        <w:t>Eugenia’s</w:t>
      </w:r>
      <w:r w:rsidR="00C21D8B">
        <w:t xml:space="preserve"> </w:t>
      </w:r>
      <w:r w:rsidR="00EF009A">
        <w:t xml:space="preserve">body as a written surface with emotion inked </w:t>
      </w:r>
      <w:r w:rsidR="00B13440">
        <w:t xml:space="preserve">or carved </w:t>
      </w:r>
      <w:r w:rsidR="00EF009A">
        <w:t>upon it</w:t>
      </w:r>
      <w:r w:rsidR="00632A1F">
        <w:t>.</w:t>
      </w:r>
      <w:r w:rsidR="00632A1F">
        <w:rPr>
          <w:rStyle w:val="FootnoteReference"/>
        </w:rPr>
        <w:footnoteReference w:id="142"/>
      </w:r>
      <w:r w:rsidR="00632A1F">
        <w:t xml:space="preserve"> </w:t>
      </w:r>
    </w:p>
    <w:p w14:paraId="0EA0D292" w14:textId="77777777" w:rsidR="008B5161" w:rsidRDefault="00A842DB" w:rsidP="008B5161">
      <w:pPr>
        <w:spacing w:after="0" w:line="480" w:lineRule="auto"/>
        <w:ind w:firstLine="720"/>
        <w:jc w:val="both"/>
      </w:pPr>
      <w:r>
        <w:t>Using a similar paradigm</w:t>
      </w:r>
      <w:r w:rsidR="003B431C">
        <w:t xml:space="preserve">, the 1656 </w:t>
      </w:r>
      <w:r w:rsidR="003B431C" w:rsidRPr="003B431C">
        <w:t xml:space="preserve">conduct book </w:t>
      </w:r>
      <w:r w:rsidR="003B431C" w:rsidRPr="003B431C">
        <w:rPr>
          <w:i/>
          <w:iCs/>
        </w:rPr>
        <w:t>Pearls of Eloquence</w:t>
      </w:r>
      <w:r w:rsidR="003B431C" w:rsidRPr="003B431C">
        <w:t xml:space="preserve"> </w:t>
      </w:r>
      <w:r w:rsidR="009A0842">
        <w:t>describe</w:t>
      </w:r>
      <w:r w:rsidR="00B0358D">
        <w:t>s</w:t>
      </w:r>
      <w:r w:rsidR="00041F1A">
        <w:t xml:space="preserve"> </w:t>
      </w:r>
      <w:r w:rsidR="00852093">
        <w:t xml:space="preserve">the </w:t>
      </w:r>
      <w:r w:rsidR="0043513D">
        <w:t>immutability</w:t>
      </w:r>
      <w:r w:rsidR="00311036">
        <w:t xml:space="preserve"> of</w:t>
      </w:r>
      <w:r w:rsidR="001E5553">
        <w:t xml:space="preserve"> inscription</w:t>
      </w:r>
      <w:r w:rsidR="00311036">
        <w:t>s</w:t>
      </w:r>
      <w:r w:rsidR="001E5553">
        <w:t xml:space="preserve"> </w:t>
      </w:r>
      <w:r w:rsidR="00311036">
        <w:t xml:space="preserve">present </w:t>
      </w:r>
      <w:r w:rsidR="001E5553">
        <w:t>within the body. A widow within the text</w:t>
      </w:r>
      <w:r w:rsidR="00F73793">
        <w:rPr>
          <w:i/>
          <w:iCs/>
        </w:rPr>
        <w:t xml:space="preserve"> </w:t>
      </w:r>
      <w:r w:rsidR="00F73793">
        <w:t>r</w:t>
      </w:r>
      <w:r w:rsidR="00632A1F">
        <w:t xml:space="preserve">efuses a suitor’s attempts to woo her by stating ‘you imagine that my love to my former husband was Written in a Table-Book, the Letters whereof may be soon wiped out, again; no, it was </w:t>
      </w:r>
      <w:proofErr w:type="spellStart"/>
      <w:r w:rsidR="00632A1F">
        <w:t>engraven</w:t>
      </w:r>
      <w:proofErr w:type="spellEnd"/>
      <w:r w:rsidR="00632A1F">
        <w:t xml:space="preserve"> upon my heart’.</w:t>
      </w:r>
      <w:r w:rsidR="00632A1F">
        <w:rPr>
          <w:rStyle w:val="FootnoteReference"/>
        </w:rPr>
        <w:footnoteReference w:id="143"/>
      </w:r>
      <w:r w:rsidR="00632A1F">
        <w:t xml:space="preserve"> The table-book cite</w:t>
      </w:r>
      <w:r w:rsidR="00E6142E">
        <w:t>d</w:t>
      </w:r>
      <w:r w:rsidR="00632A1F">
        <w:t xml:space="preserve"> was an early modern means of notetaking, and often appears in close association with memory</w:t>
      </w:r>
      <w:r w:rsidR="000E6058">
        <w:t xml:space="preserve"> in</w:t>
      </w:r>
      <w:r w:rsidR="00632A1F">
        <w:t xml:space="preserve"> early modern English texts and plays.</w:t>
      </w:r>
      <w:r w:rsidR="00632A1F">
        <w:rPr>
          <w:rStyle w:val="FootnoteReference"/>
        </w:rPr>
        <w:footnoteReference w:id="144"/>
      </w:r>
      <w:r w:rsidR="00632A1F">
        <w:t xml:space="preserve"> </w:t>
      </w:r>
      <w:r w:rsidR="00B24AB7">
        <w:t>Portable</w:t>
      </w:r>
      <w:r w:rsidR="00EC78B8">
        <w:t xml:space="preserve"> table-books had </w:t>
      </w:r>
      <w:r w:rsidR="00632A1F">
        <w:t xml:space="preserve">treated pages </w:t>
      </w:r>
      <w:r w:rsidR="00396D7D">
        <w:t>and were used with styluses</w:t>
      </w:r>
      <w:r w:rsidR="001534A5">
        <w:t xml:space="preserve"> rather than ink</w:t>
      </w:r>
      <w:r w:rsidR="00396D7D">
        <w:t>, allowing them to</w:t>
      </w:r>
      <w:r w:rsidR="00632A1F">
        <w:t xml:space="preserve"> be written, erased and rewritten countless times</w:t>
      </w:r>
      <w:r w:rsidR="00DA4326">
        <w:t>.</w:t>
      </w:r>
      <w:r w:rsidR="00632A1F">
        <w:t xml:space="preserve"> </w:t>
      </w:r>
      <w:r w:rsidR="00DA4326">
        <w:t>They</w:t>
      </w:r>
      <w:r w:rsidR="00632A1F">
        <w:t xml:space="preserve"> served as a means of jotting often disorganised information</w:t>
      </w:r>
      <w:r w:rsidR="00DA4326">
        <w:t xml:space="preserve">, which </w:t>
      </w:r>
      <w:r w:rsidR="00FA756C">
        <w:t>c</w:t>
      </w:r>
      <w:r w:rsidR="00DA4326">
        <w:t xml:space="preserve">ould </w:t>
      </w:r>
      <w:r w:rsidR="001534A5">
        <w:t xml:space="preserve">then </w:t>
      </w:r>
      <w:r w:rsidR="00DA4326">
        <w:t>be cop</w:t>
      </w:r>
      <w:r w:rsidR="0024748C">
        <w:t>ied into commonplace books or elsewhere</w:t>
      </w:r>
      <w:r w:rsidR="00632A1F">
        <w:t xml:space="preserve"> </w:t>
      </w:r>
      <w:r w:rsidR="0024748C">
        <w:t>i</w:t>
      </w:r>
      <w:r w:rsidR="00632A1F">
        <w:t>f long-term record</w:t>
      </w:r>
      <w:r w:rsidR="00FA756C">
        <w:t>s</w:t>
      </w:r>
      <w:r w:rsidR="00632A1F">
        <w:t xml:space="preserve"> were required</w:t>
      </w:r>
      <w:r w:rsidR="00846A7C">
        <w:t xml:space="preserve"> – something</w:t>
      </w:r>
      <w:r w:rsidR="00632A1F">
        <w:t xml:space="preserve"> contemporaries believed </w:t>
      </w:r>
      <w:r w:rsidR="00FA756C">
        <w:t>was</w:t>
      </w:r>
      <w:r w:rsidR="00632A1F">
        <w:t xml:space="preserve"> crucial for physical storage</w:t>
      </w:r>
      <w:r w:rsidR="00FA756C">
        <w:t xml:space="preserve"> as well as </w:t>
      </w:r>
      <w:r w:rsidR="00632A1F">
        <w:t xml:space="preserve">a vital part of internalising and processing information </w:t>
      </w:r>
      <w:r w:rsidR="00632A1F">
        <w:lastRenderedPageBreak/>
        <w:t>for mental preservation.</w:t>
      </w:r>
      <w:r w:rsidR="00632A1F">
        <w:rPr>
          <w:rStyle w:val="FootnoteReference"/>
        </w:rPr>
        <w:footnoteReference w:id="145"/>
      </w:r>
      <w:r w:rsidR="00632A1F">
        <w:t xml:space="preserve"> </w:t>
      </w:r>
      <w:r w:rsidR="00C2001F">
        <w:t>Where</w:t>
      </w:r>
      <w:r w:rsidR="0052572D">
        <w:t xml:space="preserve"> </w:t>
      </w:r>
      <w:r w:rsidR="0052572D">
        <w:rPr>
          <w:i/>
          <w:iCs/>
        </w:rPr>
        <w:t>Pearls of Eloquence</w:t>
      </w:r>
      <w:r w:rsidR="0052572D">
        <w:t xml:space="preserve"> </w:t>
      </w:r>
      <w:r w:rsidR="00A26A52">
        <w:t>emphasise</w:t>
      </w:r>
      <w:r w:rsidR="00B401C0">
        <w:t>d</w:t>
      </w:r>
      <w:r w:rsidR="00A26A52">
        <w:t xml:space="preserve"> the ephemerality of</w:t>
      </w:r>
      <w:r w:rsidR="00C2001F">
        <w:t xml:space="preserve"> </w:t>
      </w:r>
      <w:r w:rsidR="003F4434">
        <w:t xml:space="preserve">text within </w:t>
      </w:r>
      <w:r w:rsidR="00647916">
        <w:t>a</w:t>
      </w:r>
      <w:r w:rsidR="00C2001F">
        <w:t xml:space="preserve"> table-book</w:t>
      </w:r>
      <w:r w:rsidR="00A26A52">
        <w:t>,</w:t>
      </w:r>
      <w:r w:rsidR="00C2001F">
        <w:t xml:space="preserve"> </w:t>
      </w:r>
      <w:r w:rsidR="00647916">
        <w:t xml:space="preserve">the engraved heart </w:t>
      </w:r>
      <w:r w:rsidR="00B401C0">
        <w:t>wa</w:t>
      </w:r>
      <w:r w:rsidR="00647916">
        <w:t xml:space="preserve">s portrayed as its polar opposite, </w:t>
      </w:r>
      <w:r w:rsidR="00754D51">
        <w:t xml:space="preserve">cast </w:t>
      </w:r>
      <w:r w:rsidR="00647916">
        <w:t xml:space="preserve">once more </w:t>
      </w:r>
      <w:r w:rsidR="003F4434">
        <w:t>as a symbol of permanence.</w:t>
      </w:r>
    </w:p>
    <w:p w14:paraId="4ABAD380" w14:textId="62EF9290" w:rsidR="0041127E" w:rsidRDefault="003B1D2B" w:rsidP="008B2687">
      <w:pPr>
        <w:spacing w:after="0" w:line="480" w:lineRule="auto"/>
        <w:ind w:firstLine="720"/>
        <w:jc w:val="both"/>
      </w:pPr>
      <w:r>
        <w:t xml:space="preserve">In these contexts, engraved text was associated with commitment, dedication and permanence. </w:t>
      </w:r>
      <w:r w:rsidR="00761E1D">
        <w:t xml:space="preserve">The trope of the engraved heart is visible </w:t>
      </w:r>
      <w:r w:rsidR="000A2981">
        <w:t xml:space="preserve">in contemporary descriptions of inscribed objects, </w:t>
      </w:r>
      <w:r w:rsidR="0037520A">
        <w:t xml:space="preserve">where the proximity of </w:t>
      </w:r>
      <w:r w:rsidR="003F521B">
        <w:t xml:space="preserve">such </w:t>
      </w:r>
      <w:r w:rsidR="0037520A">
        <w:t>object</w:t>
      </w:r>
      <w:r w:rsidR="003F521B">
        <w:t>s</w:t>
      </w:r>
      <w:r w:rsidR="0037520A">
        <w:t xml:space="preserve"> to the heart communicate</w:t>
      </w:r>
      <w:r w:rsidR="002A5EF2">
        <w:t>d</w:t>
      </w:r>
      <w:r w:rsidR="0037520A">
        <w:t xml:space="preserve"> </w:t>
      </w:r>
      <w:r w:rsidR="00832BAF">
        <w:t xml:space="preserve">the sincerity of </w:t>
      </w:r>
      <w:r w:rsidR="00F60FEA">
        <w:t>their</w:t>
      </w:r>
      <w:r w:rsidR="00832BAF">
        <w:t xml:space="preserve"> owner</w:t>
      </w:r>
      <w:r w:rsidR="00990B93">
        <w:t>s</w:t>
      </w:r>
      <w:r w:rsidR="00F60FEA">
        <w:t>’</w:t>
      </w:r>
      <w:r w:rsidR="00990B93">
        <w:t xml:space="preserve"> feelings</w:t>
      </w:r>
      <w:r w:rsidR="00A233F1">
        <w:t>.</w:t>
      </w:r>
      <w:r w:rsidR="0041127E" w:rsidRPr="0041127E">
        <w:t xml:space="preserve"> </w:t>
      </w:r>
      <w:r w:rsidR="00A12201">
        <w:t>In</w:t>
      </w:r>
      <w:r w:rsidR="0041127E" w:rsidRPr="0041127E">
        <w:t xml:space="preserve"> 1695</w:t>
      </w:r>
      <w:r w:rsidR="00A12201">
        <w:t xml:space="preserve">, the anonymous text </w:t>
      </w:r>
      <w:r w:rsidR="00A12201" w:rsidRPr="0041127E">
        <w:rPr>
          <w:i/>
          <w:iCs/>
        </w:rPr>
        <w:t xml:space="preserve">The Life of that Incomparable Princess </w:t>
      </w:r>
      <w:r w:rsidR="0041127E" w:rsidRPr="0041127E">
        <w:t xml:space="preserve">praised the </w:t>
      </w:r>
      <w:proofErr w:type="gramStart"/>
      <w:r w:rsidR="0041127E" w:rsidRPr="0041127E">
        <w:t>recently-deceased</w:t>
      </w:r>
      <w:proofErr w:type="gramEnd"/>
      <w:r w:rsidR="0041127E" w:rsidRPr="0041127E">
        <w:t xml:space="preserve"> Queen Mary II</w:t>
      </w:r>
      <w:r w:rsidR="003D05AD">
        <w:t>.</w:t>
      </w:r>
      <w:r w:rsidR="00905E4E">
        <w:t xml:space="preserve"> </w:t>
      </w:r>
      <w:r w:rsidR="003D05AD">
        <w:t>E</w:t>
      </w:r>
      <w:r w:rsidR="00905E4E">
        <w:t xml:space="preserve">xpressing admiration for </w:t>
      </w:r>
      <w:r w:rsidR="008B5AEC">
        <w:t xml:space="preserve">the </w:t>
      </w:r>
      <w:r w:rsidR="003D05AD">
        <w:t xml:space="preserve">love </w:t>
      </w:r>
      <w:r w:rsidR="008B5AEC">
        <w:t>she had for</w:t>
      </w:r>
      <w:r w:rsidR="00905E4E">
        <w:t xml:space="preserve"> her husband, King William III</w:t>
      </w:r>
      <w:r w:rsidR="003D05AD">
        <w:t xml:space="preserve">, </w:t>
      </w:r>
      <w:r w:rsidR="00E87B6C">
        <w:t xml:space="preserve">the book </w:t>
      </w:r>
      <w:r w:rsidR="003D05AD">
        <w:t>explain</w:t>
      </w:r>
      <w:r w:rsidR="00E87B6C">
        <w:t>ed</w:t>
      </w:r>
      <w:r w:rsidR="003D05AD">
        <w:t xml:space="preserve"> </w:t>
      </w:r>
      <w:r w:rsidR="0041127E" w:rsidRPr="0041127E">
        <w:t>how ‘the three great Matrimonial Vows to Love, Honour and Obey, were engraved in that Tablet she wore next her heart’.</w:t>
      </w:r>
      <w:r w:rsidR="0041127E" w:rsidRPr="0041127E">
        <w:rPr>
          <w:vertAlign w:val="superscript"/>
        </w:rPr>
        <w:footnoteReference w:id="146"/>
      </w:r>
      <w:r w:rsidR="0041127E" w:rsidRPr="0041127E">
        <w:t xml:space="preserve"> ‘Tablet’ was a contemporary term for a piece of jewellery. It denote</w:t>
      </w:r>
      <w:r w:rsidR="00A829CC">
        <w:t>d</w:t>
      </w:r>
      <w:r w:rsidR="0041127E" w:rsidRPr="0041127E">
        <w:t xml:space="preserve"> flat, ‘tablet-cut' precious stone</w:t>
      </w:r>
      <w:r w:rsidR="00A829CC">
        <w:t>s</w:t>
      </w:r>
      <w:r w:rsidR="0041127E" w:rsidRPr="0041127E">
        <w:t xml:space="preserve"> or metal</w:t>
      </w:r>
      <w:r w:rsidR="00A829CC">
        <w:t>s</w:t>
      </w:r>
      <w:r w:rsidR="00190390">
        <w:t xml:space="preserve"> as well as </w:t>
      </w:r>
      <w:r w:rsidR="00D37A44">
        <w:t>– as is most likely on this occasion –</w:t>
      </w:r>
      <w:r w:rsidR="00190390">
        <w:t xml:space="preserve"> </w:t>
      </w:r>
      <w:r w:rsidR="0041127E" w:rsidRPr="0041127E">
        <w:t>hinged locket</w:t>
      </w:r>
      <w:r w:rsidR="006500C9">
        <w:t>s</w:t>
      </w:r>
      <w:r w:rsidR="0041127E" w:rsidRPr="0041127E">
        <w:t xml:space="preserve"> or pendant</w:t>
      </w:r>
      <w:r w:rsidR="006500C9">
        <w:t>s</w:t>
      </w:r>
      <w:r w:rsidR="0041127E" w:rsidRPr="0041127E">
        <w:t xml:space="preserve">, which often opened to reveal </w:t>
      </w:r>
      <w:r>
        <w:t xml:space="preserve">portrait </w:t>
      </w:r>
      <w:r w:rsidR="0041127E" w:rsidRPr="0041127E">
        <w:t>miniature</w:t>
      </w:r>
      <w:r w:rsidR="00FB1A4B">
        <w:t>s</w:t>
      </w:r>
      <w:r w:rsidR="006500C9">
        <w:t>.</w:t>
      </w:r>
      <w:r w:rsidR="0041127E" w:rsidRPr="0041127E">
        <w:rPr>
          <w:vertAlign w:val="superscript"/>
        </w:rPr>
        <w:footnoteReference w:id="147"/>
      </w:r>
      <w:r w:rsidR="0041127E" w:rsidRPr="0041127E">
        <w:t xml:space="preserve"> </w:t>
      </w:r>
      <w:r w:rsidR="00EC0206">
        <w:t>In s</w:t>
      </w:r>
      <w:r w:rsidR="0041127E" w:rsidRPr="0041127E">
        <w:t>pecifically describ</w:t>
      </w:r>
      <w:r w:rsidR="00EC0206">
        <w:t>ing the tablet</w:t>
      </w:r>
      <w:r w:rsidR="0041127E" w:rsidRPr="0041127E">
        <w:t xml:space="preserve"> as worn next to her hear</w:t>
      </w:r>
      <w:r w:rsidR="00A15837">
        <w:t>t,</w:t>
      </w:r>
      <w:r w:rsidR="0041127E" w:rsidRPr="0041127E">
        <w:t xml:space="preserve"> </w:t>
      </w:r>
      <w:r w:rsidR="00A15837">
        <w:t xml:space="preserve">the </w:t>
      </w:r>
      <w:r w:rsidR="007B4D65">
        <w:t>writer</w:t>
      </w:r>
      <w:r w:rsidR="00EC0206">
        <w:t xml:space="preserve"> sought to</w:t>
      </w:r>
      <w:r w:rsidR="0041127E" w:rsidRPr="0041127E">
        <w:t> </w:t>
      </w:r>
      <w:r w:rsidR="000236A4">
        <w:t>emphasise</w:t>
      </w:r>
      <w:r w:rsidR="0041127E" w:rsidRPr="0041127E">
        <w:t xml:space="preserve"> </w:t>
      </w:r>
      <w:r w:rsidR="00FB1A4B">
        <w:t>Mary’s</w:t>
      </w:r>
      <w:r w:rsidR="0041127E" w:rsidRPr="0041127E">
        <w:t xml:space="preserve"> virtue as a wife, highlighting </w:t>
      </w:r>
      <w:r w:rsidR="007B2060">
        <w:t>the power her vows to</w:t>
      </w:r>
      <w:r w:rsidR="0041127E" w:rsidRPr="0041127E">
        <w:t xml:space="preserve"> </w:t>
      </w:r>
      <w:r w:rsidR="006B12EF">
        <w:t>‘Love, Honour and Obey’</w:t>
      </w:r>
      <w:r w:rsidR="0041127E" w:rsidRPr="0041127E">
        <w:t xml:space="preserve"> exercised over her actions as a result of their bodily – and </w:t>
      </w:r>
      <w:r w:rsidR="004B08C2">
        <w:t>by implication</w:t>
      </w:r>
      <w:r w:rsidR="0041127E" w:rsidRPr="0041127E">
        <w:t xml:space="preserve"> spiritual – placement.</w:t>
      </w:r>
      <w:r w:rsidR="002C0896">
        <w:t xml:space="preserve"> </w:t>
      </w:r>
      <w:r w:rsidR="00A264FD">
        <w:t xml:space="preserve">Based on wider understandings of </w:t>
      </w:r>
      <w:r w:rsidR="007B139F">
        <w:t>inscriptions and the heart already discussed, t</w:t>
      </w:r>
      <w:r w:rsidR="0041127E" w:rsidRPr="0041127E">
        <w:t xml:space="preserve">he reader </w:t>
      </w:r>
      <w:r w:rsidR="002B4F18">
        <w:t xml:space="preserve">would </w:t>
      </w:r>
      <w:r w:rsidR="0041127E" w:rsidRPr="0041127E">
        <w:t xml:space="preserve">have interpreted the inscribed words as </w:t>
      </w:r>
      <w:r w:rsidR="002B4F18">
        <w:t xml:space="preserve">indelibly </w:t>
      </w:r>
      <w:r w:rsidR="0041127E" w:rsidRPr="0041127E">
        <w:t>linked to</w:t>
      </w:r>
      <w:r w:rsidR="00807D39">
        <w:t xml:space="preserve"> the</w:t>
      </w:r>
      <w:r w:rsidR="0041127E" w:rsidRPr="0041127E">
        <w:t xml:space="preserve"> intentions</w:t>
      </w:r>
      <w:r w:rsidR="006B12EF">
        <w:t xml:space="preserve"> and behaviours o</w:t>
      </w:r>
      <w:r w:rsidR="00807D39">
        <w:t>f</w:t>
      </w:r>
      <w:r w:rsidR="006B12EF">
        <w:t xml:space="preserve"> the </w:t>
      </w:r>
      <w:r w:rsidR="00807D39">
        <w:t>queen</w:t>
      </w:r>
      <w:r w:rsidR="0041127E" w:rsidRPr="0041127E">
        <w:t>.</w:t>
      </w:r>
    </w:p>
    <w:p w14:paraId="7C50B2A2" w14:textId="505791AC" w:rsidR="0077539D" w:rsidRDefault="00CA1739" w:rsidP="008B5161">
      <w:pPr>
        <w:spacing w:after="0" w:line="480" w:lineRule="auto"/>
        <w:ind w:firstLine="720"/>
        <w:jc w:val="both"/>
      </w:pPr>
      <w:r>
        <w:t>Such understandings of inscribed objects</w:t>
      </w:r>
      <w:r w:rsidR="008D7091">
        <w:t xml:space="preserve"> would have been </w:t>
      </w:r>
      <w:r>
        <w:t xml:space="preserve">partly </w:t>
      </w:r>
      <w:r w:rsidR="008D7091">
        <w:t xml:space="preserve">reinforced by the </w:t>
      </w:r>
      <w:r w:rsidR="0044774E">
        <w:t>contemp</w:t>
      </w:r>
      <w:r w:rsidR="00DD7726">
        <w:t>orary prevalence of</w:t>
      </w:r>
      <w:r w:rsidR="003820D2">
        <w:t xml:space="preserve"> text</w:t>
      </w:r>
      <w:r w:rsidR="00DD7726">
        <w:t>ual</w:t>
      </w:r>
      <w:r w:rsidR="0077539D">
        <w:t xml:space="preserve"> amulets</w:t>
      </w:r>
      <w:r w:rsidR="00893EA1">
        <w:t>,</w:t>
      </w:r>
      <w:r w:rsidR="00507A99">
        <w:t xml:space="preserve"> intended to i</w:t>
      </w:r>
      <w:r w:rsidR="0077539D">
        <w:t>nfluenc</w:t>
      </w:r>
      <w:r w:rsidR="00507A99">
        <w:t>e</w:t>
      </w:r>
      <w:r w:rsidR="0077539D">
        <w:t xml:space="preserve"> </w:t>
      </w:r>
      <w:r w:rsidR="003808D3">
        <w:t xml:space="preserve">people’s </w:t>
      </w:r>
      <w:r w:rsidR="00893EA1">
        <w:t>actions</w:t>
      </w:r>
      <w:r w:rsidR="003808D3">
        <w:t xml:space="preserve"> and </w:t>
      </w:r>
      <w:r w:rsidR="003808D3">
        <w:lastRenderedPageBreak/>
        <w:t>circumstances</w:t>
      </w:r>
      <w:r w:rsidR="0077539D">
        <w:t>. By the seventeenth century, wearing words as talismans had been common practice for over two millennia</w:t>
      </w:r>
      <w:r w:rsidR="00130B08">
        <w:t>, having</w:t>
      </w:r>
      <w:r w:rsidR="0077539D">
        <w:t xml:space="preserve"> been widespread in pre-Christian Europe and the ancient wor</w:t>
      </w:r>
      <w:r w:rsidR="00130B08">
        <w:t>ld</w:t>
      </w:r>
      <w:r w:rsidR="0077539D">
        <w:t>.</w:t>
      </w:r>
      <w:r w:rsidR="0077539D">
        <w:rPr>
          <w:rStyle w:val="FootnoteReference"/>
        </w:rPr>
        <w:footnoteReference w:id="148"/>
      </w:r>
      <w:r w:rsidR="0077539D">
        <w:t xml:space="preserve"> </w:t>
      </w:r>
      <w:r w:rsidR="007F269C">
        <w:t>Huge numbers</w:t>
      </w:r>
      <w:r w:rsidR="0077539D">
        <w:t xml:space="preserve"> of surviving Pharaonic Egyptian hieroglyphic amulets</w:t>
      </w:r>
      <w:r w:rsidR="007F269C">
        <w:t xml:space="preserve"> </w:t>
      </w:r>
      <w:r w:rsidR="0077539D">
        <w:t xml:space="preserve">reveal profound convictions </w:t>
      </w:r>
      <w:r w:rsidR="00BC6FC4">
        <w:t>surrounding</w:t>
      </w:r>
      <w:r w:rsidR="0077539D">
        <w:t xml:space="preserve"> the power of the written word</w:t>
      </w:r>
      <w:r w:rsidR="001546A1">
        <w:t xml:space="preserve"> and its capacity to interact with</w:t>
      </w:r>
      <w:r w:rsidR="00BC6FC4">
        <w:t>,</w:t>
      </w:r>
      <w:r w:rsidR="001546A1">
        <w:t xml:space="preserve"> and influence</w:t>
      </w:r>
      <w:r w:rsidR="00BC6FC4">
        <w:t>,</w:t>
      </w:r>
      <w:r w:rsidR="001546A1">
        <w:t xml:space="preserve"> the human body</w:t>
      </w:r>
      <w:r w:rsidR="0077539D">
        <w:t>.</w:t>
      </w:r>
      <w:r w:rsidR="0077539D">
        <w:rPr>
          <w:rStyle w:val="FootnoteReference"/>
        </w:rPr>
        <w:footnoteReference w:id="149"/>
      </w:r>
      <w:r w:rsidR="0077539D">
        <w:t xml:space="preserve"> </w:t>
      </w:r>
      <w:r w:rsidR="007F269C">
        <w:t>Likewise, i</w:t>
      </w:r>
      <w:r w:rsidR="0077539D">
        <w:t>n ancient Greece, text w</w:t>
      </w:r>
      <w:r w:rsidR="00D303CA">
        <w:t>as</w:t>
      </w:r>
      <w:r w:rsidR="0077539D">
        <w:t xml:space="preserve"> inscribed </w:t>
      </w:r>
      <w:r w:rsidR="00D303CA">
        <w:t>up</w:t>
      </w:r>
      <w:r w:rsidR="0077539D">
        <w:t>on semiprecious stones</w:t>
      </w:r>
      <w:r w:rsidR="00D303CA">
        <w:t>,</w:t>
      </w:r>
      <w:r w:rsidR="0077539D">
        <w:t xml:space="preserve"> jewellery</w:t>
      </w:r>
      <w:r w:rsidR="00D303CA">
        <w:t>,</w:t>
      </w:r>
      <w:r w:rsidR="0077539D">
        <w:t xml:space="preserve"> lead and papyrus, worn directly on the body or carried within clothing</w:t>
      </w:r>
      <w:r w:rsidR="00073F4F">
        <w:t>,</w:t>
      </w:r>
      <w:r w:rsidR="0077539D">
        <w:t xml:space="preserve"> </w:t>
      </w:r>
      <w:r w:rsidR="00DA57E1">
        <w:t>while</w:t>
      </w:r>
      <w:r w:rsidR="0077539D">
        <w:t xml:space="preserve"> in ancient Rome, physicians advocated wearing papyrus inscribed with ‘abracadabra’ </w:t>
      </w:r>
      <w:r w:rsidR="00DA57E1">
        <w:t xml:space="preserve">to </w:t>
      </w:r>
      <w:r w:rsidR="00E17B34">
        <w:t>defend against</w:t>
      </w:r>
      <w:r w:rsidR="0077539D">
        <w:t xml:space="preserve"> plague.</w:t>
      </w:r>
      <w:r w:rsidR="0077539D">
        <w:rPr>
          <w:rStyle w:val="FootnoteReference"/>
        </w:rPr>
        <w:footnoteReference w:id="150"/>
      </w:r>
      <w:r w:rsidR="0077539D">
        <w:t xml:space="preserve"> Early Christians perpetuated the use of ancient textual amulets, incorporating them into rituals for protection and healing.</w:t>
      </w:r>
      <w:r w:rsidR="0077539D">
        <w:rPr>
          <w:rStyle w:val="FootnoteReference"/>
        </w:rPr>
        <w:footnoteReference w:id="151"/>
      </w:r>
      <w:r w:rsidR="0077539D">
        <w:t xml:space="preserve"> Although</w:t>
      </w:r>
      <w:r w:rsidR="00864602">
        <w:t xml:space="preserve"> </w:t>
      </w:r>
      <w:r w:rsidR="0077539D">
        <w:t xml:space="preserve">condemned </w:t>
      </w:r>
      <w:r w:rsidR="00F87F40">
        <w:t>(</w:t>
      </w:r>
      <w:r w:rsidR="0077539D">
        <w:t>to varying degrees</w:t>
      </w:r>
      <w:r w:rsidR="00F87F40">
        <w:t>)</w:t>
      </w:r>
      <w:r w:rsidR="0077539D">
        <w:t xml:space="preserve"> as superstitious paganism by theologians and clerics over hundreds of years, Don </w:t>
      </w:r>
      <w:proofErr w:type="spellStart"/>
      <w:r w:rsidR="0077539D">
        <w:t>Skemer</w:t>
      </w:r>
      <w:proofErr w:type="spellEnd"/>
      <w:r w:rsidR="0077539D">
        <w:t xml:space="preserve"> has demonstrated how, by the end of the Middle Ages, the use of text</w:t>
      </w:r>
      <w:r w:rsidR="00555515">
        <w:t xml:space="preserve"> as a means of protection</w:t>
      </w:r>
      <w:r w:rsidR="0077539D">
        <w:t xml:space="preserve"> was a thriving, widespread practice at the heart of Christian society.</w:t>
      </w:r>
      <w:r w:rsidR="0077539D">
        <w:rPr>
          <w:rStyle w:val="FootnoteReference"/>
        </w:rPr>
        <w:footnoteReference w:id="152"/>
      </w:r>
    </w:p>
    <w:p w14:paraId="3EE1E896" w14:textId="6D2DCF4D" w:rsidR="002E2F7B" w:rsidRDefault="0077539D" w:rsidP="0077539D">
      <w:pPr>
        <w:spacing w:line="480" w:lineRule="auto"/>
        <w:jc w:val="both"/>
      </w:pPr>
      <w:r>
        <w:tab/>
      </w:r>
      <w:r w:rsidR="00044074">
        <w:t>T</w:t>
      </w:r>
      <w:r w:rsidR="00047A1E">
        <w:t xml:space="preserve">extual inscriptions </w:t>
      </w:r>
      <w:r w:rsidR="00E53D50">
        <w:t>were used for similar purposes</w:t>
      </w:r>
      <w:r w:rsidR="00047A1E">
        <w:t xml:space="preserve"> into</w:t>
      </w:r>
      <w:r w:rsidR="00E40D0B">
        <w:t xml:space="preserve"> the early modern period</w:t>
      </w:r>
      <w:r w:rsidR="009627F8">
        <w:t xml:space="preserve">, </w:t>
      </w:r>
      <w:r w:rsidR="005B18E8">
        <w:t xml:space="preserve">understood as a means of </w:t>
      </w:r>
      <w:r w:rsidR="00FE514F">
        <w:t>protecting the body in the present and</w:t>
      </w:r>
      <w:r w:rsidR="00174754">
        <w:t xml:space="preserve"> influencing its future</w:t>
      </w:r>
      <w:r w:rsidR="00465A26">
        <w:t>.</w:t>
      </w:r>
      <w:r w:rsidR="00174754">
        <w:t xml:space="preserve"> </w:t>
      </w:r>
      <w:r w:rsidR="005B43C4">
        <w:rPr>
          <w:iCs/>
        </w:rPr>
        <w:t xml:space="preserve">In 1609, medical-astrologer Simon Forman </w:t>
      </w:r>
      <w:r w:rsidR="00073F4F">
        <w:rPr>
          <w:iCs/>
        </w:rPr>
        <w:t>tattoo</w:t>
      </w:r>
      <w:r w:rsidR="005B43C4">
        <w:rPr>
          <w:iCs/>
        </w:rPr>
        <w:t>ed</w:t>
      </w:r>
      <w:r w:rsidR="004D65F3">
        <w:rPr>
          <w:iCs/>
        </w:rPr>
        <w:t xml:space="preserve"> his skin with</w:t>
      </w:r>
      <w:r w:rsidR="005B43C4">
        <w:rPr>
          <w:iCs/>
        </w:rPr>
        <w:t xml:space="preserve"> the marks of Venus, Jupiter and Cancer</w:t>
      </w:r>
      <w:r w:rsidR="00073F4F">
        <w:rPr>
          <w:iCs/>
        </w:rPr>
        <w:t>.</w:t>
      </w:r>
      <w:r w:rsidR="003962B1">
        <w:rPr>
          <w:rStyle w:val="FootnoteReference"/>
          <w:iCs/>
        </w:rPr>
        <w:footnoteReference w:id="153"/>
      </w:r>
      <w:r w:rsidR="00073F4F">
        <w:rPr>
          <w:iCs/>
        </w:rPr>
        <w:t xml:space="preserve"> B</w:t>
      </w:r>
      <w:r w:rsidR="00300EE4">
        <w:rPr>
          <w:iCs/>
        </w:rPr>
        <w:t>y</w:t>
      </w:r>
      <w:r w:rsidR="005B43C4">
        <w:rPr>
          <w:iCs/>
        </w:rPr>
        <w:t xml:space="preserve"> placing favourable celestial alignments </w:t>
      </w:r>
      <w:r w:rsidR="00CB1FD9">
        <w:rPr>
          <w:iCs/>
        </w:rPr>
        <w:t xml:space="preserve">upon his body </w:t>
      </w:r>
      <w:r w:rsidR="00073F4F">
        <w:rPr>
          <w:iCs/>
        </w:rPr>
        <w:t>and</w:t>
      </w:r>
      <w:r w:rsidR="00262048">
        <w:rPr>
          <w:iCs/>
        </w:rPr>
        <w:t xml:space="preserve"> </w:t>
      </w:r>
      <w:r w:rsidR="00F538C7">
        <w:rPr>
          <w:iCs/>
        </w:rPr>
        <w:t xml:space="preserve">conferring </w:t>
      </w:r>
      <w:r w:rsidR="00CB1FD9">
        <w:rPr>
          <w:iCs/>
        </w:rPr>
        <w:t xml:space="preserve">it with </w:t>
      </w:r>
      <w:r w:rsidR="00F538C7">
        <w:rPr>
          <w:iCs/>
        </w:rPr>
        <w:t>talismanic</w:t>
      </w:r>
      <w:r w:rsidR="005F275A">
        <w:rPr>
          <w:iCs/>
        </w:rPr>
        <w:t xml:space="preserve"> power through inscription</w:t>
      </w:r>
      <w:r w:rsidR="00073F4F">
        <w:rPr>
          <w:iCs/>
        </w:rPr>
        <w:t xml:space="preserve">, he hoped to positively alter </w:t>
      </w:r>
      <w:r w:rsidR="002001C6">
        <w:rPr>
          <w:iCs/>
        </w:rPr>
        <w:t>his destiny</w:t>
      </w:r>
      <w:r w:rsidR="005B43C4">
        <w:rPr>
          <w:iCs/>
        </w:rPr>
        <w:t>.</w:t>
      </w:r>
      <w:r w:rsidR="005B43C4">
        <w:rPr>
          <w:rStyle w:val="FootnoteReference"/>
          <w:iCs/>
        </w:rPr>
        <w:footnoteReference w:id="154"/>
      </w:r>
      <w:r w:rsidR="005B43C4">
        <w:rPr>
          <w:iCs/>
        </w:rPr>
        <w:t xml:space="preserve"> </w:t>
      </w:r>
      <w:r w:rsidR="00717FBA">
        <w:rPr>
          <w:iCs/>
        </w:rPr>
        <w:t>Connecting</w:t>
      </w:r>
      <w:r w:rsidR="00AB3EBB">
        <w:rPr>
          <w:iCs/>
        </w:rPr>
        <w:t xml:space="preserve"> </w:t>
      </w:r>
      <w:r w:rsidR="00717FBA">
        <w:rPr>
          <w:iCs/>
        </w:rPr>
        <w:lastRenderedPageBreak/>
        <w:t>the</w:t>
      </w:r>
      <w:r w:rsidR="00F46318">
        <w:rPr>
          <w:iCs/>
        </w:rPr>
        <w:t xml:space="preserve"> </w:t>
      </w:r>
      <w:r w:rsidR="00E0092E">
        <w:rPr>
          <w:iCs/>
        </w:rPr>
        <w:t xml:space="preserve">astrological </w:t>
      </w:r>
      <w:r w:rsidR="00F46318">
        <w:rPr>
          <w:iCs/>
        </w:rPr>
        <w:t>interests</w:t>
      </w:r>
      <w:r w:rsidR="00AF7BE2">
        <w:rPr>
          <w:iCs/>
        </w:rPr>
        <w:t xml:space="preserve"> </w:t>
      </w:r>
      <w:r w:rsidR="00E0092E">
        <w:rPr>
          <w:iCs/>
        </w:rPr>
        <w:t xml:space="preserve">of his contemporaries with </w:t>
      </w:r>
      <w:r w:rsidR="00F46318">
        <w:rPr>
          <w:iCs/>
        </w:rPr>
        <w:t xml:space="preserve">the </w:t>
      </w:r>
      <w:r w:rsidR="00A3760C">
        <w:rPr>
          <w:iCs/>
        </w:rPr>
        <w:t>use of</w:t>
      </w:r>
      <w:r w:rsidR="00AB3EBB">
        <w:rPr>
          <w:iCs/>
        </w:rPr>
        <w:t xml:space="preserve"> talismanic objects, </w:t>
      </w:r>
      <w:r w:rsidR="002001C6">
        <w:rPr>
          <w:iCs/>
        </w:rPr>
        <w:t xml:space="preserve">natural philosopher </w:t>
      </w:r>
      <w:r w:rsidR="00AB3EBB" w:rsidRPr="0051627C">
        <w:t xml:space="preserve">Francis Bacon </w:t>
      </w:r>
      <w:r w:rsidR="004A779B">
        <w:t>acknowledged</w:t>
      </w:r>
      <w:r w:rsidR="00AB3EBB" w:rsidRPr="0051627C">
        <w:t xml:space="preserve"> in 1626 that ‘If a Man carries a Planets Seal, or a Ring, or some Part of a Beast, believing strongly</w:t>
      </w:r>
      <w:r w:rsidR="00375B82">
        <w:t>’ then ‘</w:t>
      </w:r>
      <w:r w:rsidR="00AB3EBB" w:rsidRPr="0051627C">
        <w:t>It may make him more Active, and Industrious; and again, more Confident and Persisting, than otherwise he would be’.</w:t>
      </w:r>
      <w:r w:rsidR="00AB3EBB">
        <w:rPr>
          <w:rStyle w:val="FootnoteReference"/>
        </w:rPr>
        <w:footnoteReference w:id="155"/>
      </w:r>
      <w:r w:rsidR="00AB3EBB">
        <w:t xml:space="preserve"> Just as Forman </w:t>
      </w:r>
      <w:r w:rsidR="00AF3402">
        <w:t xml:space="preserve">used </w:t>
      </w:r>
      <w:r w:rsidR="00AB3EBB">
        <w:t>c</w:t>
      </w:r>
      <w:r w:rsidR="00D10C26">
        <w:t xml:space="preserve">osmic </w:t>
      </w:r>
      <w:r w:rsidR="00AF3402">
        <w:t>inscriptions</w:t>
      </w:r>
      <w:r w:rsidR="00AB3EBB">
        <w:t xml:space="preserve"> to change his fate, Bacon </w:t>
      </w:r>
      <w:r w:rsidR="00996ACF">
        <w:t>hinted that ot</w:t>
      </w:r>
      <w:r w:rsidR="00AB3EBB">
        <w:t xml:space="preserve">hers were using talismans and engraved objects to </w:t>
      </w:r>
      <w:r w:rsidR="00AF3402">
        <w:t>improve their situations</w:t>
      </w:r>
      <w:r w:rsidR="003D24A7">
        <w:t>.</w:t>
      </w:r>
      <w:r w:rsidR="006129ED">
        <w:t xml:space="preserve"> Multiple historians have shown how</w:t>
      </w:r>
      <w:r w:rsidR="00F21B52">
        <w:t xml:space="preserve"> </w:t>
      </w:r>
      <w:r w:rsidR="006129ED">
        <w:t>t</w:t>
      </w:r>
      <w:r w:rsidR="000161C9">
        <w:t xml:space="preserve">he materiality of text </w:t>
      </w:r>
      <w:r w:rsidR="00655DD0">
        <w:t xml:space="preserve">was key to its power, </w:t>
      </w:r>
      <w:r w:rsidR="006129ED">
        <w:t>with</w:t>
      </w:r>
      <w:r w:rsidR="003F4A18">
        <w:t xml:space="preserve"> </w:t>
      </w:r>
      <w:r w:rsidR="004D10B1">
        <w:t xml:space="preserve">David Cressy </w:t>
      </w:r>
      <w:r w:rsidR="004D5369">
        <w:t>highlight</w:t>
      </w:r>
      <w:r w:rsidR="006129ED">
        <w:t>ing</w:t>
      </w:r>
      <w:r w:rsidR="004D5369">
        <w:t xml:space="preserve"> how bibles and biblical </w:t>
      </w:r>
      <w:r w:rsidR="009B5A7F">
        <w:t>passages</w:t>
      </w:r>
      <w:r w:rsidR="004D5369">
        <w:t xml:space="preserve"> </w:t>
      </w:r>
      <w:r w:rsidR="003F4A18">
        <w:t xml:space="preserve">were </w:t>
      </w:r>
      <w:r w:rsidR="004D5369">
        <w:t>valu</w:t>
      </w:r>
      <w:r w:rsidR="003F4A18">
        <w:t>able</w:t>
      </w:r>
      <w:r w:rsidR="004D5369">
        <w:t xml:space="preserve"> healing</w:t>
      </w:r>
      <w:r w:rsidR="003F4A18">
        <w:t xml:space="preserve"> tools</w:t>
      </w:r>
      <w:r w:rsidR="00EE749D">
        <w:t xml:space="preserve"> and </w:t>
      </w:r>
      <w:r w:rsidR="004D5369">
        <w:t>Margaret Healy discus</w:t>
      </w:r>
      <w:r w:rsidR="00EE749D">
        <w:t>sing</w:t>
      </w:r>
      <w:r w:rsidR="004D5369">
        <w:t xml:space="preserve"> the use of pocket-bibles as protective objects in the Civil War, worn on the body</w:t>
      </w:r>
      <w:r w:rsidR="00CC54C9">
        <w:t xml:space="preserve"> to defend against injury</w:t>
      </w:r>
      <w:r w:rsidR="004D5369">
        <w:t>.</w:t>
      </w:r>
      <w:r w:rsidR="004D5369">
        <w:rPr>
          <w:rStyle w:val="FootnoteReference"/>
        </w:rPr>
        <w:footnoteReference w:id="156"/>
      </w:r>
      <w:r w:rsidR="00CC54C9">
        <w:t xml:space="preserve"> </w:t>
      </w:r>
      <w:r w:rsidR="003D7950">
        <w:t>T</w:t>
      </w:r>
      <w:r w:rsidR="00EE749D">
        <w:t>aken together, it is clear that the</w:t>
      </w:r>
      <w:r w:rsidR="009C483C">
        <w:t xml:space="preserve"> presence of t</w:t>
      </w:r>
      <w:r w:rsidR="006C36C9">
        <w:t>ext</w:t>
      </w:r>
      <w:r w:rsidR="009C483C">
        <w:t xml:space="preserve"> and inscriptions</w:t>
      </w:r>
      <w:r w:rsidR="006C36C9">
        <w:t xml:space="preserve"> </w:t>
      </w:r>
      <w:r w:rsidR="009C483C">
        <w:t xml:space="preserve">intensified belief and </w:t>
      </w:r>
      <w:r w:rsidR="006C36C9">
        <w:t xml:space="preserve">was a crucial element </w:t>
      </w:r>
      <w:r w:rsidR="003D7950">
        <w:t>i</w:t>
      </w:r>
      <w:r w:rsidR="009C483C">
        <w:t>n</w:t>
      </w:r>
      <w:r w:rsidR="006878A7">
        <w:t xml:space="preserve"> relationship</w:t>
      </w:r>
      <w:r w:rsidR="009C483C">
        <w:t>s</w:t>
      </w:r>
      <w:r w:rsidR="006878A7">
        <w:t xml:space="preserve"> between object</w:t>
      </w:r>
      <w:r w:rsidR="003D7950">
        <w:t>s</w:t>
      </w:r>
      <w:r w:rsidR="006878A7">
        <w:t xml:space="preserve"> and </w:t>
      </w:r>
      <w:r w:rsidR="00A34493">
        <w:t xml:space="preserve">their </w:t>
      </w:r>
      <w:r w:rsidR="006878A7">
        <w:t>owner</w:t>
      </w:r>
      <w:r w:rsidR="003D7950">
        <w:t>s</w:t>
      </w:r>
      <w:r w:rsidR="009C483C">
        <w:t>.</w:t>
      </w:r>
      <w:r w:rsidR="006878A7">
        <w:t xml:space="preserve"> </w:t>
      </w:r>
    </w:p>
    <w:p w14:paraId="7BA4A685" w14:textId="27DA4158" w:rsidR="00393825" w:rsidRDefault="006E3941" w:rsidP="003B1E17">
      <w:pPr>
        <w:spacing w:line="480" w:lineRule="auto"/>
        <w:ind w:firstLine="720"/>
        <w:jc w:val="both"/>
      </w:pPr>
      <w:r>
        <w:t>Importantly</w:t>
      </w:r>
      <w:r w:rsidR="00DF1117">
        <w:t xml:space="preserve">, </w:t>
      </w:r>
      <w:r w:rsidR="00EE04C0">
        <w:t>belief in</w:t>
      </w:r>
      <w:r w:rsidR="009D1EDC">
        <w:t xml:space="preserve"> t</w:t>
      </w:r>
      <w:r w:rsidR="00AD187F">
        <w:t xml:space="preserve">he potency of text was not </w:t>
      </w:r>
      <w:r w:rsidR="007F6687">
        <w:t xml:space="preserve">limited to purely ‘superstitious’ practices and was not </w:t>
      </w:r>
      <w:r w:rsidR="00AD187F">
        <w:t>a peripheral or une</w:t>
      </w:r>
      <w:r w:rsidR="00171290">
        <w:t>d</w:t>
      </w:r>
      <w:r w:rsidR="00AD187F">
        <w:t xml:space="preserve">ucated perspective. </w:t>
      </w:r>
      <w:r w:rsidR="00F703FC">
        <w:t>Proponents of ‘natural magic’</w:t>
      </w:r>
      <w:r w:rsidR="00527046">
        <w:t xml:space="preserve"> – including Isaac Newton – placed faith in</w:t>
      </w:r>
      <w:r w:rsidR="00F703FC">
        <w:t xml:space="preserve"> the innate power of words.</w:t>
      </w:r>
      <w:r w:rsidR="00527046">
        <w:rPr>
          <w:rStyle w:val="FootnoteReference"/>
        </w:rPr>
        <w:footnoteReference w:id="157"/>
      </w:r>
      <w:r w:rsidR="00F703FC">
        <w:t xml:space="preserve"> </w:t>
      </w:r>
      <w:r w:rsidR="00EE749D">
        <w:t>Although n</w:t>
      </w:r>
      <w:r w:rsidR="00040E90">
        <w:t>atural magic was</w:t>
      </w:r>
      <w:r w:rsidR="00F703FC">
        <w:t xml:space="preserve"> subsumed into</w:t>
      </w:r>
      <w:r w:rsidR="00F4060D">
        <w:t xml:space="preserve"> science and natural philosophy,</w:t>
      </w:r>
      <w:r w:rsidR="00040E90">
        <w:t xml:space="preserve"> </w:t>
      </w:r>
      <w:r w:rsidR="00EE749D">
        <w:t>i</w:t>
      </w:r>
      <w:r w:rsidR="00040E90">
        <w:t xml:space="preserve">t </w:t>
      </w:r>
      <w:r w:rsidR="00F4060D">
        <w:t>included many customs that would be considered magical today.</w:t>
      </w:r>
      <w:r w:rsidR="00527046">
        <w:rPr>
          <w:rStyle w:val="FootnoteReference"/>
        </w:rPr>
        <w:footnoteReference w:id="158"/>
      </w:r>
      <w:r w:rsidR="00F4060D">
        <w:t xml:space="preserve"> </w:t>
      </w:r>
      <w:r w:rsidR="001055F8">
        <w:t>Francis Bacon, for example, purs</w:t>
      </w:r>
      <w:r w:rsidR="00073601">
        <w:t>u</w:t>
      </w:r>
      <w:r w:rsidR="001055F8">
        <w:t>ed the recovery of ‘Adamic language’ in the early 1600s, searching for words lost in the Fall that had been given to Adam by God and which captured the ‘true essence’ of things</w:t>
      </w:r>
      <w:r w:rsidR="00B1300C">
        <w:t>.</w:t>
      </w:r>
      <w:r w:rsidR="00B1300C">
        <w:rPr>
          <w:rStyle w:val="FootnoteReference"/>
        </w:rPr>
        <w:footnoteReference w:id="159"/>
      </w:r>
      <w:r w:rsidR="00B1300C">
        <w:t xml:space="preserve"> In rediscovering these words, Bacon hoped to restore mankind’s pre-eminence and power over nature, wielded </w:t>
      </w:r>
      <w:r w:rsidR="00B1300C">
        <w:lastRenderedPageBreak/>
        <w:t>through linguistic knowledge.</w:t>
      </w:r>
      <w:r w:rsidR="00B1300C" w:rsidRPr="00B1300C">
        <w:rPr>
          <w:vertAlign w:val="superscript"/>
        </w:rPr>
        <w:footnoteReference w:id="160"/>
      </w:r>
      <w:r w:rsidR="00B1300C">
        <w:t xml:space="preserve"> </w:t>
      </w:r>
      <w:r w:rsidR="0099613A">
        <w:t>T</w:t>
      </w:r>
      <w:r w:rsidR="00A37F8C">
        <w:t xml:space="preserve">ext and </w:t>
      </w:r>
      <w:r w:rsidR="00580B70">
        <w:t>t</w:t>
      </w:r>
      <w:r w:rsidR="0077539D">
        <w:t xml:space="preserve">extual amulets </w:t>
      </w:r>
      <w:r w:rsidR="006A0E05">
        <w:t>also formed</w:t>
      </w:r>
      <w:r w:rsidR="0077539D">
        <w:t xml:space="preserve"> an important part of</w:t>
      </w:r>
      <w:r w:rsidR="00580B70">
        <w:t xml:space="preserve"> contemporary</w:t>
      </w:r>
      <w:r w:rsidR="0077539D">
        <w:t xml:space="preserve"> charm traditions</w:t>
      </w:r>
      <w:r w:rsidR="0066446A">
        <w:t>,</w:t>
      </w:r>
      <w:r w:rsidR="0099613A">
        <w:t xml:space="preserve"> </w:t>
      </w:r>
      <w:r w:rsidR="009B7729">
        <w:t>and</w:t>
      </w:r>
      <w:r w:rsidR="0077539D">
        <w:t xml:space="preserve"> Owen Davies has highlighted the central role of text in English charms</w:t>
      </w:r>
      <w:r w:rsidR="001150BA">
        <w:t xml:space="preserve"> in particular</w:t>
      </w:r>
      <w:r w:rsidR="0077539D">
        <w:t>, which he has attributed to Protestant emphases on the written word.</w:t>
      </w:r>
      <w:r w:rsidR="00972F29">
        <w:rPr>
          <w:rStyle w:val="FootnoteReference"/>
        </w:rPr>
        <w:footnoteReference w:id="161"/>
      </w:r>
      <w:r w:rsidR="0077539D">
        <w:t xml:space="preserve"> </w:t>
      </w:r>
      <w:r w:rsidR="00E80E42">
        <w:t xml:space="preserve">Paralleling the pursuit of the ‘essence of things’ in natural philosophy, </w:t>
      </w:r>
      <w:r w:rsidR="005103A3">
        <w:t xml:space="preserve">English </w:t>
      </w:r>
      <w:r w:rsidR="00E80E42">
        <w:t>Protestant</w:t>
      </w:r>
      <w:r w:rsidR="006E5545">
        <w:t>s</w:t>
      </w:r>
      <w:r w:rsidR="00E80E42">
        <w:t xml:space="preserve"> often</w:t>
      </w:r>
      <w:r w:rsidR="003C29F7">
        <w:t xml:space="preserve"> saw text as central to a </w:t>
      </w:r>
      <w:r w:rsidR="00E80E42">
        <w:t>return</w:t>
      </w:r>
      <w:r w:rsidR="003C29F7">
        <w:t xml:space="preserve"> </w:t>
      </w:r>
      <w:r w:rsidR="00E80E42">
        <w:t xml:space="preserve">to the </w:t>
      </w:r>
      <w:r w:rsidR="00112833">
        <w:t>‘primitive’ early church, guided by the purity of sc</w:t>
      </w:r>
      <w:r w:rsidR="000759F8">
        <w:t>ripture.</w:t>
      </w:r>
      <w:r w:rsidR="000759F8">
        <w:rPr>
          <w:rStyle w:val="FootnoteReference"/>
        </w:rPr>
        <w:footnoteReference w:id="162"/>
      </w:r>
      <w:r w:rsidR="007650BC" w:rsidRPr="007650BC">
        <w:t xml:space="preserve"> </w:t>
      </w:r>
      <w:r w:rsidR="007650BC">
        <w:t>In contrast with French charms, which were most often performed solely through oral incantation and recitation, English equivalents were</w:t>
      </w:r>
      <w:r w:rsidR="00281FC5">
        <w:t xml:space="preserve"> more likely to be</w:t>
      </w:r>
      <w:r w:rsidR="007650BC">
        <w:t xml:space="preserve"> activated when written down or through being inscribed and subsequently worn by the affected person.</w:t>
      </w:r>
      <w:r w:rsidR="007650BC">
        <w:rPr>
          <w:rStyle w:val="FootnoteReference"/>
        </w:rPr>
        <w:footnoteReference w:id="163"/>
      </w:r>
      <w:r w:rsidR="00AF45EF">
        <w:t xml:space="preserve"> </w:t>
      </w:r>
      <w:r w:rsidR="005E4B61">
        <w:t xml:space="preserve">Text </w:t>
      </w:r>
      <w:r w:rsidR="00944F4E">
        <w:t xml:space="preserve">was key for contemporary </w:t>
      </w:r>
      <w:r w:rsidR="00144DA9">
        <w:t>natural philosophers</w:t>
      </w:r>
      <w:r w:rsidR="00944F4E">
        <w:t>, clerics</w:t>
      </w:r>
      <w:r w:rsidR="00957CAC">
        <w:t>, astrologers</w:t>
      </w:r>
      <w:r w:rsidR="00944F4E">
        <w:t xml:space="preserve"> and charm-makers</w:t>
      </w:r>
      <w:r w:rsidR="00F258D5">
        <w:t xml:space="preserve"> and was</w:t>
      </w:r>
      <w:r w:rsidR="00944F4E">
        <w:t xml:space="preserve"> </w:t>
      </w:r>
      <w:r w:rsidR="002124E3">
        <w:t>highly esteemed</w:t>
      </w:r>
      <w:r w:rsidR="0003492E">
        <w:t xml:space="preserve"> </w:t>
      </w:r>
      <w:r w:rsidR="002124E3">
        <w:t>with</w:t>
      </w:r>
      <w:r w:rsidR="00944F4E">
        <w:t xml:space="preserve">in </w:t>
      </w:r>
      <w:r w:rsidR="0073501E">
        <w:t xml:space="preserve">learned, </w:t>
      </w:r>
      <w:r w:rsidR="00944F4E">
        <w:t xml:space="preserve">religious and ‘superstitious’ </w:t>
      </w:r>
      <w:r w:rsidR="002124E3">
        <w:t>practices</w:t>
      </w:r>
      <w:r w:rsidR="0097051C">
        <w:t>,</w:t>
      </w:r>
      <w:r w:rsidR="009103D9">
        <w:t xml:space="preserve"> understood as holding considerable power</w:t>
      </w:r>
      <w:r w:rsidR="002124E3">
        <w:t xml:space="preserve"> by </w:t>
      </w:r>
      <w:r w:rsidR="00957CAC">
        <w:t>a considerable proportion of ear</w:t>
      </w:r>
      <w:r w:rsidR="002124E3">
        <w:t>ly modern English society.</w:t>
      </w:r>
    </w:p>
    <w:p w14:paraId="769528F6" w14:textId="1820FAFD" w:rsidR="0077539D" w:rsidRDefault="0077539D" w:rsidP="002304EA">
      <w:pPr>
        <w:spacing w:line="480" w:lineRule="auto"/>
        <w:ind w:firstLine="720"/>
        <w:jc w:val="both"/>
      </w:pPr>
      <w:r>
        <w:t xml:space="preserve">Many of the charms Davies has </w:t>
      </w:r>
      <w:r w:rsidR="005725DE">
        <w:t xml:space="preserve">discussed </w:t>
      </w:r>
      <w:r>
        <w:t xml:space="preserve">were </w:t>
      </w:r>
      <w:r w:rsidR="005725DE">
        <w:t xml:space="preserve">used for </w:t>
      </w:r>
      <w:r>
        <w:t>h</w:t>
      </w:r>
      <w:r w:rsidR="002F211B">
        <w:t>elp</w:t>
      </w:r>
      <w:r>
        <w:t>ing the sick or injured</w:t>
      </w:r>
      <w:r w:rsidR="003B1E17">
        <w:t>.</w:t>
      </w:r>
      <w:r>
        <w:t xml:space="preserve"> </w:t>
      </w:r>
      <w:r w:rsidR="00957CAC">
        <w:t xml:space="preserve">Just as </w:t>
      </w:r>
      <w:r w:rsidR="001E3BBC">
        <w:t>Forman inscri</w:t>
      </w:r>
      <w:r w:rsidR="00957CAC">
        <w:t>bed</w:t>
      </w:r>
      <w:r w:rsidR="001E3BBC">
        <w:t xml:space="preserve"> his skin, </w:t>
      </w:r>
      <w:r>
        <w:t xml:space="preserve">Jennifer Allen Rosecrans has </w:t>
      </w:r>
      <w:r w:rsidR="00FA4F76">
        <w:t xml:space="preserve">shown how </w:t>
      </w:r>
      <w:r w:rsidR="006B5779">
        <w:t xml:space="preserve">– in addition to amulets, charms and talismans – </w:t>
      </w:r>
      <w:r w:rsidR="00FA4F76">
        <w:t>writing on the body was deployed by physicians</w:t>
      </w:r>
      <w:r w:rsidR="006B5779">
        <w:t xml:space="preserve"> </w:t>
      </w:r>
      <w:r w:rsidR="00FA4F76">
        <w:t>to encourage healing.</w:t>
      </w:r>
      <w:r>
        <w:rPr>
          <w:rStyle w:val="FootnoteReference"/>
        </w:rPr>
        <w:footnoteReference w:id="164"/>
      </w:r>
      <w:r>
        <w:t xml:space="preserve"> As the seventeenth century progressed, physicians and contemporary scholars like Robert Boyle </w:t>
      </w:r>
      <w:r w:rsidR="00E6643F">
        <w:t>viewed textual amulets with increasing scepticism, a</w:t>
      </w:r>
      <w:r>
        <w:t xml:space="preserve">rguing </w:t>
      </w:r>
      <w:r w:rsidR="00E6643F">
        <w:t>that their efficacy was a mechanical product o</w:t>
      </w:r>
      <w:r>
        <w:t>f their constituent ingredients</w:t>
      </w:r>
      <w:r w:rsidR="00E6643F">
        <w:t xml:space="preserve"> rather than </w:t>
      </w:r>
      <w:r w:rsidR="008C4624">
        <w:t xml:space="preserve">a </w:t>
      </w:r>
      <w:r w:rsidR="009154CD">
        <w:t>produc</w:t>
      </w:r>
      <w:r w:rsidR="008C4624">
        <w:t xml:space="preserve">t </w:t>
      </w:r>
      <w:r w:rsidR="008C4624">
        <w:lastRenderedPageBreak/>
        <w:t>of</w:t>
      </w:r>
      <w:r w:rsidR="009154CD">
        <w:t xml:space="preserve"> </w:t>
      </w:r>
      <w:r w:rsidR="00E6643F">
        <w:t>text</w:t>
      </w:r>
      <w:r w:rsidR="009154CD">
        <w:t xml:space="preserve"> itself</w:t>
      </w:r>
      <w:r>
        <w:t>.</w:t>
      </w:r>
      <w:r>
        <w:rPr>
          <w:rStyle w:val="FootnoteReference"/>
        </w:rPr>
        <w:footnoteReference w:id="165"/>
      </w:r>
      <w:r>
        <w:t xml:space="preserve"> Learned figures like Boyle wrote in response to persistent practices, however</w:t>
      </w:r>
      <w:r w:rsidR="003518B4">
        <w:t>, and</w:t>
      </w:r>
      <w:r w:rsidR="00A40E89">
        <w:t xml:space="preserve"> it is evident that</w:t>
      </w:r>
      <w:r w:rsidR="003518B4">
        <w:t xml:space="preserve"> text remained </w:t>
      </w:r>
      <w:r w:rsidR="00E0362B">
        <w:t xml:space="preserve">a </w:t>
      </w:r>
      <w:r w:rsidR="003518B4">
        <w:t xml:space="preserve">central </w:t>
      </w:r>
      <w:r w:rsidR="00E0362B">
        <w:t>tool for</w:t>
      </w:r>
      <w:r w:rsidR="00794931">
        <w:t xml:space="preserve"> protection and </w:t>
      </w:r>
      <w:r w:rsidR="00E0362B">
        <w:t>good fortune</w:t>
      </w:r>
      <w:r w:rsidR="00794931">
        <w:t>.</w:t>
      </w:r>
      <w:r>
        <w:t xml:space="preserve"> In </w:t>
      </w:r>
      <w:r>
        <w:rPr>
          <w:i/>
          <w:iCs/>
        </w:rPr>
        <w:t xml:space="preserve">A </w:t>
      </w:r>
      <w:r w:rsidRPr="00D2565E">
        <w:rPr>
          <w:i/>
        </w:rPr>
        <w:t xml:space="preserve">Journal of </w:t>
      </w:r>
      <w:r>
        <w:rPr>
          <w:i/>
        </w:rPr>
        <w:t>the</w:t>
      </w:r>
      <w:r w:rsidRPr="00D2565E">
        <w:rPr>
          <w:i/>
        </w:rPr>
        <w:t xml:space="preserve"> Plague Year</w:t>
      </w:r>
      <w:r w:rsidR="003458DF">
        <w:rPr>
          <w:i/>
        </w:rPr>
        <w:t xml:space="preserve"> </w:t>
      </w:r>
      <w:r w:rsidR="003458DF">
        <w:rPr>
          <w:iCs/>
        </w:rPr>
        <w:t>(1722)</w:t>
      </w:r>
      <w:r>
        <w:rPr>
          <w:i/>
        </w:rPr>
        <w:t xml:space="preserve">, </w:t>
      </w:r>
      <w:r>
        <w:rPr>
          <w:iCs/>
        </w:rPr>
        <w:t xml:space="preserve">Daniel Defoe </w:t>
      </w:r>
      <w:r w:rsidR="00A40E89">
        <w:rPr>
          <w:iCs/>
        </w:rPr>
        <w:t>describe</w:t>
      </w:r>
      <w:r w:rsidR="000F0219">
        <w:rPr>
          <w:iCs/>
        </w:rPr>
        <w:t>d how</w:t>
      </w:r>
      <w:r>
        <w:rPr>
          <w:iCs/>
        </w:rPr>
        <w:t xml:space="preserve"> ‘the People </w:t>
      </w:r>
      <w:proofErr w:type="spellStart"/>
      <w:r>
        <w:rPr>
          <w:iCs/>
        </w:rPr>
        <w:t>deceiv’d</w:t>
      </w:r>
      <w:proofErr w:type="spellEnd"/>
      <w:r>
        <w:rPr>
          <w:iCs/>
        </w:rPr>
        <w:t>’ us</w:t>
      </w:r>
      <w:r w:rsidR="000F0219">
        <w:rPr>
          <w:iCs/>
        </w:rPr>
        <w:t>ed</w:t>
      </w:r>
      <w:r>
        <w:rPr>
          <w:iCs/>
        </w:rPr>
        <w:t xml:space="preserve"> amulets inscribed with ‘Abracadabra, </w:t>
      </w:r>
      <w:proofErr w:type="spellStart"/>
      <w:r>
        <w:rPr>
          <w:iCs/>
        </w:rPr>
        <w:t>form’d</w:t>
      </w:r>
      <w:proofErr w:type="spellEnd"/>
      <w:r>
        <w:rPr>
          <w:iCs/>
        </w:rPr>
        <w:t xml:space="preserve"> in Triangle’ to ‘fortify the Body … against the Plague’</w:t>
      </w:r>
      <w:r w:rsidR="00BA7F92">
        <w:rPr>
          <w:iCs/>
        </w:rPr>
        <w:t xml:space="preserve">, citing a practice </w:t>
      </w:r>
      <w:r w:rsidR="004270DF">
        <w:rPr>
          <w:iCs/>
        </w:rPr>
        <w:t xml:space="preserve">closely resembling that used in </w:t>
      </w:r>
      <w:r w:rsidR="004270DF">
        <w:t>ancient Rome over a thousand years before</w:t>
      </w:r>
      <w:r>
        <w:rPr>
          <w:iCs/>
        </w:rPr>
        <w:t>.</w:t>
      </w:r>
      <w:r>
        <w:rPr>
          <w:rStyle w:val="FootnoteReference"/>
          <w:iCs/>
        </w:rPr>
        <w:footnoteReference w:id="166"/>
      </w:r>
      <w:r>
        <w:rPr>
          <w:iCs/>
        </w:rPr>
        <w:t xml:space="preserve"> </w:t>
      </w:r>
      <w:r w:rsidR="007650BC">
        <w:rPr>
          <w:iCs/>
        </w:rPr>
        <w:t xml:space="preserve">Although with a complex history, moving in and out of favour with different learned circles over the sixteenth, seventeenth and early-eighteenth centuries, there was a wealth of belief in the power of inscribed text and </w:t>
      </w:r>
      <w:r>
        <w:rPr>
          <w:iCs/>
        </w:rPr>
        <w:t xml:space="preserve">a considerable market for textual amulets in early modern England. </w:t>
      </w:r>
    </w:p>
    <w:p w14:paraId="53514DE4" w14:textId="1893EEEE" w:rsidR="00056A03" w:rsidRPr="00056A03" w:rsidRDefault="006156A9" w:rsidP="00056A03">
      <w:pPr>
        <w:spacing w:after="0" w:line="480" w:lineRule="auto"/>
        <w:ind w:firstLine="720"/>
        <w:jc w:val="both"/>
      </w:pPr>
      <w:r>
        <w:t>Surviving print sources also show how in</w:t>
      </w:r>
      <w:r w:rsidR="0099620F">
        <w:t>scribed objects were</w:t>
      </w:r>
      <w:r w:rsidR="00DE1CB8">
        <w:t xml:space="preserve"> </w:t>
      </w:r>
      <w:r w:rsidR="0099620F" w:rsidRPr="009F60FD">
        <w:t xml:space="preserve">integral </w:t>
      </w:r>
      <w:r w:rsidR="0099620F">
        <w:t>in e</w:t>
      </w:r>
      <w:r w:rsidR="0099620F" w:rsidRPr="009F60FD">
        <w:t>arly modern courting rituals</w:t>
      </w:r>
      <w:r>
        <w:t xml:space="preserve">, with lovers commonly exchanging </w:t>
      </w:r>
      <w:r w:rsidR="0099620F">
        <w:t>gifts</w:t>
      </w:r>
      <w:r w:rsidR="003272CC">
        <w:t xml:space="preserve"> engraved with text</w:t>
      </w:r>
      <w:r w:rsidR="0099620F">
        <w:t>.</w:t>
      </w:r>
      <w:r w:rsidR="00EB64EE">
        <w:t xml:space="preserve"> </w:t>
      </w:r>
      <w:r w:rsidR="00056A03" w:rsidRPr="00056A03">
        <w:t>A complaint published in 1676 decried attempts made by monks to seduce nuns at the abbey of St Katherine, near Provence.</w:t>
      </w:r>
      <w:r w:rsidR="00033E2C">
        <w:rPr>
          <w:rStyle w:val="FootnoteReference"/>
        </w:rPr>
        <w:footnoteReference w:id="167"/>
      </w:r>
      <w:r w:rsidR="00056A03" w:rsidRPr="00056A03">
        <w:t xml:space="preserve"> The monks </w:t>
      </w:r>
      <w:r w:rsidR="00E4556B">
        <w:t>used</w:t>
      </w:r>
      <w:r w:rsidR="00056A03" w:rsidRPr="00056A03">
        <w:t xml:space="preserve"> gifts</w:t>
      </w:r>
      <w:r w:rsidR="00E4556B">
        <w:t xml:space="preserve"> in their seduction</w:t>
      </w:r>
      <w:r w:rsidR="00223977">
        <w:t>s</w:t>
      </w:r>
      <w:r w:rsidR="00056A03" w:rsidRPr="00056A03">
        <w:t xml:space="preserve">, </w:t>
      </w:r>
      <w:r w:rsidR="00E4556B">
        <w:t>bring</w:t>
      </w:r>
      <w:r w:rsidR="00056A03" w:rsidRPr="00056A03">
        <w:t>ing ‘Rings, Gloves trimmed with Ribbons, Watches, Looking-glasses, Seals, wherein they engraved their Ciphers, and the first letters of their Names, interwoven with Motto's and Emblems that expressed their Passion’.</w:t>
      </w:r>
      <w:r w:rsidR="00056A03" w:rsidRPr="00056A03">
        <w:rPr>
          <w:vertAlign w:val="superscript"/>
        </w:rPr>
        <w:footnoteReference w:id="168"/>
      </w:r>
      <w:r w:rsidR="00056A03" w:rsidRPr="00056A03">
        <w:t xml:space="preserve"> </w:t>
      </w:r>
      <w:r w:rsidR="0066775F">
        <w:t>The monks used</w:t>
      </w:r>
      <w:r w:rsidR="00056A03" w:rsidRPr="00056A03">
        <w:t xml:space="preserve"> inscriptions </w:t>
      </w:r>
      <w:r w:rsidR="0066775F">
        <w:t xml:space="preserve">to create </w:t>
      </w:r>
      <w:r w:rsidR="00056A03" w:rsidRPr="00056A03">
        <w:t xml:space="preserve">affection </w:t>
      </w:r>
      <w:r w:rsidR="00233DAA">
        <w:t xml:space="preserve">seemingly </w:t>
      </w:r>
      <w:r w:rsidR="00056A03" w:rsidRPr="00056A03">
        <w:t>where romantic relationships did not previously exist</w:t>
      </w:r>
      <w:r w:rsidR="00C13D45">
        <w:t xml:space="preserve"> – a function</w:t>
      </w:r>
      <w:r w:rsidR="00056A03" w:rsidRPr="00056A03">
        <w:t xml:space="preserve"> </w:t>
      </w:r>
      <w:r w:rsidR="007465F0">
        <w:t xml:space="preserve">Samuel Gardiner </w:t>
      </w:r>
      <w:r w:rsidR="00233DAA">
        <w:t xml:space="preserve">referenced explicitly </w:t>
      </w:r>
      <w:r w:rsidR="00141A1C">
        <w:t xml:space="preserve">when describing </w:t>
      </w:r>
      <w:r w:rsidR="00233DAA">
        <w:t>the purposes of inscribed courtship gift</w:t>
      </w:r>
      <w:r w:rsidR="0068283B">
        <w:t xml:space="preserve">s </w:t>
      </w:r>
      <w:r w:rsidR="00141A1C">
        <w:t xml:space="preserve">almost a century </w:t>
      </w:r>
      <w:r w:rsidR="0068283B">
        <w:t>earlier, in 1599</w:t>
      </w:r>
      <w:r w:rsidR="00141A1C">
        <w:t>.</w:t>
      </w:r>
      <w:r w:rsidR="00F61667">
        <w:t xml:space="preserve"> Gardiner</w:t>
      </w:r>
      <w:r w:rsidR="0068283B">
        <w:t xml:space="preserve"> stated that:</w:t>
      </w:r>
    </w:p>
    <w:p w14:paraId="71260CA6" w14:textId="77777777" w:rsidR="00056A03" w:rsidRPr="00056A03" w:rsidRDefault="00056A03" w:rsidP="00056A03">
      <w:pPr>
        <w:spacing w:after="0" w:line="480" w:lineRule="auto"/>
        <w:ind w:left="720" w:right="720"/>
        <w:jc w:val="both"/>
      </w:pPr>
      <w:r w:rsidRPr="00056A03">
        <w:lastRenderedPageBreak/>
        <w:t xml:space="preserve">‘These Rings which passed to and </w:t>
      </w:r>
      <w:proofErr w:type="spellStart"/>
      <w:r w:rsidRPr="00056A03">
        <w:t>fro</w:t>
      </w:r>
      <w:proofErr w:type="spellEnd"/>
      <w:r w:rsidRPr="00056A03">
        <w:t xml:space="preserve"> </w:t>
      </w:r>
      <w:proofErr w:type="spellStart"/>
      <w:r w:rsidRPr="00056A03">
        <w:t>betweene</w:t>
      </w:r>
      <w:proofErr w:type="spellEnd"/>
      <w:r w:rsidRPr="00056A03">
        <w:t xml:space="preserve"> </w:t>
      </w:r>
      <w:proofErr w:type="spellStart"/>
      <w:r w:rsidRPr="00056A03">
        <w:t>louers</w:t>
      </w:r>
      <w:proofErr w:type="spellEnd"/>
      <w:r w:rsidRPr="00056A03">
        <w:t xml:space="preserve">, </w:t>
      </w:r>
      <w:proofErr w:type="spellStart"/>
      <w:r w:rsidRPr="00056A03">
        <w:t>vsually</w:t>
      </w:r>
      <w:proofErr w:type="spellEnd"/>
      <w:r w:rsidRPr="00056A03">
        <w:t xml:space="preserve"> were </w:t>
      </w:r>
      <w:proofErr w:type="spellStart"/>
      <w:r w:rsidRPr="00056A03">
        <w:t>engrauen</w:t>
      </w:r>
      <w:proofErr w:type="spellEnd"/>
      <w:r w:rsidRPr="00056A03">
        <w:t xml:space="preserve">, and had </w:t>
      </w:r>
      <w:proofErr w:type="spellStart"/>
      <w:r w:rsidRPr="00056A03">
        <w:t>seales</w:t>
      </w:r>
      <w:proofErr w:type="spellEnd"/>
      <w:r w:rsidRPr="00056A03">
        <w:t xml:space="preserve"> </w:t>
      </w:r>
      <w:proofErr w:type="spellStart"/>
      <w:r w:rsidRPr="00056A03">
        <w:t>vpon</w:t>
      </w:r>
      <w:proofErr w:type="spellEnd"/>
      <w:r w:rsidRPr="00056A03">
        <w:t xml:space="preserve"> them. Such </w:t>
      </w:r>
      <w:proofErr w:type="spellStart"/>
      <w:r w:rsidRPr="00056A03">
        <w:t>emblemes</w:t>
      </w:r>
      <w:proofErr w:type="spellEnd"/>
      <w:r w:rsidRPr="00056A03">
        <w:t xml:space="preserve"> and poesies, as might </w:t>
      </w:r>
      <w:proofErr w:type="spellStart"/>
      <w:r w:rsidRPr="00056A03">
        <w:t>seeme</w:t>
      </w:r>
      <w:proofErr w:type="spellEnd"/>
      <w:r w:rsidRPr="00056A03">
        <w:t xml:space="preserve"> to </w:t>
      </w:r>
      <w:proofErr w:type="spellStart"/>
      <w:r w:rsidRPr="00056A03">
        <w:t>stirre</w:t>
      </w:r>
      <w:proofErr w:type="spellEnd"/>
      <w:r w:rsidRPr="00056A03">
        <w:t xml:space="preserve"> </w:t>
      </w:r>
      <w:proofErr w:type="spellStart"/>
      <w:r w:rsidRPr="00056A03">
        <w:t>vppe</w:t>
      </w:r>
      <w:proofErr w:type="spellEnd"/>
      <w:r w:rsidRPr="00056A03">
        <w:t xml:space="preserve"> affections the better, and continue </w:t>
      </w:r>
      <w:proofErr w:type="spellStart"/>
      <w:r w:rsidRPr="00056A03">
        <w:t>kindnesse</w:t>
      </w:r>
      <w:proofErr w:type="spellEnd"/>
      <w:r w:rsidRPr="00056A03">
        <w:t xml:space="preserve"> were </w:t>
      </w:r>
      <w:proofErr w:type="spellStart"/>
      <w:r w:rsidRPr="00056A03">
        <w:t>carued</w:t>
      </w:r>
      <w:proofErr w:type="spellEnd"/>
      <w:r w:rsidRPr="00056A03">
        <w:t xml:space="preserve"> </w:t>
      </w:r>
      <w:proofErr w:type="spellStart"/>
      <w:r w:rsidRPr="00056A03">
        <w:t>vpon</w:t>
      </w:r>
      <w:proofErr w:type="spellEnd"/>
      <w:r w:rsidRPr="00056A03">
        <w:t xml:space="preserve"> them.’</w:t>
      </w:r>
      <w:r w:rsidRPr="00056A03">
        <w:rPr>
          <w:vertAlign w:val="superscript"/>
        </w:rPr>
        <w:footnoteReference w:id="169"/>
      </w:r>
    </w:p>
    <w:p w14:paraId="5BC040ED" w14:textId="44A7D0C1" w:rsidR="00056A03" w:rsidRPr="00056A03" w:rsidRDefault="00056A03" w:rsidP="00056A03">
      <w:pPr>
        <w:spacing w:after="0" w:line="480" w:lineRule="auto"/>
        <w:jc w:val="both"/>
      </w:pPr>
      <w:r w:rsidRPr="00056A03">
        <w:t>Gardiner’s description chime</w:t>
      </w:r>
      <w:r w:rsidR="0068283B">
        <w:t>d</w:t>
      </w:r>
      <w:r w:rsidRPr="00056A03">
        <w:t xml:space="preserve"> with the picture painted by the nuns’ complaint, demonstrating that inscribed </w:t>
      </w:r>
      <w:r w:rsidR="00F61667">
        <w:t xml:space="preserve">gifts </w:t>
      </w:r>
      <w:r w:rsidRPr="00056A03">
        <w:t xml:space="preserve">not </w:t>
      </w:r>
      <w:r w:rsidR="00F61667">
        <w:t>only</w:t>
      </w:r>
      <w:r w:rsidRPr="00056A03">
        <w:t xml:space="preserve"> mark</w:t>
      </w:r>
      <w:r w:rsidR="00F61667">
        <w:t>ed</w:t>
      </w:r>
      <w:r w:rsidRPr="00056A03">
        <w:t xml:space="preserve"> affection</w:t>
      </w:r>
      <w:r w:rsidR="00836B37">
        <w:t xml:space="preserve"> already in existence</w:t>
      </w:r>
      <w:r w:rsidRPr="00056A03">
        <w:t xml:space="preserve"> between romantic partners</w:t>
      </w:r>
      <w:r w:rsidR="00836B37">
        <w:t>,</w:t>
      </w:r>
      <w:r w:rsidRPr="00056A03">
        <w:t xml:space="preserve"> but </w:t>
      </w:r>
      <w:r w:rsidR="00836B37">
        <w:t>that they were</w:t>
      </w:r>
      <w:r w:rsidR="00836B37" w:rsidRPr="00056A03">
        <w:t xml:space="preserve"> </w:t>
      </w:r>
      <w:r w:rsidRPr="00056A03">
        <w:t xml:space="preserve">also </w:t>
      </w:r>
      <w:r w:rsidR="00F61667">
        <w:t>important in</w:t>
      </w:r>
      <w:r w:rsidRPr="00056A03">
        <w:t xml:space="preserve"> ‘stirring’ it up</w:t>
      </w:r>
      <w:r w:rsidR="00674582">
        <w:t>,</w:t>
      </w:r>
      <w:r w:rsidRPr="00056A03">
        <w:t xml:space="preserve"> initiating it in the first place. The ‘</w:t>
      </w:r>
      <w:proofErr w:type="spellStart"/>
      <w:r w:rsidRPr="00056A03">
        <w:t>kindnesse</w:t>
      </w:r>
      <w:proofErr w:type="spellEnd"/>
      <w:r w:rsidRPr="00056A03">
        <w:t xml:space="preserve">’ Gardiner says these objects served to ‘continue’ </w:t>
      </w:r>
      <w:r w:rsidR="009E685D">
        <w:t>testifies to</w:t>
      </w:r>
      <w:r w:rsidRPr="00056A03">
        <w:t xml:space="preserve"> the ongoing role of such gifts, too</w:t>
      </w:r>
      <w:r w:rsidR="0090598E">
        <w:t>, sugges</w:t>
      </w:r>
      <w:r w:rsidR="003632E5">
        <w:t>ting</w:t>
      </w:r>
      <w:r w:rsidRPr="00056A03">
        <w:t xml:space="preserve"> that inscribed objects were a means </w:t>
      </w:r>
      <w:r w:rsidR="00765A71">
        <w:t xml:space="preserve">both </w:t>
      </w:r>
      <w:r w:rsidRPr="00056A03">
        <w:t xml:space="preserve">of generating connections between people and </w:t>
      </w:r>
      <w:r w:rsidR="00765A71">
        <w:t xml:space="preserve">infinitely </w:t>
      </w:r>
      <w:r w:rsidRPr="00056A03">
        <w:t xml:space="preserve">reinforcing </w:t>
      </w:r>
      <w:r w:rsidR="00765A71">
        <w:t>them.</w:t>
      </w:r>
    </w:p>
    <w:p w14:paraId="7987B16A" w14:textId="6A28DB10" w:rsidR="009F60FD" w:rsidRPr="009F60FD" w:rsidRDefault="004717F9" w:rsidP="00056A03">
      <w:pPr>
        <w:spacing w:after="0" w:line="480" w:lineRule="auto"/>
        <w:ind w:firstLine="720"/>
        <w:jc w:val="both"/>
      </w:pPr>
      <w:r>
        <w:t>The ‘p</w:t>
      </w:r>
      <w:r w:rsidR="009F60FD" w:rsidRPr="009F60FD">
        <w:t>o</w:t>
      </w:r>
      <w:r>
        <w:t>e</w:t>
      </w:r>
      <w:r w:rsidR="009F60FD" w:rsidRPr="009F60FD">
        <w:t>sies</w:t>
      </w:r>
      <w:r>
        <w:t>’ Gardiner mentions</w:t>
      </w:r>
      <w:r w:rsidR="009F60FD" w:rsidRPr="009F60FD">
        <w:t xml:space="preserve"> were</w:t>
      </w:r>
      <w:r>
        <w:t xml:space="preserve"> integral in many inscribed love tokens</w:t>
      </w:r>
      <w:r w:rsidR="002E7E73">
        <w:t>.</w:t>
      </w:r>
      <w:r w:rsidR="004D2207">
        <w:t xml:space="preserve"> </w:t>
      </w:r>
      <w:r w:rsidR="002E7E73">
        <w:t>P</w:t>
      </w:r>
      <w:r w:rsidR="004D2207">
        <w:t>osies were</w:t>
      </w:r>
      <w:r w:rsidR="009F60FD" w:rsidRPr="009F60FD">
        <w:t xml:space="preserve"> mottoes or short verse</w:t>
      </w:r>
      <w:r w:rsidR="008F60C4">
        <w:t>s</w:t>
      </w:r>
      <w:r w:rsidR="009F60FD" w:rsidRPr="009F60FD">
        <w:t>, often specifically intended for inscription upon objects.</w:t>
      </w:r>
      <w:r w:rsidR="009F60FD" w:rsidRPr="009F60FD">
        <w:rPr>
          <w:vertAlign w:val="superscript"/>
        </w:rPr>
        <w:footnoteReference w:id="170"/>
      </w:r>
      <w:r w:rsidR="009F60FD" w:rsidRPr="009F60FD">
        <w:t xml:space="preserve"> One anonymous publication printed in 1674 (titled </w:t>
      </w:r>
      <w:r w:rsidR="009F60FD" w:rsidRPr="009F60FD">
        <w:rPr>
          <w:i/>
          <w:iCs/>
        </w:rPr>
        <w:t>Cupids posies</w:t>
      </w:r>
      <w:r w:rsidR="009F60FD" w:rsidRPr="009F60FD">
        <w:t xml:space="preserve"> and purportedly authored by Cupid himself) asserted the role of inscribed text in courting, sub-title</w:t>
      </w:r>
      <w:r w:rsidR="00D24BBC">
        <w:t xml:space="preserve">d </w:t>
      </w:r>
      <w:r w:rsidR="009F60FD" w:rsidRPr="009F60FD">
        <w:t xml:space="preserve">‘The lover </w:t>
      </w:r>
      <w:proofErr w:type="spellStart"/>
      <w:r w:rsidR="009F60FD" w:rsidRPr="009F60FD">
        <w:t>sheweth</w:t>
      </w:r>
      <w:proofErr w:type="spellEnd"/>
      <w:r w:rsidR="009F60FD" w:rsidRPr="009F60FD">
        <w:t xml:space="preserve"> his intent, by gifts that are with posies sent’.</w:t>
      </w:r>
      <w:r w:rsidR="009F60FD" w:rsidRPr="009F60FD">
        <w:rPr>
          <w:vertAlign w:val="superscript"/>
        </w:rPr>
        <w:footnoteReference w:id="171"/>
      </w:r>
      <w:r w:rsidR="009F60FD" w:rsidRPr="009F60FD">
        <w:rPr>
          <w:i/>
        </w:rPr>
        <w:t xml:space="preserve"> </w:t>
      </w:r>
      <w:r w:rsidR="00986BC4">
        <w:rPr>
          <w:iCs/>
        </w:rPr>
        <w:t>T</w:t>
      </w:r>
      <w:r w:rsidR="009F60FD" w:rsidRPr="009F60FD">
        <w:t>he publication offered posies to be inscribed or embroidered upon different commodities</w:t>
      </w:r>
      <w:r w:rsidR="00986BC4">
        <w:t>, and in addition to</w:t>
      </w:r>
      <w:r w:rsidR="009F60FD" w:rsidRPr="009F60FD">
        <w:t xml:space="preserve"> objects referenced in the title – ‘bracelets, </w:t>
      </w:r>
      <w:proofErr w:type="spellStart"/>
      <w:r w:rsidR="009F60FD" w:rsidRPr="009F60FD">
        <w:t>handkercers</w:t>
      </w:r>
      <w:proofErr w:type="spellEnd"/>
      <w:r w:rsidR="009F60FD" w:rsidRPr="009F60FD">
        <w:t xml:space="preserve">, and rings, with </w:t>
      </w:r>
      <w:proofErr w:type="spellStart"/>
      <w:r w:rsidR="009F60FD" w:rsidRPr="009F60FD">
        <w:t>scarfes</w:t>
      </w:r>
      <w:proofErr w:type="spellEnd"/>
      <w:r w:rsidR="009F60FD" w:rsidRPr="009F60FD">
        <w:t xml:space="preserve">, gloves and other things’ – </w:t>
      </w:r>
      <w:r w:rsidR="00284FC7">
        <w:t xml:space="preserve">suggested </w:t>
      </w:r>
      <w:r w:rsidR="009F60FD" w:rsidRPr="009F60FD">
        <w:t>posies for items ranging from thimbles and bodkins to knives, girdles, and even the inside of cabinet drawers.</w:t>
      </w:r>
      <w:r w:rsidR="009F60FD" w:rsidRPr="009F60FD">
        <w:rPr>
          <w:vertAlign w:val="superscript"/>
        </w:rPr>
        <w:footnoteReference w:id="172"/>
      </w:r>
      <w:r w:rsidR="009F60FD" w:rsidRPr="009F60FD">
        <w:t xml:space="preserve"> The use of inscribed text in</w:t>
      </w:r>
      <w:r w:rsidR="00AA65A4">
        <w:t xml:space="preserve"> such</w:t>
      </w:r>
      <w:r w:rsidR="009F60FD" w:rsidRPr="009F60FD">
        <w:t xml:space="preserve"> love tokens overlapped with their potency in </w:t>
      </w:r>
      <w:r w:rsidR="009F60FD" w:rsidRPr="009F60FD">
        <w:lastRenderedPageBreak/>
        <w:t>protective amulets</w:t>
      </w:r>
      <w:r w:rsidR="00BC6072">
        <w:t xml:space="preserve"> discussed above</w:t>
      </w:r>
      <w:r w:rsidR="009F60FD" w:rsidRPr="009F60FD">
        <w:t xml:space="preserve">, and John Lyly’s </w:t>
      </w:r>
      <w:r w:rsidR="009F60FD" w:rsidRPr="009F60FD">
        <w:rPr>
          <w:i/>
        </w:rPr>
        <w:t xml:space="preserve">Campaspe </w:t>
      </w:r>
      <w:r w:rsidR="009F60FD" w:rsidRPr="009F60FD">
        <w:rPr>
          <w:iCs/>
        </w:rPr>
        <w:t>(1584</w:t>
      </w:r>
      <w:r w:rsidR="009F60FD" w:rsidRPr="009F60FD">
        <w:t>) made direct comparison between the two. One character commented how in the absence of war ‘</w:t>
      </w:r>
      <w:proofErr w:type="spellStart"/>
      <w:r w:rsidR="009F60FD" w:rsidRPr="009F60FD">
        <w:t>youthes</w:t>
      </w:r>
      <w:proofErr w:type="spellEnd"/>
      <w:r w:rsidR="009F60FD" w:rsidRPr="009F60FD">
        <w:t xml:space="preserve"> that were </w:t>
      </w:r>
      <w:proofErr w:type="spellStart"/>
      <w:r w:rsidR="009F60FD" w:rsidRPr="009F60FD">
        <w:t>woont</w:t>
      </w:r>
      <w:proofErr w:type="spellEnd"/>
      <w:r w:rsidR="009F60FD" w:rsidRPr="009F60FD">
        <w:t xml:space="preserve"> to carry devises of victory in their </w:t>
      </w:r>
      <w:proofErr w:type="spellStart"/>
      <w:r w:rsidR="009F60FD" w:rsidRPr="009F60FD">
        <w:t>shieldes</w:t>
      </w:r>
      <w:proofErr w:type="spellEnd"/>
      <w:r w:rsidR="009F60FD" w:rsidRPr="009F60FD">
        <w:t xml:space="preserve">, engrave now posies of love in their </w:t>
      </w:r>
      <w:proofErr w:type="spellStart"/>
      <w:r w:rsidR="009F60FD" w:rsidRPr="009F60FD">
        <w:t>ringes</w:t>
      </w:r>
      <w:proofErr w:type="spellEnd"/>
      <w:r w:rsidR="009F60FD" w:rsidRPr="009F60FD">
        <w:t>’.</w:t>
      </w:r>
      <w:r w:rsidR="009F60FD" w:rsidRPr="009F60FD">
        <w:rPr>
          <w:vertAlign w:val="superscript"/>
        </w:rPr>
        <w:footnoteReference w:id="173"/>
      </w:r>
      <w:r w:rsidR="009F60FD" w:rsidRPr="009F60FD">
        <w:t xml:space="preserve"> Though used to lament the delicacy of men pursuing sentimentality, who might instead have been rendered brave and fearless by battle, Lyly highlights the crossover between inscribed objects as protective ‘good luck’ talismans and as love tokens, w</w:t>
      </w:r>
      <w:r w:rsidR="005F4EA1">
        <w:t>ith</w:t>
      </w:r>
      <w:r w:rsidR="009F60FD" w:rsidRPr="009F60FD">
        <w:t xml:space="preserve"> both offer</w:t>
      </w:r>
      <w:r w:rsidR="005F4EA1">
        <w:t>ing</w:t>
      </w:r>
      <w:r w:rsidR="009F60FD" w:rsidRPr="009F60FD">
        <w:t xml:space="preserve"> a means of willing and materialising hoped-for outcomes, whether martial or romantic.</w:t>
      </w:r>
    </w:p>
    <w:p w14:paraId="65AE303C" w14:textId="29977F38" w:rsidR="00E57D27" w:rsidRDefault="00596B74" w:rsidP="009F60FD">
      <w:pPr>
        <w:spacing w:after="0" w:line="480" w:lineRule="auto"/>
        <w:ind w:firstLine="720"/>
        <w:jc w:val="both"/>
      </w:pPr>
      <w:r>
        <w:t xml:space="preserve">In both cases, </w:t>
      </w:r>
      <w:r w:rsidR="00D02CB8">
        <w:t>textual inscriptions</w:t>
      </w:r>
      <w:r w:rsidR="0095256A">
        <w:t xml:space="preserve"> appear </w:t>
      </w:r>
      <w:r w:rsidR="00EB692B">
        <w:t>vested with the</w:t>
      </w:r>
      <w:r w:rsidR="00F855AD">
        <w:t xml:space="preserve"> power</w:t>
      </w:r>
      <w:r w:rsidR="00EB692B">
        <w:t xml:space="preserve"> to</w:t>
      </w:r>
      <w:r w:rsidR="00F855AD">
        <w:t xml:space="preserve"> </w:t>
      </w:r>
      <w:r w:rsidR="0095256A">
        <w:t>act</w:t>
      </w:r>
      <w:r w:rsidR="00EB692B">
        <w:t xml:space="preserve"> </w:t>
      </w:r>
      <w:r w:rsidR="0095256A">
        <w:t>upon material</w:t>
      </w:r>
      <w:r w:rsidR="00F855AD">
        <w:t xml:space="preserve"> and </w:t>
      </w:r>
      <w:r w:rsidR="0095256A">
        <w:t>interperson</w:t>
      </w:r>
      <w:r w:rsidR="00F855AD">
        <w:t xml:space="preserve">al experiences. </w:t>
      </w:r>
      <w:r w:rsidR="009F60FD" w:rsidRPr="009F60FD">
        <w:t>Juliet Fleming has argued that posy rings operated within the same frameworks that governed t</w:t>
      </w:r>
      <w:r w:rsidR="00FC346A">
        <w:t xml:space="preserve">alismanic </w:t>
      </w:r>
      <w:r w:rsidR="009F60FD" w:rsidRPr="009F60FD">
        <w:t>use</w:t>
      </w:r>
      <w:r w:rsidR="00FC346A">
        <w:t>s</w:t>
      </w:r>
      <w:r w:rsidR="009F60FD" w:rsidRPr="009F60FD">
        <w:t xml:space="preserve"> of text. With unseen inscriptions placed upon the inner bands of posy rings, pressed directly against the skin, </w:t>
      </w:r>
      <w:r w:rsidR="00FC346A">
        <w:t>Fleming</w:t>
      </w:r>
      <w:r w:rsidR="009F60FD" w:rsidRPr="009F60FD">
        <w:t xml:space="preserve"> has emphasised that </w:t>
      </w:r>
      <w:r w:rsidR="008768EC">
        <w:t xml:space="preserve">– </w:t>
      </w:r>
      <w:r w:rsidR="009F60FD" w:rsidRPr="009F60FD">
        <w:t xml:space="preserve">like talismans </w:t>
      </w:r>
      <w:r w:rsidR="008768EC">
        <w:t xml:space="preserve">– </w:t>
      </w:r>
      <w:r w:rsidR="009F60FD" w:rsidRPr="009F60FD">
        <w:t>they engaged with the magic-adjacent ‘forces of sympathy that once bound the different elements of the material and spiritual world’.</w:t>
      </w:r>
      <w:r w:rsidR="009F60FD" w:rsidRPr="009F60FD">
        <w:rPr>
          <w:vertAlign w:val="superscript"/>
        </w:rPr>
        <w:footnoteReference w:id="174"/>
      </w:r>
      <w:r w:rsidR="009F60FD" w:rsidRPr="009F60FD">
        <w:t xml:space="preserve"> The ‘sympathy’ Fleming describes was underpinned by two key ‘laws’ of ‘sympathetic magic’ that had dominated popular medicine in previous centuries.</w:t>
      </w:r>
      <w:r w:rsidR="008768EC">
        <w:rPr>
          <w:rStyle w:val="FootnoteReference"/>
        </w:rPr>
        <w:footnoteReference w:id="175"/>
      </w:r>
      <w:r w:rsidR="009F60FD" w:rsidRPr="009F60FD">
        <w:t xml:space="preserve"> ‘Contact’ comprised the first law, with healing rituals based upon touching healing objects</w:t>
      </w:r>
      <w:r w:rsidR="003C22D6">
        <w:t>.</w:t>
      </w:r>
      <w:r w:rsidR="009F60FD" w:rsidRPr="009F60FD">
        <w:t xml:space="preserve"> ‘</w:t>
      </w:r>
      <w:r w:rsidR="003C22D6">
        <w:t>S</w:t>
      </w:r>
      <w:r w:rsidR="009F60FD" w:rsidRPr="009F60FD">
        <w:t>imilarity’ was the second, necessitating physical semblances between healing objects and the affected body-part.</w:t>
      </w:r>
      <w:r w:rsidR="009F60FD" w:rsidRPr="009F60FD">
        <w:rPr>
          <w:vertAlign w:val="superscript"/>
        </w:rPr>
        <w:footnoteReference w:id="176"/>
      </w:r>
      <w:r w:rsidR="009F60FD" w:rsidRPr="009F60FD">
        <w:t xml:space="preserve"> </w:t>
      </w:r>
    </w:p>
    <w:p w14:paraId="667D4A08" w14:textId="5EE11D5E" w:rsidR="009F60FD" w:rsidRPr="009F60FD" w:rsidRDefault="003C22D6" w:rsidP="009F60FD">
      <w:pPr>
        <w:spacing w:after="0" w:line="480" w:lineRule="auto"/>
        <w:ind w:firstLine="720"/>
        <w:jc w:val="both"/>
      </w:pPr>
      <w:r>
        <w:t>These o</w:t>
      </w:r>
      <w:r w:rsidR="009F60FD" w:rsidRPr="009F60FD">
        <w:t>lder ideas of sympathy recur in texts describing inscriptions, where</w:t>
      </w:r>
      <w:r w:rsidR="005F4EA1">
        <w:t xml:space="preserve"> the</w:t>
      </w:r>
      <w:r w:rsidR="009F60FD" w:rsidRPr="009F60FD">
        <w:t xml:space="preserve"> </w:t>
      </w:r>
      <w:r w:rsidR="00ED0B33">
        <w:t>materials chosen for carving</w:t>
      </w:r>
      <w:r w:rsidR="004D0EDD">
        <w:t xml:space="preserve"> </w:t>
      </w:r>
      <w:r w:rsidR="00F21C6A">
        <w:t xml:space="preserve">served to reinforce </w:t>
      </w:r>
      <w:r w:rsidR="009F60FD" w:rsidRPr="009F60FD">
        <w:t xml:space="preserve">the words </w:t>
      </w:r>
      <w:r w:rsidR="00ED0B33">
        <w:t xml:space="preserve">impressed </w:t>
      </w:r>
      <w:r w:rsidR="009F60FD" w:rsidRPr="009F60FD">
        <w:t xml:space="preserve">upon </w:t>
      </w:r>
      <w:r w:rsidR="00F21C6A">
        <w:t>them</w:t>
      </w:r>
      <w:r w:rsidR="009F60FD" w:rsidRPr="009F60FD">
        <w:t xml:space="preserve">. In an </w:t>
      </w:r>
      <w:r w:rsidR="009F60FD" w:rsidRPr="009F60FD">
        <w:lastRenderedPageBreak/>
        <w:t>exegetical work of 1653, clergyman Thomas Taylor discussed the ephod worn by Aaron in Exodus 25.</w:t>
      </w:r>
      <w:r w:rsidR="0068641D">
        <w:rPr>
          <w:rStyle w:val="FootnoteReference"/>
        </w:rPr>
        <w:footnoteReference w:id="177"/>
      </w:r>
      <w:r w:rsidR="009F60FD" w:rsidRPr="009F60FD">
        <w:t xml:space="preserve"> </w:t>
      </w:r>
      <w:r w:rsidR="00EB61E5">
        <w:t xml:space="preserve">He </w:t>
      </w:r>
      <w:r w:rsidR="005F4EA1">
        <w:t>described how</w:t>
      </w:r>
      <w:r w:rsidR="00EB61E5">
        <w:t xml:space="preserve"> t</w:t>
      </w:r>
      <w:r w:rsidR="009F60FD" w:rsidRPr="009F60FD">
        <w:t xml:space="preserve">he </w:t>
      </w:r>
      <w:r w:rsidR="00524303">
        <w:t>garment</w:t>
      </w:r>
      <w:r w:rsidR="009F60FD" w:rsidRPr="009F60FD">
        <w:t xml:space="preserve"> was set with ‘two Onyx stones, and in them the names of the twelve tribes of Israel </w:t>
      </w:r>
      <w:proofErr w:type="spellStart"/>
      <w:r w:rsidR="009F60FD" w:rsidRPr="009F60FD">
        <w:t>engraven</w:t>
      </w:r>
      <w:proofErr w:type="spellEnd"/>
      <w:r w:rsidR="009F60FD" w:rsidRPr="009F60FD">
        <w:t>’</w:t>
      </w:r>
      <w:r>
        <w:t>.</w:t>
      </w:r>
      <w:r>
        <w:rPr>
          <w:rStyle w:val="FootnoteReference"/>
        </w:rPr>
        <w:footnoteReference w:id="178"/>
      </w:r>
      <w:r w:rsidR="009F60FD" w:rsidRPr="009F60FD">
        <w:t xml:space="preserve"> </w:t>
      </w:r>
      <w:r>
        <w:t>A</w:t>
      </w:r>
      <w:r w:rsidR="009F60FD" w:rsidRPr="009F60FD">
        <w:t xml:space="preserve">ccording to Taylor, </w:t>
      </w:r>
      <w:r>
        <w:t xml:space="preserve">this </w:t>
      </w:r>
      <w:r w:rsidR="009F60FD" w:rsidRPr="009F60FD">
        <w:t xml:space="preserve">signified ‘That the names of the godly are not lightly written, but fast </w:t>
      </w:r>
      <w:proofErr w:type="spellStart"/>
      <w:r w:rsidR="009F60FD" w:rsidRPr="009F60FD">
        <w:t>engraven</w:t>
      </w:r>
      <w:proofErr w:type="spellEnd"/>
      <w:r w:rsidR="009F60FD" w:rsidRPr="009F60FD">
        <w:t xml:space="preserve"> in the love and memory of Christ, as those names were </w:t>
      </w:r>
      <w:proofErr w:type="spellStart"/>
      <w:r w:rsidR="009F60FD" w:rsidRPr="009F60FD">
        <w:t>engraven</w:t>
      </w:r>
      <w:proofErr w:type="spellEnd"/>
      <w:r w:rsidR="009F60FD" w:rsidRPr="009F60FD">
        <w:t xml:space="preserve"> in very hard stones’.</w:t>
      </w:r>
      <w:r w:rsidR="009F60FD" w:rsidRPr="009F60FD">
        <w:rPr>
          <w:vertAlign w:val="superscript"/>
        </w:rPr>
        <w:footnoteReference w:id="179"/>
      </w:r>
      <w:r w:rsidR="009F60FD" w:rsidRPr="009F60FD">
        <w:t xml:space="preserve"> </w:t>
      </w:r>
      <w:r w:rsidR="009F60FD" w:rsidRPr="009F60FD">
        <w:rPr>
          <w:i/>
          <w:iCs/>
        </w:rPr>
        <w:t xml:space="preserve">Cupids posies </w:t>
      </w:r>
      <w:r w:rsidR="009F60FD" w:rsidRPr="009F60FD">
        <w:t>repeatedly draws the same comparisons between object</w:t>
      </w:r>
      <w:r w:rsidR="0022603F">
        <w:t>s</w:t>
      </w:r>
      <w:r w:rsidR="009F60FD" w:rsidRPr="009F60FD">
        <w:t xml:space="preserve"> and inscription</w:t>
      </w:r>
      <w:r w:rsidR="0022603F">
        <w:t>s</w:t>
      </w:r>
      <w:r w:rsidR="00DF204E">
        <w:t xml:space="preserve">, </w:t>
      </w:r>
      <w:r w:rsidR="00C56609">
        <w:t>with materiality reinforcing the strength of engraved sentiments.</w:t>
      </w:r>
      <w:r w:rsidR="009F60FD" w:rsidRPr="009F60FD">
        <w:t xml:space="preserve"> A ‘</w:t>
      </w:r>
      <w:proofErr w:type="spellStart"/>
      <w:r w:rsidR="009F60FD" w:rsidRPr="009F60FD">
        <w:t>posie</w:t>
      </w:r>
      <w:proofErr w:type="spellEnd"/>
      <w:r w:rsidR="009F60FD" w:rsidRPr="009F60FD">
        <w:t xml:space="preserve"> of a Ring’, for example, reads ‘Like to a circle round, no end in love is found’, while an engraving on a bodkin reads ‘Like unto a Bodkin so is love, Sharp, </w:t>
      </w:r>
      <w:proofErr w:type="spellStart"/>
      <w:r w:rsidR="009F60FD" w:rsidRPr="009F60FD">
        <w:t>untill</w:t>
      </w:r>
      <w:proofErr w:type="spellEnd"/>
      <w:r w:rsidR="009F60FD" w:rsidRPr="009F60FD">
        <w:t xml:space="preserve"> the </w:t>
      </w:r>
      <w:proofErr w:type="spellStart"/>
      <w:r w:rsidR="009F60FD" w:rsidRPr="009F60FD">
        <w:t>swéet</w:t>
      </w:r>
      <w:proofErr w:type="spellEnd"/>
      <w:r w:rsidR="009F60FD" w:rsidRPr="009F60FD">
        <w:t xml:space="preserve"> we prove’.</w:t>
      </w:r>
      <w:r w:rsidR="009F60FD" w:rsidRPr="009F60FD">
        <w:rPr>
          <w:vertAlign w:val="superscript"/>
        </w:rPr>
        <w:footnoteReference w:id="180"/>
      </w:r>
      <w:r w:rsidR="009F60FD" w:rsidRPr="009F60FD">
        <w:t xml:space="preserve"> Whether in texts discussing romantic love or </w:t>
      </w:r>
      <w:r w:rsidR="006E372D">
        <w:t>spiritual faith</w:t>
      </w:r>
      <w:r w:rsidR="009F60FD" w:rsidRPr="009F60FD">
        <w:t xml:space="preserve">, early modern writers consistently </w:t>
      </w:r>
      <w:r w:rsidR="00B91445">
        <w:t>buttress</w:t>
      </w:r>
      <w:r w:rsidR="009F60FD" w:rsidRPr="009F60FD">
        <w:t>ed the idea that the power of textual inscriptions was linked to the materiality of the object</w:t>
      </w:r>
      <w:r w:rsidR="00F82D8C">
        <w:t>s</w:t>
      </w:r>
      <w:r w:rsidR="009F60FD" w:rsidRPr="009F60FD">
        <w:t xml:space="preserve"> they appeared upon.</w:t>
      </w:r>
    </w:p>
    <w:p w14:paraId="6F8E05BF" w14:textId="48A79365" w:rsidR="009F60FD" w:rsidRPr="009F60FD" w:rsidRDefault="009F60FD" w:rsidP="009F60FD">
      <w:pPr>
        <w:spacing w:after="0" w:line="480" w:lineRule="auto"/>
        <w:ind w:firstLine="720"/>
        <w:jc w:val="both"/>
      </w:pPr>
      <w:r w:rsidRPr="009F60FD">
        <w:t>Contemporary writers were also clear that inscriptions were widely understood as a means of reinforcing memories and commemorating loved ones. Seventeenth-century clergymen Stephen Charnock, Thomas Brooks and Joseph Caryl all</w:t>
      </w:r>
      <w:r w:rsidR="00C95FCA">
        <w:t xml:space="preserve"> referenced the same passage</w:t>
      </w:r>
      <w:r w:rsidRPr="009F60FD">
        <w:t xml:space="preserve"> from Isaiah 49:16</w:t>
      </w:r>
      <w:r w:rsidR="005E59B5">
        <w:t>. In this passage,</w:t>
      </w:r>
      <w:r w:rsidR="006A6294">
        <w:t xml:space="preserve"> </w:t>
      </w:r>
      <w:r w:rsidRPr="009F60FD">
        <w:t>God address</w:t>
      </w:r>
      <w:r w:rsidR="005E59B5">
        <w:t>ed</w:t>
      </w:r>
      <w:r w:rsidRPr="009F60FD">
        <w:t xml:space="preserve"> Zion and its people</w:t>
      </w:r>
      <w:r w:rsidR="005E59B5">
        <w:t>,</w:t>
      </w:r>
      <w:r w:rsidR="006A6294">
        <w:t xml:space="preserve"> </w:t>
      </w:r>
      <w:r w:rsidRPr="009F60FD">
        <w:t>proclaim</w:t>
      </w:r>
      <w:r w:rsidR="005E59B5">
        <w:t>ing</w:t>
      </w:r>
      <w:r w:rsidRPr="009F60FD">
        <w:t xml:space="preserve"> ‘will I not forget thee. Behold, I have </w:t>
      </w:r>
      <w:proofErr w:type="gramStart"/>
      <w:r w:rsidRPr="009F60FD">
        <w:t>graven</w:t>
      </w:r>
      <w:proofErr w:type="gramEnd"/>
      <w:r w:rsidRPr="009F60FD">
        <w:t xml:space="preserve"> thee upon the palms of my hands; thy walls are continually before me’.</w:t>
      </w:r>
      <w:r w:rsidRPr="009F60FD">
        <w:rPr>
          <w:vertAlign w:val="superscript"/>
        </w:rPr>
        <w:footnoteReference w:id="181"/>
      </w:r>
      <w:r w:rsidRPr="009F60FD">
        <w:t xml:space="preserve"> </w:t>
      </w:r>
      <w:r w:rsidR="006A6294">
        <w:t xml:space="preserve">Using </w:t>
      </w:r>
      <w:r w:rsidR="005F0BD8" w:rsidRPr="005F0BD8">
        <w:t>Isaiah 49:16</w:t>
      </w:r>
      <w:r w:rsidR="005F0BD8">
        <w:t xml:space="preserve"> </w:t>
      </w:r>
      <w:r w:rsidR="006A6294">
        <w:t>in</w:t>
      </w:r>
      <w:r w:rsidRPr="009F60FD">
        <w:t xml:space="preserve"> their own texts, Charnock, Brooks and Caryl all elucidated the role of worn inscriptions as emotive memory prompts in contemporary society. Charnock, for example, wrote that ‘Men </w:t>
      </w:r>
      <w:proofErr w:type="spellStart"/>
      <w:r w:rsidRPr="009F60FD">
        <w:t>ingrave</w:t>
      </w:r>
      <w:proofErr w:type="spellEnd"/>
      <w:r w:rsidRPr="009F60FD">
        <w:t xml:space="preserve"> upon their Rings the Image of those friends that are dearest to them, and as the Jews in their Captivity engraved the Effigies of </w:t>
      </w:r>
      <w:r w:rsidRPr="009F60FD">
        <w:lastRenderedPageBreak/>
        <w:t>their City upon their Rings, to keep her in perpetual remembrance’.</w:t>
      </w:r>
      <w:r w:rsidRPr="009F60FD">
        <w:rPr>
          <w:vertAlign w:val="superscript"/>
        </w:rPr>
        <w:footnoteReference w:id="182"/>
      </w:r>
      <w:r w:rsidRPr="009F60FD">
        <w:t xml:space="preserve"> Brooks similarly stated ‘Look as persons engrave the mark name or picture of those whom they dearly love, and entirely affect, upon some stone that they wear at their breasts, or upon some ring that they wear on their finger’.</w:t>
      </w:r>
      <w:r w:rsidRPr="009F60FD">
        <w:rPr>
          <w:vertAlign w:val="superscript"/>
        </w:rPr>
        <w:footnoteReference w:id="183"/>
      </w:r>
      <w:r w:rsidRPr="009F60FD">
        <w:t xml:space="preserve"> Caryl, meanwhile, professed: </w:t>
      </w:r>
    </w:p>
    <w:p w14:paraId="367F5F5B" w14:textId="77777777" w:rsidR="009F60FD" w:rsidRPr="009F60FD" w:rsidRDefault="009F60FD" w:rsidP="005C50A7">
      <w:pPr>
        <w:spacing w:after="0" w:line="480" w:lineRule="auto"/>
        <w:ind w:left="720" w:right="720"/>
        <w:jc w:val="both"/>
      </w:pPr>
      <w:r w:rsidRPr="009F60FD">
        <w:t xml:space="preserve">‘They who desire to preserve their friends fresh in </w:t>
      </w:r>
      <w:proofErr w:type="spellStart"/>
      <w:r w:rsidRPr="009F60FD">
        <w:t>memorie</w:t>
      </w:r>
      <w:proofErr w:type="spellEnd"/>
      <w:r w:rsidRPr="009F60FD">
        <w:t xml:space="preserve">, get their pictures in their houses or engrave them upon rings and jewels which they wear </w:t>
      </w:r>
      <w:proofErr w:type="spellStart"/>
      <w:r w:rsidRPr="009F60FD">
        <w:t>alwaies</w:t>
      </w:r>
      <w:proofErr w:type="spellEnd"/>
      <w:r w:rsidRPr="009F60FD">
        <w:t xml:space="preserve"> about them. But he that cuts the image of his friend in his flesh, or draws it upon his skin, how zealous is he of his [friend’s] remembrance? Pictures and amulets may be lost, but our hands cannot fall off.’</w:t>
      </w:r>
      <w:r w:rsidRPr="009F60FD">
        <w:rPr>
          <w:vertAlign w:val="superscript"/>
        </w:rPr>
        <w:footnoteReference w:id="184"/>
      </w:r>
    </w:p>
    <w:p w14:paraId="4F7A0059" w14:textId="01B079D1" w:rsidR="00991053" w:rsidRDefault="009F60FD" w:rsidP="005F0BD8">
      <w:pPr>
        <w:spacing w:after="0" w:line="480" w:lineRule="auto"/>
        <w:ind w:firstLine="720"/>
        <w:jc w:val="both"/>
      </w:pPr>
      <w:r w:rsidRPr="009F60FD">
        <w:t>Charnock, Brooks and Car</w:t>
      </w:r>
      <w:r w:rsidR="00D60689">
        <w:t>y</w:t>
      </w:r>
      <w:r w:rsidRPr="009F60FD">
        <w:t>l each used the Isaiah passage to demonstrate the constancy of God’s love</w:t>
      </w:r>
      <w:r w:rsidR="005F0BD8">
        <w:t xml:space="preserve">. Together, they </w:t>
      </w:r>
      <w:r w:rsidRPr="009F60FD">
        <w:t>all emphasis</w:t>
      </w:r>
      <w:r w:rsidR="005F0BD8">
        <w:t>e</w:t>
      </w:r>
      <w:r w:rsidR="00BD034B">
        <w:t>d</w:t>
      </w:r>
      <w:r w:rsidRPr="009F60FD">
        <w:t xml:space="preserve"> that God’s inscribed palms signified that ‘[Zion] was still in his eye, and </w:t>
      </w:r>
      <w:proofErr w:type="spellStart"/>
      <w:r w:rsidRPr="009F60FD">
        <w:t>alwaies</w:t>
      </w:r>
      <w:proofErr w:type="spellEnd"/>
      <w:r w:rsidRPr="009F60FD">
        <w:t xml:space="preserve"> dear to his heart’.</w:t>
      </w:r>
      <w:r w:rsidRPr="009F60FD">
        <w:rPr>
          <w:vertAlign w:val="superscript"/>
        </w:rPr>
        <w:footnoteReference w:id="185"/>
      </w:r>
      <w:r w:rsidRPr="009F60FD">
        <w:t xml:space="preserve"> Though their exact wording differ</w:t>
      </w:r>
      <w:r w:rsidR="006D0E76">
        <w:t>ed</w:t>
      </w:r>
      <w:r w:rsidRPr="009F60FD">
        <w:t xml:space="preserve">, all three men </w:t>
      </w:r>
      <w:r w:rsidR="00BD034B">
        <w:t xml:space="preserve">also </w:t>
      </w:r>
      <w:r w:rsidRPr="009F60FD">
        <w:t xml:space="preserve">contrasted God’s actions with the contemporary tendency towards wearing inscribed commemorative objects. In so doing, they illuminated the emotive functions of contemporary inscribed objects as anchors for memory and tools of interpersonal devotion, appealing to </w:t>
      </w:r>
      <w:r w:rsidR="006D74F5">
        <w:t>what were clearly</w:t>
      </w:r>
      <w:r w:rsidRPr="009F60FD">
        <w:t xml:space="preserve"> widely understood ideas about inscriptions and their uses. </w:t>
      </w:r>
      <w:r w:rsidR="008B644D">
        <w:t>The emphasis upon God’s engraved palms reinforces Fleming’s</w:t>
      </w:r>
      <w:r w:rsidR="006E29CE">
        <w:t xml:space="preserve"> argument of magical ‘sympathy’</w:t>
      </w:r>
      <w:r w:rsidR="005D10D4">
        <w:t xml:space="preserve">, </w:t>
      </w:r>
      <w:r w:rsidR="005E7139">
        <w:t xml:space="preserve">positioning </w:t>
      </w:r>
      <w:r w:rsidR="005D10D4">
        <w:t xml:space="preserve">inscriptions </w:t>
      </w:r>
      <w:r w:rsidR="005E7139">
        <w:t>p</w:t>
      </w:r>
      <w:r w:rsidR="005D10D4">
        <w:t xml:space="preserve">laced against </w:t>
      </w:r>
      <w:r w:rsidR="005E7139">
        <w:t xml:space="preserve">– and indeed </w:t>
      </w:r>
      <w:r w:rsidR="005D10D4">
        <w:t xml:space="preserve">directly upon </w:t>
      </w:r>
      <w:r w:rsidR="00C4146A">
        <w:t xml:space="preserve">– </w:t>
      </w:r>
      <w:r w:rsidR="005D10D4">
        <w:t xml:space="preserve">the </w:t>
      </w:r>
      <w:r w:rsidR="00C4146A">
        <w:t>skin</w:t>
      </w:r>
      <w:r w:rsidR="005E7139">
        <w:t xml:space="preserve"> as the most </w:t>
      </w:r>
      <w:r w:rsidR="00C4146A">
        <w:t>highly-charged and powerful</w:t>
      </w:r>
      <w:r w:rsidR="00A23CF0">
        <w:t xml:space="preserve"> mode of inscription</w:t>
      </w:r>
      <w:r w:rsidR="005D10D4">
        <w:t xml:space="preserve">. </w:t>
      </w:r>
      <w:r w:rsidRPr="009F60FD">
        <w:t xml:space="preserve">God’s palms </w:t>
      </w:r>
      <w:r w:rsidR="00BD034B">
        <w:t>we</w:t>
      </w:r>
      <w:r w:rsidR="009E07F5">
        <w:t>re configured as</w:t>
      </w:r>
      <w:r w:rsidRPr="009F60FD">
        <w:t xml:space="preserve"> the highest display of affection and the strongest spur to memory in these passages</w:t>
      </w:r>
      <w:r w:rsidR="00BD034B">
        <w:t>. However,</w:t>
      </w:r>
      <w:r w:rsidRPr="009F60FD">
        <w:t xml:space="preserve"> </w:t>
      </w:r>
      <w:r w:rsidRPr="009F60FD">
        <w:lastRenderedPageBreak/>
        <w:t xml:space="preserve">Charnock, Brooks and Caryl </w:t>
      </w:r>
      <w:r w:rsidR="00C77C3C">
        <w:t>positioned inscriptions on the flesh</w:t>
      </w:r>
      <w:r w:rsidRPr="009F60FD">
        <w:t xml:space="preserve"> upon the same spectrum as engraved memorial jewellery, cast</w:t>
      </w:r>
      <w:r w:rsidR="00C77C3C">
        <w:t>ing inscribed objects</w:t>
      </w:r>
      <w:r w:rsidRPr="009F60FD">
        <w:t xml:space="preserve"> as a more accessible</w:t>
      </w:r>
      <w:r w:rsidR="001C4063">
        <w:t>, earthly</w:t>
      </w:r>
      <w:r w:rsidRPr="009F60FD">
        <w:t xml:space="preserve"> means of remembering – and holding love for – others.</w:t>
      </w:r>
    </w:p>
    <w:p w14:paraId="7630FC17" w14:textId="77777777" w:rsidR="00C77C3C" w:rsidRDefault="00C11D78" w:rsidP="00C11D78">
      <w:pPr>
        <w:spacing w:after="0" w:line="480" w:lineRule="auto"/>
        <w:ind w:firstLine="720"/>
        <w:jc w:val="both"/>
      </w:pPr>
      <w:r w:rsidRPr="00C11D78">
        <w:t xml:space="preserve">Inscribed objects worn on or near to the body anchored emotions and memories in materiality, physically reinforcing interpersonal bonds. This is true of inscriptions wherever they appeared, lending physical form to otherwise intangible, invisible experiences. In William Lower’s play </w:t>
      </w:r>
      <w:r w:rsidRPr="00C11D78">
        <w:rPr>
          <w:i/>
        </w:rPr>
        <w:t xml:space="preserve">The Enchanted Lovers, </w:t>
      </w:r>
      <w:r w:rsidRPr="00C11D78">
        <w:t xml:space="preserve">Ismenia speaks with one of her suitors, </w:t>
      </w:r>
      <w:proofErr w:type="spellStart"/>
      <w:r w:rsidRPr="00C11D78">
        <w:t>Thimantes</w:t>
      </w:r>
      <w:proofErr w:type="spellEnd"/>
      <w:r w:rsidRPr="00C11D78">
        <w:t>, about their courtship.</w:t>
      </w:r>
      <w:r w:rsidR="00E54257">
        <w:rPr>
          <w:rStyle w:val="FootnoteReference"/>
        </w:rPr>
        <w:footnoteReference w:id="186"/>
      </w:r>
      <w:r w:rsidRPr="00C11D78">
        <w:t xml:space="preserve"> She states that their previous discussions of love ha</w:t>
      </w:r>
      <w:r w:rsidR="00E54257">
        <w:t xml:space="preserve">d </w:t>
      </w:r>
      <w:r w:rsidRPr="00C11D78">
        <w:t>been ‘hitherto … but airy words’.</w:t>
      </w:r>
      <w:r w:rsidR="000A2FA8">
        <w:rPr>
          <w:rStyle w:val="FootnoteReference"/>
        </w:rPr>
        <w:footnoteReference w:id="187"/>
      </w:r>
      <w:r w:rsidRPr="00C11D78">
        <w:t xml:space="preserve"> In response, </w:t>
      </w:r>
      <w:proofErr w:type="spellStart"/>
      <w:r w:rsidRPr="00C11D78">
        <w:t>Thimantes</w:t>
      </w:r>
      <w:proofErr w:type="spellEnd"/>
      <w:r w:rsidRPr="00C11D78">
        <w:t xml:space="preserve"> asserts that ‘our names </w:t>
      </w:r>
      <w:proofErr w:type="spellStart"/>
      <w:r w:rsidRPr="00C11D78">
        <w:t>engraven</w:t>
      </w:r>
      <w:proofErr w:type="spellEnd"/>
      <w:r w:rsidRPr="00C11D78">
        <w:t xml:space="preserve"> in every place, will speak my love, Ismenia, I promise’</w:t>
      </w:r>
      <w:r w:rsidR="000A2FA8">
        <w:t>.</w:t>
      </w:r>
      <w:r w:rsidR="00885C1A" w:rsidRPr="00C11D78">
        <w:rPr>
          <w:vertAlign w:val="superscript"/>
        </w:rPr>
        <w:footnoteReference w:id="188"/>
      </w:r>
      <w:r w:rsidR="000A2FA8">
        <w:t xml:space="preserve"> In</w:t>
      </w:r>
      <w:r w:rsidRPr="00C11D78">
        <w:t xml:space="preserve"> pledging to materialise their love through carved text, </w:t>
      </w:r>
      <w:proofErr w:type="spellStart"/>
      <w:r w:rsidR="000A2FA8">
        <w:t>Thimantes</w:t>
      </w:r>
      <w:proofErr w:type="spellEnd"/>
      <w:r w:rsidRPr="00C11D78">
        <w:t xml:space="preserve"> </w:t>
      </w:r>
      <w:r w:rsidR="00885C1A">
        <w:t>appeals to</w:t>
      </w:r>
      <w:r w:rsidR="000A2FA8">
        <w:t xml:space="preserve"> i</w:t>
      </w:r>
      <w:r w:rsidRPr="00C11D78">
        <w:t>nscription</w:t>
      </w:r>
      <w:r w:rsidR="00885C1A">
        <w:t>s</w:t>
      </w:r>
      <w:r w:rsidRPr="00C11D78">
        <w:t xml:space="preserve"> as evidence of the sincerity and constancy of his feelings. </w:t>
      </w:r>
      <w:r w:rsidR="00A3378D">
        <w:t>By</w:t>
      </w:r>
      <w:r w:rsidR="00570018">
        <w:t xml:space="preserve"> stating </w:t>
      </w:r>
      <w:r w:rsidRPr="00C11D78">
        <w:t>‘every place’</w:t>
      </w:r>
      <w:r w:rsidR="00570018">
        <w:t>,</w:t>
      </w:r>
      <w:r w:rsidRPr="00C11D78">
        <w:t xml:space="preserve"> </w:t>
      </w:r>
      <w:r w:rsidR="00570018">
        <w:t xml:space="preserve">he </w:t>
      </w:r>
      <w:r w:rsidRPr="00C11D78">
        <w:t>suggests that the</w:t>
      </w:r>
      <w:r w:rsidR="00570018">
        <w:t xml:space="preserve"> </w:t>
      </w:r>
      <w:r w:rsidR="0090251A">
        <w:t>words</w:t>
      </w:r>
      <w:r w:rsidRPr="00C11D78">
        <w:t xml:space="preserve"> </w:t>
      </w:r>
      <w:r w:rsidR="008D6898">
        <w:t xml:space="preserve">he will engrave </w:t>
      </w:r>
      <w:r w:rsidRPr="00C11D78">
        <w:t xml:space="preserve">will be openly legible, constituting a public announcement of </w:t>
      </w:r>
      <w:r w:rsidR="0090251A">
        <w:t xml:space="preserve">emotion </w:t>
      </w:r>
      <w:r w:rsidRPr="00C11D78">
        <w:t>and cementing his commitment to</w:t>
      </w:r>
      <w:r w:rsidR="00C77C3C">
        <w:t xml:space="preserve"> his lover</w:t>
      </w:r>
      <w:r w:rsidRPr="00C11D78">
        <w:t>.</w:t>
      </w:r>
    </w:p>
    <w:p w14:paraId="166C2B74" w14:textId="43574329" w:rsidR="00C11D78" w:rsidRDefault="008D6898" w:rsidP="00C11D78">
      <w:pPr>
        <w:spacing w:after="0" w:line="480" w:lineRule="auto"/>
        <w:ind w:firstLine="720"/>
        <w:jc w:val="both"/>
      </w:pPr>
      <w:r>
        <w:t>The narrator of</w:t>
      </w:r>
      <w:r w:rsidR="00C11D78" w:rsidRPr="00C11D78">
        <w:t xml:space="preserve"> George Wither’s love elegy </w:t>
      </w:r>
      <w:r w:rsidR="00C11D78" w:rsidRPr="00C11D78">
        <w:rPr>
          <w:i/>
          <w:iCs/>
        </w:rPr>
        <w:t xml:space="preserve">Fidelia </w:t>
      </w:r>
      <w:r w:rsidR="00C11D78" w:rsidRPr="00C11D78">
        <w:t>(1619)</w:t>
      </w:r>
      <w:r w:rsidR="00C77C3C">
        <w:t xml:space="preserve"> </w:t>
      </w:r>
      <w:r>
        <w:t>plays with a similar image</w:t>
      </w:r>
      <w:r w:rsidR="00C77C3C">
        <w:t>.</w:t>
      </w:r>
      <w:r>
        <w:t xml:space="preserve"> </w:t>
      </w:r>
      <w:r w:rsidR="00C77C3C">
        <w:t>I</w:t>
      </w:r>
      <w:r>
        <w:t>n doing so</w:t>
      </w:r>
      <w:r w:rsidR="00C77C3C">
        <w:t>, he</w:t>
      </w:r>
      <w:r>
        <w:t xml:space="preserve"> </w:t>
      </w:r>
      <w:r w:rsidR="00C11D78" w:rsidRPr="00C11D78">
        <w:t>draws parallels between an inscribed, public surface and his own body.</w:t>
      </w:r>
      <w:r w:rsidR="00E55095">
        <w:rPr>
          <w:rStyle w:val="FootnoteReference"/>
        </w:rPr>
        <w:footnoteReference w:id="189"/>
      </w:r>
      <w:r w:rsidR="00C11D78" w:rsidRPr="00C11D78">
        <w:t xml:space="preserve"> </w:t>
      </w:r>
      <w:r w:rsidR="002A7FE1">
        <w:t>When</w:t>
      </w:r>
      <w:r w:rsidR="00C11D78" w:rsidRPr="00C11D78">
        <w:t xml:space="preserve"> happen</w:t>
      </w:r>
      <w:r w:rsidR="002A7FE1">
        <w:t>ing</w:t>
      </w:r>
      <w:r w:rsidR="00C11D78" w:rsidRPr="00C11D78">
        <w:t xml:space="preserve"> upon a carving made by a past lover, </w:t>
      </w:r>
      <w:r w:rsidR="004708A3">
        <w:t>the narrator</w:t>
      </w:r>
      <w:r w:rsidR="002A7FE1">
        <w:t xml:space="preserve"> </w:t>
      </w:r>
      <w:r w:rsidR="00C11D78" w:rsidRPr="00C11D78">
        <w:t>remark</w:t>
      </w:r>
      <w:r w:rsidR="002A7FE1">
        <w:t>s</w:t>
      </w:r>
      <w:r w:rsidR="00C11D78" w:rsidRPr="00C11D78">
        <w:t xml:space="preserve"> ‘There I beheld, what on a thin </w:t>
      </w:r>
      <w:proofErr w:type="spellStart"/>
      <w:r w:rsidR="00C11D78" w:rsidRPr="00C11D78">
        <w:t>rin’d</w:t>
      </w:r>
      <w:proofErr w:type="spellEnd"/>
      <w:r w:rsidR="00C11D78" w:rsidRPr="00C11D78">
        <w:t xml:space="preserve"> tree | Thou hadst </w:t>
      </w:r>
      <w:proofErr w:type="spellStart"/>
      <w:r w:rsidR="00C11D78" w:rsidRPr="00C11D78">
        <w:t>engraven</w:t>
      </w:r>
      <w:proofErr w:type="spellEnd"/>
      <w:r w:rsidR="00C11D78" w:rsidRPr="00C11D78">
        <w:t xml:space="preserve"> for the love of mee’.</w:t>
      </w:r>
      <w:r w:rsidR="00E9112A">
        <w:rPr>
          <w:rStyle w:val="FootnoteReference"/>
        </w:rPr>
        <w:footnoteReference w:id="190"/>
      </w:r>
      <w:r w:rsidR="00C11D78" w:rsidRPr="00C11D78">
        <w:t xml:space="preserve"> </w:t>
      </w:r>
      <w:r w:rsidR="006F21EA">
        <w:t>Abandone</w:t>
      </w:r>
      <w:r w:rsidR="00D25AAE">
        <w:t>d</w:t>
      </w:r>
      <w:r w:rsidR="00C11D78" w:rsidRPr="00C11D78">
        <w:t xml:space="preserve"> by his partner, who he laments ‘cunningly thy </w:t>
      </w:r>
      <w:r w:rsidR="00C11D78" w:rsidRPr="00C11D78">
        <w:rPr>
          <w:i/>
          <w:iCs/>
        </w:rPr>
        <w:t xml:space="preserve">Passions </w:t>
      </w:r>
      <w:r w:rsidR="00C11D78" w:rsidRPr="00C11D78">
        <w:t xml:space="preserve">thou </w:t>
      </w:r>
      <w:proofErr w:type="spellStart"/>
      <w:r w:rsidR="00C11D78" w:rsidRPr="00C11D78">
        <w:t>could’st</w:t>
      </w:r>
      <w:proofErr w:type="spellEnd"/>
      <w:r w:rsidR="00C11D78" w:rsidRPr="00C11D78">
        <w:t xml:space="preserve"> </w:t>
      </w:r>
      <w:proofErr w:type="spellStart"/>
      <w:r w:rsidR="00C11D78" w:rsidRPr="00C11D78">
        <w:t>faine</w:t>
      </w:r>
      <w:proofErr w:type="spellEnd"/>
      <w:r w:rsidR="00C11D78" w:rsidRPr="00C11D78">
        <w:t xml:space="preserve">’, he likens the carved bark to his pain at their </w:t>
      </w:r>
      <w:r w:rsidR="009B320C">
        <w:t>parting</w:t>
      </w:r>
      <w:r w:rsidR="00C11D78" w:rsidRPr="00C11D78">
        <w:t>, stating ‘when I behold those Trees whose tender skin | Hath that cut out, which still cuts me within’.</w:t>
      </w:r>
      <w:r w:rsidR="00C11D78" w:rsidRPr="00C11D78">
        <w:rPr>
          <w:vertAlign w:val="superscript"/>
        </w:rPr>
        <w:footnoteReference w:id="191"/>
      </w:r>
      <w:r w:rsidR="00C11D78" w:rsidRPr="00C11D78">
        <w:t xml:space="preserve"> Though inscribed in public and not worn directly against the </w:t>
      </w:r>
      <w:r w:rsidR="00C11D78" w:rsidRPr="00C11D78">
        <w:lastRenderedPageBreak/>
        <w:t>body, the inscriptions Lower and Wither describe were intensely personal</w:t>
      </w:r>
      <w:r w:rsidR="00F0571A">
        <w:t>.</w:t>
      </w:r>
      <w:r w:rsidR="00C11D78" w:rsidRPr="00C11D78">
        <w:t xml:space="preserve"> </w:t>
      </w:r>
      <w:r w:rsidR="00F0571A">
        <w:t>F</w:t>
      </w:r>
      <w:r w:rsidR="00C11D78" w:rsidRPr="00C11D78">
        <w:t xml:space="preserve">or </w:t>
      </w:r>
      <w:proofErr w:type="spellStart"/>
      <w:r w:rsidR="00C11D78" w:rsidRPr="00C11D78">
        <w:t>Thimantes</w:t>
      </w:r>
      <w:proofErr w:type="spellEnd"/>
      <w:r w:rsidR="00C11D78" w:rsidRPr="00C11D78">
        <w:t xml:space="preserve"> and Ismenia</w:t>
      </w:r>
      <w:r w:rsidR="00947DB4">
        <w:t xml:space="preserve"> </w:t>
      </w:r>
      <w:r w:rsidR="00F0571A">
        <w:t xml:space="preserve">they gave weight to </w:t>
      </w:r>
      <w:r w:rsidR="00947DB4">
        <w:t>expressions of feeling, while f</w:t>
      </w:r>
      <w:r w:rsidR="00C11D78" w:rsidRPr="00C11D78">
        <w:t>or Wither’s narrator</w:t>
      </w:r>
      <w:r w:rsidR="00947DB4">
        <w:t>, inscribed text was</w:t>
      </w:r>
      <w:r w:rsidR="00C11D78" w:rsidRPr="00C11D78">
        <w:t xml:space="preserve"> experienced as though </w:t>
      </w:r>
      <w:r w:rsidR="00947DB4">
        <w:t>carved</w:t>
      </w:r>
      <w:r w:rsidR="00C11D78" w:rsidRPr="00C11D78">
        <w:t xml:space="preserve"> </w:t>
      </w:r>
      <w:r w:rsidR="006A4D2B">
        <w:t>upon</w:t>
      </w:r>
      <w:r w:rsidR="00C11D78" w:rsidRPr="00C11D78">
        <w:t xml:space="preserve"> his own </w:t>
      </w:r>
      <w:r w:rsidR="006A4D2B">
        <w:t>flesh</w:t>
      </w:r>
      <w:r w:rsidR="00C11D78" w:rsidRPr="00C11D78">
        <w:t xml:space="preserve">, mourned </w:t>
      </w:r>
      <w:r w:rsidR="00B60B52">
        <w:t xml:space="preserve">like </w:t>
      </w:r>
      <w:r w:rsidR="00C11D78" w:rsidRPr="00C11D78">
        <w:t xml:space="preserve">a physical scar. </w:t>
      </w:r>
      <w:r w:rsidR="00D87111">
        <w:t xml:space="preserve">Inscriptions were </w:t>
      </w:r>
      <w:r w:rsidR="004708A3">
        <w:t xml:space="preserve">evidently understood as </w:t>
      </w:r>
      <w:r w:rsidR="00D87111">
        <w:t>closely tied with emotions</w:t>
      </w:r>
      <w:r w:rsidR="00D12282">
        <w:t xml:space="preserve">. </w:t>
      </w:r>
      <w:r w:rsidR="004708A3">
        <w:t>Consequently, e</w:t>
      </w:r>
      <w:r w:rsidR="00D87111">
        <w:t>ven when removed from th</w:t>
      </w:r>
      <w:r w:rsidR="00110269">
        <w:t>e</w:t>
      </w:r>
      <w:r w:rsidR="00D87111">
        <w:t xml:space="preserve"> body</w:t>
      </w:r>
      <w:r w:rsidR="00D12282">
        <w:t xml:space="preserve"> they had the capacity to remain i</w:t>
      </w:r>
      <w:r w:rsidR="007523C4">
        <w:t>ntimate</w:t>
      </w:r>
      <w:r w:rsidR="00D12282">
        <w:t xml:space="preserve">ly connected with it, </w:t>
      </w:r>
      <w:r w:rsidR="00AB45C3">
        <w:t>crystallis</w:t>
      </w:r>
      <w:r w:rsidR="00056B43">
        <w:t>ing</w:t>
      </w:r>
      <w:r w:rsidR="00AB45C3">
        <w:t xml:space="preserve"> and reinforc</w:t>
      </w:r>
      <w:r w:rsidR="00056B43">
        <w:t>ing</w:t>
      </w:r>
      <w:r w:rsidR="00AB45C3">
        <w:t xml:space="preserve"> interpersonal </w:t>
      </w:r>
      <w:r w:rsidR="00621E61">
        <w:t>relationships.</w:t>
      </w:r>
    </w:p>
    <w:p w14:paraId="4ECBC1CE" w14:textId="6D3EE9C1" w:rsidR="007F49ED" w:rsidRDefault="00A81883" w:rsidP="00C04559">
      <w:pPr>
        <w:spacing w:after="0" w:line="480" w:lineRule="auto"/>
        <w:ind w:firstLine="720"/>
        <w:jc w:val="both"/>
      </w:pPr>
      <w:r w:rsidRPr="00A81883">
        <w:t>This section has explored the many ways in which</w:t>
      </w:r>
      <w:r w:rsidR="007463D5">
        <w:t xml:space="preserve"> inscribed text was understood as acting upon the body in early modern England. It has demonstrated how romantic love was often framed as something inscribed on or within the body</w:t>
      </w:r>
      <w:r w:rsidR="00045A45">
        <w:t xml:space="preserve">. It has also </w:t>
      </w:r>
      <w:r w:rsidR="007463D5">
        <w:t>charted the role inscribed objects played in creating these corporeal, metaphorical inscriptions</w:t>
      </w:r>
      <w:r w:rsidR="00F94E89">
        <w:t xml:space="preserve">, engendering emotion and </w:t>
      </w:r>
      <w:r w:rsidR="0037278A">
        <w:t xml:space="preserve">bolstering </w:t>
      </w:r>
      <w:r w:rsidR="005A5065">
        <w:t xml:space="preserve">interpersonal connections. </w:t>
      </w:r>
      <w:r w:rsidR="00045A45">
        <w:t>In addition, t</w:t>
      </w:r>
      <w:r w:rsidR="00CE72D7">
        <w:t>his section has examined the mechanisms of sympathy that informed contemporary ideas about the relationship between the body and material culture. In doing so, and in highlighting the prevalence of text in early modern English talismans</w:t>
      </w:r>
      <w:r w:rsidR="000C3AE4">
        <w:t xml:space="preserve">, </w:t>
      </w:r>
      <w:r w:rsidR="00CE72D7">
        <w:t>charms</w:t>
      </w:r>
      <w:r w:rsidR="000C3AE4">
        <w:t xml:space="preserve">, love tokens and courtship gifts, it has been possible to demonstrate that when present upon the body or </w:t>
      </w:r>
      <w:proofErr w:type="gramStart"/>
      <w:r w:rsidR="000C3AE4">
        <w:t>in close proximity to</w:t>
      </w:r>
      <w:proofErr w:type="gramEnd"/>
      <w:r w:rsidR="000C3AE4">
        <w:t xml:space="preserve"> it, text was </w:t>
      </w:r>
      <w:r w:rsidR="00C04559">
        <w:t>understood as capable of influencing human actions and emotions. These understandings appeared in printed books across a range of different genres, expressed by poets, playwrights, churchmen, natural philosophers and the authors of advice literature.</w:t>
      </w:r>
      <w:r w:rsidR="0037469E">
        <w:t xml:space="preserve"> Together they suggest that inscriptions used in commemoration of marriage </w:t>
      </w:r>
      <w:r w:rsidR="00F66378">
        <w:t>in early modern England</w:t>
      </w:r>
      <w:r w:rsidR="00A50B3C">
        <w:t>, as in Bolton-le-Sands and Prestbury,</w:t>
      </w:r>
      <w:r w:rsidR="00F66378">
        <w:t xml:space="preserve"> would have been connected to a broader paradigm that positioned inscription as a symbol of permanence and devotion, as a tool for reinforcing </w:t>
      </w:r>
      <w:r w:rsidR="00217E04">
        <w:t>emotion</w:t>
      </w:r>
      <w:r w:rsidR="00A50B3C">
        <w:t>,</w:t>
      </w:r>
      <w:r w:rsidR="00217E04">
        <w:t xml:space="preserve"> and </w:t>
      </w:r>
      <w:r w:rsidR="00A50B3C">
        <w:t>as innately connected with the body.</w:t>
      </w:r>
    </w:p>
    <w:p w14:paraId="79D6CC4E" w14:textId="77777777" w:rsidR="001704FB" w:rsidRDefault="001704FB" w:rsidP="001704FB">
      <w:pPr>
        <w:spacing w:after="0" w:line="480" w:lineRule="auto"/>
        <w:jc w:val="both"/>
      </w:pPr>
    </w:p>
    <w:p w14:paraId="09178503" w14:textId="77777777" w:rsidR="004E7A28" w:rsidRDefault="004E7A28" w:rsidP="001704FB">
      <w:pPr>
        <w:spacing w:after="0" w:line="480" w:lineRule="auto"/>
        <w:jc w:val="both"/>
      </w:pPr>
    </w:p>
    <w:p w14:paraId="4068CFAF" w14:textId="4A804877" w:rsidR="001704FB" w:rsidRDefault="004D57AF" w:rsidP="001704FB">
      <w:pPr>
        <w:spacing w:after="0" w:line="480" w:lineRule="auto"/>
        <w:jc w:val="both"/>
        <w:rPr>
          <w:b/>
          <w:bCs/>
        </w:rPr>
      </w:pPr>
      <w:r>
        <w:rPr>
          <w:b/>
          <w:bCs/>
        </w:rPr>
        <w:lastRenderedPageBreak/>
        <w:t>Houses, Hearts and Bodies:</w:t>
      </w:r>
      <w:r w:rsidR="00A650E1">
        <w:rPr>
          <w:b/>
          <w:bCs/>
        </w:rPr>
        <w:t xml:space="preserve"> Religious Scholars and </w:t>
      </w:r>
      <w:r w:rsidR="009C0439">
        <w:rPr>
          <w:b/>
          <w:bCs/>
        </w:rPr>
        <w:t>Inscribed</w:t>
      </w:r>
      <w:r>
        <w:rPr>
          <w:b/>
          <w:bCs/>
        </w:rPr>
        <w:t xml:space="preserve"> Thresholds</w:t>
      </w:r>
    </w:p>
    <w:p w14:paraId="0FF45673" w14:textId="3983C33A" w:rsidR="00733B06" w:rsidRDefault="00FA4377" w:rsidP="007858B6">
      <w:pPr>
        <w:spacing w:after="0" w:line="480" w:lineRule="auto"/>
        <w:ind w:firstLine="720"/>
        <w:jc w:val="both"/>
        <w:rPr>
          <w:iCs/>
        </w:rPr>
      </w:pPr>
      <w:r w:rsidRPr="00FA4377">
        <w:rPr>
          <w:iCs/>
        </w:rPr>
        <w:t>Having explored contemporary understandings of romantic love</w:t>
      </w:r>
      <w:r w:rsidR="00C308FE">
        <w:rPr>
          <w:iCs/>
        </w:rPr>
        <w:t xml:space="preserve"> and memory as something</w:t>
      </w:r>
      <w:r w:rsidRPr="00FA4377">
        <w:rPr>
          <w:iCs/>
        </w:rPr>
        <w:t xml:space="preserve"> inscribed upon the body, the following section turns to consider</w:t>
      </w:r>
      <w:r w:rsidR="00C308FE">
        <w:rPr>
          <w:iCs/>
        </w:rPr>
        <w:t xml:space="preserve"> the role of inscriptions in</w:t>
      </w:r>
      <w:r w:rsidRPr="00FA4377">
        <w:rPr>
          <w:iCs/>
        </w:rPr>
        <w:t xml:space="preserve"> discussions of faith. Moving away from early modern drama and conduct literature, this section is instead</w:t>
      </w:r>
      <w:r w:rsidR="007637C7">
        <w:rPr>
          <w:iCs/>
        </w:rPr>
        <w:t xml:space="preserve"> primarily</w:t>
      </w:r>
      <w:r w:rsidRPr="00FA4377">
        <w:rPr>
          <w:iCs/>
        </w:rPr>
        <w:t xml:space="preserve"> concerned with the works of religious authors, examining sermons and exegetical texts</w:t>
      </w:r>
      <w:r w:rsidR="00AA3E70" w:rsidRPr="00AA3E70">
        <w:rPr>
          <w:iCs/>
        </w:rPr>
        <w:t xml:space="preserve"> and the</w:t>
      </w:r>
      <w:r w:rsidR="00AA3E70">
        <w:rPr>
          <w:iCs/>
        </w:rPr>
        <w:t>ir</w:t>
      </w:r>
      <w:r w:rsidR="00AA3E70" w:rsidRPr="00AA3E70">
        <w:rPr>
          <w:iCs/>
        </w:rPr>
        <w:t xml:space="preserve"> scriptural foundations.</w:t>
      </w:r>
      <w:r w:rsidR="00AA3E70">
        <w:rPr>
          <w:iCs/>
        </w:rPr>
        <w:t xml:space="preserve"> </w:t>
      </w:r>
      <w:r w:rsidR="00AA3E70" w:rsidRPr="00AA3E70">
        <w:rPr>
          <w:iCs/>
        </w:rPr>
        <w:t xml:space="preserve">This section will demonstrate how clerics and theological scholars understood text as the means through which </w:t>
      </w:r>
      <w:r w:rsidR="00FB0B70">
        <w:rPr>
          <w:iCs/>
        </w:rPr>
        <w:t>God’</w:t>
      </w:r>
      <w:r w:rsidR="00AA3E70" w:rsidRPr="00AA3E70">
        <w:rPr>
          <w:iCs/>
        </w:rPr>
        <w:t>s teachings entered the human body</w:t>
      </w:r>
      <w:r w:rsidR="007637C7">
        <w:rPr>
          <w:iCs/>
        </w:rPr>
        <w:t>.</w:t>
      </w:r>
      <w:r w:rsidR="00734850">
        <w:rPr>
          <w:iCs/>
        </w:rPr>
        <w:t xml:space="preserve"> The following will examine books written by clerics with a range of denominational affiliations. In so doing, it will become clear that regardless of denominational background, </w:t>
      </w:r>
      <w:r w:rsidR="00EB6471">
        <w:rPr>
          <w:iCs/>
        </w:rPr>
        <w:t xml:space="preserve">in early modern England </w:t>
      </w:r>
      <w:r w:rsidR="00734850">
        <w:rPr>
          <w:iCs/>
        </w:rPr>
        <w:t xml:space="preserve">faith was widely formulated as </w:t>
      </w:r>
      <w:r w:rsidR="00EB6471">
        <w:rPr>
          <w:iCs/>
        </w:rPr>
        <w:t xml:space="preserve">inscribed </w:t>
      </w:r>
      <w:r w:rsidR="00701831">
        <w:rPr>
          <w:iCs/>
        </w:rPr>
        <w:t>textually inside the body</w:t>
      </w:r>
      <w:r w:rsidR="00EB6471">
        <w:rPr>
          <w:iCs/>
        </w:rPr>
        <w:t>.</w:t>
      </w:r>
      <w:r w:rsidR="009B4FAE" w:rsidRPr="009B4FAE">
        <w:rPr>
          <w:iCs/>
        </w:rPr>
        <w:t xml:space="preserve"> It will explore the paradigm of the threshold, incorporating anthropological research to untangle the significance of the </w:t>
      </w:r>
      <w:r w:rsidR="00EB6471">
        <w:rPr>
          <w:iCs/>
        </w:rPr>
        <w:t xml:space="preserve">main doorway to the home </w:t>
      </w:r>
      <w:r w:rsidR="009B4FAE" w:rsidRPr="009B4FAE">
        <w:rPr>
          <w:iCs/>
        </w:rPr>
        <w:t>in early modern ritual</w:t>
      </w:r>
      <w:r w:rsidR="005D55DB">
        <w:rPr>
          <w:iCs/>
        </w:rPr>
        <w:t xml:space="preserve">. It will also </w:t>
      </w:r>
      <w:r w:rsidR="009B4FAE" w:rsidRPr="009B4FAE">
        <w:rPr>
          <w:iCs/>
        </w:rPr>
        <w:t>investigat</w:t>
      </w:r>
      <w:r w:rsidR="005D55DB">
        <w:rPr>
          <w:iCs/>
        </w:rPr>
        <w:t>e</w:t>
      </w:r>
      <w:r w:rsidR="009B4FAE" w:rsidRPr="009B4FAE">
        <w:rPr>
          <w:iCs/>
        </w:rPr>
        <w:t xml:space="preserve"> </w:t>
      </w:r>
      <w:r w:rsidR="005D55DB">
        <w:rPr>
          <w:iCs/>
        </w:rPr>
        <w:t xml:space="preserve">the way in which </w:t>
      </w:r>
      <w:r w:rsidR="009B4FAE" w:rsidRPr="009B4FAE">
        <w:rPr>
          <w:iCs/>
        </w:rPr>
        <w:t xml:space="preserve">threshold inscriptions </w:t>
      </w:r>
      <w:r w:rsidR="005D55DB">
        <w:rPr>
          <w:iCs/>
        </w:rPr>
        <w:t xml:space="preserve">were </w:t>
      </w:r>
      <w:r w:rsidR="009B4FAE" w:rsidRPr="009B4FAE">
        <w:rPr>
          <w:iCs/>
        </w:rPr>
        <w:t>discussed by clergym</w:t>
      </w:r>
      <w:r w:rsidR="005A6659">
        <w:rPr>
          <w:iCs/>
        </w:rPr>
        <w:t>e</w:t>
      </w:r>
      <w:r w:rsidR="009B4FAE" w:rsidRPr="009B4FAE">
        <w:rPr>
          <w:iCs/>
        </w:rPr>
        <w:t>n</w:t>
      </w:r>
      <w:r w:rsidR="009B204D">
        <w:rPr>
          <w:iCs/>
        </w:rPr>
        <w:t xml:space="preserve">. In so doing, this section will </w:t>
      </w:r>
      <w:r w:rsidR="009B4FAE" w:rsidRPr="009B4FAE">
        <w:rPr>
          <w:iCs/>
        </w:rPr>
        <w:t>demonstrat</w:t>
      </w:r>
      <w:r w:rsidR="009B204D">
        <w:rPr>
          <w:iCs/>
        </w:rPr>
        <w:t>e</w:t>
      </w:r>
      <w:r w:rsidR="009B4FAE" w:rsidRPr="009B4FAE">
        <w:rPr>
          <w:iCs/>
        </w:rPr>
        <w:t xml:space="preserve"> that the threshold was conceived of as architectural</w:t>
      </w:r>
      <w:r w:rsidR="00C47D7F" w:rsidRPr="00C47D7F">
        <w:rPr>
          <w:iCs/>
        </w:rPr>
        <w:t>, at the entryway to the house</w:t>
      </w:r>
      <w:r w:rsidR="009B204D">
        <w:rPr>
          <w:iCs/>
        </w:rPr>
        <w:t>;</w:t>
      </w:r>
      <w:r w:rsidR="00C47D7F" w:rsidRPr="00C47D7F">
        <w:rPr>
          <w:iCs/>
        </w:rPr>
        <w:t xml:space="preserve"> as spiritual and allegorical</w:t>
      </w:r>
      <w:r w:rsidR="009B204D">
        <w:rPr>
          <w:iCs/>
        </w:rPr>
        <w:t>;</w:t>
      </w:r>
      <w:r w:rsidR="00C47D7F" w:rsidRPr="00C47D7F">
        <w:rPr>
          <w:iCs/>
        </w:rPr>
        <w:t xml:space="preserve"> and as bodily, at the </w:t>
      </w:r>
      <w:r w:rsidR="006E04ED">
        <w:rPr>
          <w:iCs/>
        </w:rPr>
        <w:t>gateway</w:t>
      </w:r>
      <w:r w:rsidR="00C47D7F" w:rsidRPr="00C47D7F">
        <w:rPr>
          <w:iCs/>
        </w:rPr>
        <w:t xml:space="preserve"> to the heart. Charting the connections between these </w:t>
      </w:r>
      <w:r w:rsidR="00F50863">
        <w:rPr>
          <w:iCs/>
        </w:rPr>
        <w:t>different spaces</w:t>
      </w:r>
      <w:r w:rsidR="00C47D7F" w:rsidRPr="00C47D7F">
        <w:rPr>
          <w:iCs/>
        </w:rPr>
        <w:t>, this section will showcase the role of inscriptions at the interface between God, the body and the home, arguing that textual inscriptions were vessels for protection,</w:t>
      </w:r>
      <w:r w:rsidR="007805DF">
        <w:rPr>
          <w:iCs/>
        </w:rPr>
        <w:t xml:space="preserve"> belief, and</w:t>
      </w:r>
      <w:r w:rsidR="00C47D7F" w:rsidRPr="00C47D7F">
        <w:rPr>
          <w:iCs/>
        </w:rPr>
        <w:t xml:space="preserve"> </w:t>
      </w:r>
      <w:r w:rsidR="000A6A68">
        <w:rPr>
          <w:iCs/>
        </w:rPr>
        <w:t xml:space="preserve">a medium of engendering and reinforcing </w:t>
      </w:r>
      <w:r w:rsidR="00C47D7F" w:rsidRPr="00C47D7F">
        <w:rPr>
          <w:iCs/>
        </w:rPr>
        <w:t>love for God</w:t>
      </w:r>
      <w:r w:rsidR="00C2654E">
        <w:rPr>
          <w:iCs/>
        </w:rPr>
        <w:t>.</w:t>
      </w:r>
    </w:p>
    <w:p w14:paraId="2BA54681" w14:textId="2716E69A" w:rsidR="007858B6" w:rsidRDefault="007858B6" w:rsidP="007858B6">
      <w:pPr>
        <w:spacing w:after="0" w:line="480" w:lineRule="auto"/>
        <w:ind w:firstLine="720"/>
        <w:jc w:val="both"/>
      </w:pPr>
      <w:r w:rsidRPr="00835572">
        <w:rPr>
          <w:iCs/>
        </w:rPr>
        <w:t>Religiously</w:t>
      </w:r>
      <w:r w:rsidR="00C32DF8">
        <w:rPr>
          <w:iCs/>
        </w:rPr>
        <w:t xml:space="preserve"> </w:t>
      </w:r>
      <w:r w:rsidRPr="00835572">
        <w:rPr>
          <w:iCs/>
        </w:rPr>
        <w:t>motivated texts spoke about a love for God in similar ways to</w:t>
      </w:r>
      <w:r>
        <w:rPr>
          <w:iCs/>
        </w:rPr>
        <w:t xml:space="preserve"> writers discuss</w:t>
      </w:r>
      <w:r w:rsidR="00AB27EE">
        <w:rPr>
          <w:iCs/>
        </w:rPr>
        <w:t>ing</w:t>
      </w:r>
      <w:r>
        <w:rPr>
          <w:iCs/>
        </w:rPr>
        <w:t xml:space="preserve"> </w:t>
      </w:r>
      <w:r w:rsidRPr="00835572">
        <w:rPr>
          <w:iCs/>
        </w:rPr>
        <w:t xml:space="preserve">romantic love, </w:t>
      </w:r>
      <w:r>
        <w:rPr>
          <w:iCs/>
        </w:rPr>
        <w:t>framin</w:t>
      </w:r>
      <w:r w:rsidRPr="00835572">
        <w:rPr>
          <w:iCs/>
        </w:rPr>
        <w:t>g</w:t>
      </w:r>
      <w:r w:rsidRPr="00FF20FB">
        <w:rPr>
          <w:iCs/>
        </w:rPr>
        <w:t xml:space="preserve"> </w:t>
      </w:r>
      <w:r w:rsidRPr="00835572">
        <w:rPr>
          <w:iCs/>
        </w:rPr>
        <w:t>it as something written upon or within the body.</w:t>
      </w:r>
      <w:r>
        <w:rPr>
          <w:iCs/>
        </w:rPr>
        <w:t xml:space="preserve"> Barclay and Reddan have emphasised that throughout the early modern period hearts were depicted as ‘holding things, whether Christ, Mary, various saints, other hearts, writing, memory, </w:t>
      </w:r>
      <w:r>
        <w:rPr>
          <w:iCs/>
        </w:rPr>
        <w:lastRenderedPageBreak/>
        <w:t>emotion, humanity’.</w:t>
      </w:r>
      <w:r>
        <w:rPr>
          <w:rStyle w:val="FootnoteReference"/>
          <w:iCs/>
        </w:rPr>
        <w:footnoteReference w:id="192"/>
      </w:r>
      <w:r>
        <w:rPr>
          <w:iCs/>
        </w:rPr>
        <w:t xml:space="preserve"> Wh</w:t>
      </w:r>
      <w:r w:rsidR="00C32DF8">
        <w:rPr>
          <w:iCs/>
        </w:rPr>
        <w:t>il</w:t>
      </w:r>
      <w:r>
        <w:rPr>
          <w:iCs/>
        </w:rPr>
        <w:t>e Protestant theology emphasised the centrality of God’s Word in Christian practice, contemporary authors</w:t>
      </w:r>
      <w:r w:rsidR="00C32DF8">
        <w:rPr>
          <w:iCs/>
        </w:rPr>
        <w:t xml:space="preserve"> also</w:t>
      </w:r>
      <w:r>
        <w:rPr>
          <w:iCs/>
        </w:rPr>
        <w:t xml:space="preserve"> framed the receipt of religious instruction as a process of internal inscription, </w:t>
      </w:r>
      <w:r w:rsidR="00BD491F">
        <w:rPr>
          <w:iCs/>
        </w:rPr>
        <w:t>allowing</w:t>
      </w:r>
      <w:r>
        <w:rPr>
          <w:iCs/>
        </w:rPr>
        <w:t xml:space="preserve"> knowledge, acceptance and love of God</w:t>
      </w:r>
      <w:r w:rsidR="00BD491F">
        <w:rPr>
          <w:iCs/>
        </w:rPr>
        <w:t xml:space="preserve"> to be written</w:t>
      </w:r>
      <w:r>
        <w:rPr>
          <w:iCs/>
        </w:rPr>
        <w:t xml:space="preserve"> within the anatomy. </w:t>
      </w:r>
      <w:r w:rsidRPr="00835572">
        <w:rPr>
          <w:iCs/>
        </w:rPr>
        <w:t>Describing the Word</w:t>
      </w:r>
      <w:r>
        <w:rPr>
          <w:iCs/>
        </w:rPr>
        <w:t xml:space="preserve"> of God</w:t>
      </w:r>
      <w:r w:rsidRPr="00835572">
        <w:rPr>
          <w:iCs/>
        </w:rPr>
        <w:t xml:space="preserve">, Seventh Day Baptist minister Thomas </w:t>
      </w:r>
      <w:proofErr w:type="spellStart"/>
      <w:r w:rsidRPr="00835572">
        <w:rPr>
          <w:iCs/>
        </w:rPr>
        <w:t>Tillam</w:t>
      </w:r>
      <w:proofErr w:type="spellEnd"/>
      <w:r w:rsidRPr="00835572">
        <w:rPr>
          <w:iCs/>
        </w:rPr>
        <w:t xml:space="preserve"> professed ‘I present it to you, the good Spirit engrave it in your hearts that you may honour it in your lives’.</w:t>
      </w:r>
      <w:r w:rsidRPr="00835572">
        <w:rPr>
          <w:iCs/>
          <w:vertAlign w:val="superscript"/>
        </w:rPr>
        <w:footnoteReference w:id="193"/>
      </w:r>
      <w:r>
        <w:rPr>
          <w:iCs/>
        </w:rPr>
        <w:t xml:space="preserve"> </w:t>
      </w:r>
      <w:proofErr w:type="spellStart"/>
      <w:r>
        <w:rPr>
          <w:iCs/>
        </w:rPr>
        <w:t>Tillam</w:t>
      </w:r>
      <w:proofErr w:type="spellEnd"/>
      <w:r>
        <w:rPr>
          <w:iCs/>
        </w:rPr>
        <w:t xml:space="preserve"> outlined a clear progression: that when God’s teachings had been presented, understood and internalised, they would </w:t>
      </w:r>
      <w:r w:rsidR="00BD491F">
        <w:rPr>
          <w:iCs/>
        </w:rPr>
        <w:t>b</w:t>
      </w:r>
      <w:r>
        <w:rPr>
          <w:iCs/>
        </w:rPr>
        <w:t xml:space="preserve">e permanently </w:t>
      </w:r>
      <w:r w:rsidR="00BD491F">
        <w:rPr>
          <w:iCs/>
        </w:rPr>
        <w:t>inside</w:t>
      </w:r>
      <w:r>
        <w:rPr>
          <w:iCs/>
        </w:rPr>
        <w:t xml:space="preserve"> the body, continually influencing the believer. Clergyman William Fenner’s </w:t>
      </w:r>
      <w:r w:rsidRPr="00835572">
        <w:rPr>
          <w:i/>
          <w:iCs/>
        </w:rPr>
        <w:t>The riches of grace</w:t>
      </w:r>
      <w:r>
        <w:rPr>
          <w:i/>
          <w:iCs/>
        </w:rPr>
        <w:t xml:space="preserve"> </w:t>
      </w:r>
      <w:r>
        <w:t xml:space="preserve">charted a parallel path for successfully internalising God’s teaching, emphasising the importance of </w:t>
      </w:r>
      <w:r w:rsidRPr="00835572">
        <w:t>‘meditations, repetitions, prayer, and the like duties to engrave it into your hearts’ so ‘that your lives may be guided by it’.</w:t>
      </w:r>
      <w:r w:rsidRPr="00835572">
        <w:rPr>
          <w:vertAlign w:val="superscript"/>
        </w:rPr>
        <w:footnoteReference w:id="194"/>
      </w:r>
      <w:r>
        <w:t xml:space="preserve"> </w:t>
      </w:r>
    </w:p>
    <w:p w14:paraId="7E8E9CB3" w14:textId="1AD1B752" w:rsidR="007858B6" w:rsidRDefault="007858B6" w:rsidP="007858B6">
      <w:pPr>
        <w:spacing w:after="0" w:line="480" w:lineRule="auto"/>
        <w:ind w:firstLine="720"/>
        <w:jc w:val="both"/>
      </w:pPr>
      <w:r>
        <w:t xml:space="preserve">Nonconformist minister Thomas Watson </w:t>
      </w:r>
      <w:r w:rsidR="00C32DF8">
        <w:t>also emphasised the assimilation of religious text into the body, arguing</w:t>
      </w:r>
      <w:r>
        <w:t xml:space="preserve"> that:</w:t>
      </w:r>
    </w:p>
    <w:p w14:paraId="401E7710" w14:textId="77777777" w:rsidR="007858B6" w:rsidRDefault="007858B6" w:rsidP="007858B6">
      <w:pPr>
        <w:spacing w:after="0" w:line="480" w:lineRule="auto"/>
        <w:ind w:left="720" w:right="720"/>
        <w:jc w:val="both"/>
      </w:pPr>
      <w:r w:rsidRPr="00413C7E">
        <w:t xml:space="preserve">‘To learn Christ, is to be made like Christ. When the divine characters of his holiness are </w:t>
      </w:r>
      <w:proofErr w:type="spellStart"/>
      <w:r w:rsidRPr="00413C7E">
        <w:t>engraven</w:t>
      </w:r>
      <w:proofErr w:type="spellEnd"/>
      <w:r w:rsidRPr="00413C7E">
        <w:t xml:space="preserve"> upon our hearts. We all with open face, beholding as in a </w:t>
      </w:r>
      <w:proofErr w:type="spellStart"/>
      <w:r w:rsidRPr="00413C7E">
        <w:t>glasse</w:t>
      </w:r>
      <w:proofErr w:type="spellEnd"/>
      <w:r w:rsidRPr="00413C7E">
        <w:t xml:space="preserve"> the glory of the Lord, are changed into the same image.’</w:t>
      </w:r>
      <w:r w:rsidRPr="00413C7E">
        <w:rPr>
          <w:vertAlign w:val="superscript"/>
        </w:rPr>
        <w:footnoteReference w:id="195"/>
      </w:r>
    </w:p>
    <w:p w14:paraId="6BCA7A59" w14:textId="439F019B" w:rsidR="007858B6" w:rsidRPr="00413C7E" w:rsidRDefault="00262D96" w:rsidP="007858B6">
      <w:pPr>
        <w:spacing w:after="0" w:line="480" w:lineRule="auto"/>
        <w:jc w:val="both"/>
      </w:pPr>
      <w:r>
        <w:t>Across t</w:t>
      </w:r>
      <w:r w:rsidR="007858B6">
        <w:t>hese three texts</w:t>
      </w:r>
      <w:r>
        <w:t>,</w:t>
      </w:r>
      <w:r w:rsidR="007858B6">
        <w:t xml:space="preserve"> the internalisation of God’s Word </w:t>
      </w:r>
      <w:r>
        <w:t xml:space="preserve">was represented </w:t>
      </w:r>
      <w:r w:rsidR="00603EA5">
        <w:t xml:space="preserve">through </w:t>
      </w:r>
      <w:r w:rsidR="007858B6">
        <w:t xml:space="preserve">inner inscription. The engraved heart </w:t>
      </w:r>
      <w:r>
        <w:t>wa</w:t>
      </w:r>
      <w:r w:rsidR="007858B6">
        <w:t xml:space="preserve">s deployed as </w:t>
      </w:r>
      <w:r w:rsidR="007858B6" w:rsidRPr="00835572">
        <w:t>a symbol of constancy</w:t>
      </w:r>
      <w:r w:rsidR="007858B6">
        <w:t xml:space="preserve"> and serve</w:t>
      </w:r>
      <w:r>
        <w:t>d</w:t>
      </w:r>
      <w:r w:rsidR="007858B6">
        <w:t xml:space="preserve"> to communicate</w:t>
      </w:r>
      <w:r w:rsidR="007858B6" w:rsidRPr="00835572">
        <w:t xml:space="preserve"> transformation, </w:t>
      </w:r>
      <w:r w:rsidR="007858B6">
        <w:t xml:space="preserve">with </w:t>
      </w:r>
      <w:r w:rsidR="007858B6" w:rsidRPr="00835572">
        <w:t xml:space="preserve">inner change (represented by inscription) </w:t>
      </w:r>
      <w:r w:rsidR="007858B6">
        <w:t xml:space="preserve">consistently </w:t>
      </w:r>
      <w:r w:rsidR="007858B6" w:rsidRPr="00835572">
        <w:lastRenderedPageBreak/>
        <w:t xml:space="preserve">portrayed as closely linked to outward expressions and altered behaviours. </w:t>
      </w:r>
      <w:r w:rsidR="007858B6">
        <w:t xml:space="preserve">For Watson, this transformation </w:t>
      </w:r>
      <w:r>
        <w:t>wa</w:t>
      </w:r>
      <w:r w:rsidR="007858B6">
        <w:t xml:space="preserve">s total, with the inner inscription of religious learning allowing the faithful to be recast in the image of Christ. For </w:t>
      </w:r>
      <w:proofErr w:type="spellStart"/>
      <w:r w:rsidR="007858B6">
        <w:t>Tillam</w:t>
      </w:r>
      <w:proofErr w:type="spellEnd"/>
      <w:r w:rsidR="007858B6">
        <w:t>, Fenner and Watson, a</w:t>
      </w:r>
      <w:r w:rsidR="007858B6" w:rsidRPr="00835572">
        <w:t xml:space="preserve"> heart engraved with Godly love </w:t>
      </w:r>
      <w:r w:rsidR="007858B6">
        <w:t xml:space="preserve">and Christian knowledge </w:t>
      </w:r>
      <w:r w:rsidR="007858B6" w:rsidRPr="00835572">
        <w:t xml:space="preserve">and a life lived in reverence and Christian action </w:t>
      </w:r>
      <w:r w:rsidR="00DB1DE4">
        <w:t>we</w:t>
      </w:r>
      <w:r w:rsidR="007858B6" w:rsidRPr="00835572">
        <w:t>re characterised as mutually dependen</w:t>
      </w:r>
      <w:r w:rsidR="003E6142">
        <w:t>t with t</w:t>
      </w:r>
      <w:r w:rsidR="005F3A67">
        <w:t>he metaphorical</w:t>
      </w:r>
      <w:r w:rsidR="007858B6" w:rsidRPr="00835572">
        <w:t xml:space="preserve"> inscription</w:t>
      </w:r>
      <w:r w:rsidR="007858B6">
        <w:t xml:space="preserve"> </w:t>
      </w:r>
      <w:r w:rsidR="005F3A67">
        <w:t xml:space="preserve">of Christian teachings </w:t>
      </w:r>
      <w:r w:rsidR="007858B6">
        <w:t>upon the body</w:t>
      </w:r>
      <w:r w:rsidR="007858B6" w:rsidRPr="00835572">
        <w:t xml:space="preserve"> represen</w:t>
      </w:r>
      <w:r w:rsidR="003E6142">
        <w:t>ting</w:t>
      </w:r>
      <w:r w:rsidR="007858B6" w:rsidRPr="00835572">
        <w:t xml:space="preserve"> a key starting point</w:t>
      </w:r>
      <w:r w:rsidR="005F3A67">
        <w:t xml:space="preserve"> for faith</w:t>
      </w:r>
      <w:r w:rsidR="007858B6" w:rsidRPr="00835572">
        <w:t>.</w:t>
      </w:r>
    </w:p>
    <w:p w14:paraId="51C4AADB" w14:textId="631EDF9C" w:rsidR="007858B6" w:rsidRDefault="00A47BAE" w:rsidP="007858B6">
      <w:pPr>
        <w:spacing w:after="0" w:line="480" w:lineRule="auto"/>
        <w:ind w:firstLine="720"/>
        <w:jc w:val="both"/>
      </w:pPr>
      <w:r>
        <w:t xml:space="preserve">Understandings of inscriptions working within human bodies to spur faith and Christian action are closely connected to early modern understandings of inscriptions upon objects and </w:t>
      </w:r>
      <w:r w:rsidR="002B60A8">
        <w:t>buildings</w:t>
      </w:r>
      <w:r>
        <w:t xml:space="preserve">. </w:t>
      </w:r>
      <w:r w:rsidR="007858B6">
        <w:t xml:space="preserve">In the same way as it was used in discussions of romantic love, the engraved heart </w:t>
      </w:r>
      <w:r w:rsidR="00DB1DE4">
        <w:t>wa</w:t>
      </w:r>
      <w:r w:rsidR="007858B6">
        <w:t>s used by religious authors to convey permanence</w:t>
      </w:r>
      <w:r w:rsidR="00D82440">
        <w:t>.</w:t>
      </w:r>
      <w:r w:rsidR="007858B6">
        <w:t xml:space="preserve"> In sermons given at Coventry in 1670, preacher Thomas Allestree stated that in spite of the death of friends it is possible to </w:t>
      </w:r>
      <w:r w:rsidR="007858B6" w:rsidRPr="00835572">
        <w:t xml:space="preserve">’bare a constant love towards them … like golden Letters </w:t>
      </w:r>
      <w:proofErr w:type="spellStart"/>
      <w:r w:rsidR="007858B6" w:rsidRPr="00835572">
        <w:t>engraven</w:t>
      </w:r>
      <w:proofErr w:type="spellEnd"/>
      <w:r w:rsidR="007858B6" w:rsidRPr="00835572">
        <w:t xml:space="preserve"> indelibly upon [the] heart’.</w:t>
      </w:r>
      <w:r w:rsidR="007858B6" w:rsidRPr="00835572">
        <w:rPr>
          <w:vertAlign w:val="superscript"/>
        </w:rPr>
        <w:footnoteReference w:id="196"/>
      </w:r>
      <w:r w:rsidR="007858B6">
        <w:t xml:space="preserve"> Allestree emphasised the immovability of an inscription once made within the body</w:t>
      </w:r>
      <w:r w:rsidR="00004616">
        <w:t xml:space="preserve"> –</w:t>
      </w:r>
      <w:r w:rsidR="007858B6">
        <w:t xml:space="preserve"> something echoed in statements made by </w:t>
      </w:r>
      <w:r w:rsidR="007858B6" w:rsidRPr="00835572">
        <w:t>Quaker Francis Howgill</w:t>
      </w:r>
      <w:r w:rsidR="007858B6">
        <w:t xml:space="preserve"> when</w:t>
      </w:r>
      <w:r w:rsidR="007858B6" w:rsidRPr="00835572">
        <w:t xml:space="preserve"> stating ‘I love you eternally: yea, </w:t>
      </w:r>
      <w:proofErr w:type="spellStart"/>
      <w:r w:rsidR="007858B6" w:rsidRPr="00835572">
        <w:t>yee</w:t>
      </w:r>
      <w:proofErr w:type="spellEnd"/>
      <w:r w:rsidR="007858B6" w:rsidRPr="00835572">
        <w:t xml:space="preserve"> are my brethren and sisters for ever, sealed in my heart, and </w:t>
      </w:r>
      <w:proofErr w:type="spellStart"/>
      <w:r w:rsidR="007858B6" w:rsidRPr="00835572">
        <w:t>engraven</w:t>
      </w:r>
      <w:proofErr w:type="spellEnd"/>
      <w:r w:rsidR="007858B6" w:rsidRPr="00835572">
        <w:t xml:space="preserve"> to be read for ever’.</w:t>
      </w:r>
      <w:r w:rsidR="007858B6" w:rsidRPr="00835572">
        <w:rPr>
          <w:vertAlign w:val="superscript"/>
        </w:rPr>
        <w:footnoteReference w:id="197"/>
      </w:r>
      <w:r w:rsidR="007858B6">
        <w:t xml:space="preserve"> </w:t>
      </w:r>
      <w:r w:rsidR="007858B6" w:rsidRPr="00835572">
        <w:t>As well as making three allusions to perpetuity in this one short passage, Howgill reference</w:t>
      </w:r>
      <w:r w:rsidR="007858B6">
        <w:t>d</w:t>
      </w:r>
      <w:r w:rsidR="007858B6" w:rsidRPr="00835572">
        <w:t xml:space="preserve"> the legibility of inscription </w:t>
      </w:r>
      <w:r w:rsidR="00FA355A">
        <w:t xml:space="preserve">made </w:t>
      </w:r>
      <w:r w:rsidR="007858B6">
        <w:t xml:space="preserve">within his own chest. </w:t>
      </w:r>
      <w:r w:rsidR="007858B6" w:rsidRPr="00835572">
        <w:t>The metaphor unite</w:t>
      </w:r>
      <w:r w:rsidR="002974B3">
        <w:t xml:space="preserve">s </w:t>
      </w:r>
      <w:r w:rsidR="007858B6" w:rsidRPr="00835572">
        <w:t>the physical body with the materiality of text, explicitly depicting the body as a textual surface</w:t>
      </w:r>
      <w:r w:rsidR="007858B6">
        <w:t>. It also highlight</w:t>
      </w:r>
      <w:r w:rsidR="002974B3">
        <w:t>s</w:t>
      </w:r>
      <w:r w:rsidR="007858B6">
        <w:t xml:space="preserve"> that a key function of engraved words within wider society was their long-term presence, intended to continually motivate thought, action and emotion.</w:t>
      </w:r>
    </w:p>
    <w:p w14:paraId="00DB7D96" w14:textId="1EA1583F" w:rsidR="007858B6" w:rsidRDefault="007858B6" w:rsidP="007858B6">
      <w:pPr>
        <w:spacing w:after="0" w:line="480" w:lineRule="auto"/>
        <w:ind w:firstLine="720"/>
        <w:jc w:val="both"/>
      </w:pPr>
      <w:r>
        <w:lastRenderedPageBreak/>
        <w:t xml:space="preserve">Some religious authors </w:t>
      </w:r>
      <w:r w:rsidR="00D753E3">
        <w:t xml:space="preserve">also </w:t>
      </w:r>
      <w:r>
        <w:t xml:space="preserve">explicitly depicted inscriptions upon buildings in this way, as a necessary material reinforcement of spiritual and emotional experiences. Nonconformist minister Thomas Doolittle wrote </w:t>
      </w:r>
      <w:r>
        <w:rPr>
          <w:i/>
          <w:iCs/>
        </w:rPr>
        <w:t xml:space="preserve">Earthquakes Explained </w:t>
      </w:r>
      <w:r>
        <w:t>in response to an earthquake which struck London in 1692.</w:t>
      </w:r>
      <w:r w:rsidR="00BC34E8">
        <w:rPr>
          <w:rStyle w:val="FootnoteReference"/>
        </w:rPr>
        <w:footnoteReference w:id="198"/>
      </w:r>
      <w:r>
        <w:t xml:space="preserve"> </w:t>
      </w:r>
      <w:r w:rsidRPr="002F2B86">
        <w:t>Doolittle argued that earthquakes were punishment for sin</w:t>
      </w:r>
      <w:r w:rsidR="003E0C6D">
        <w:t xml:space="preserve">, </w:t>
      </w:r>
      <w:r>
        <w:t>cit</w:t>
      </w:r>
      <w:r w:rsidR="003E0C6D">
        <w:t>ing</w:t>
      </w:r>
      <w:r w:rsidRPr="002F2B86">
        <w:t xml:space="preserve"> biblical references in which God sent earthquakes ‘as forerunners of calamities to come’.</w:t>
      </w:r>
      <w:r w:rsidRPr="002F2B86">
        <w:rPr>
          <w:vertAlign w:val="superscript"/>
        </w:rPr>
        <w:footnoteReference w:id="199"/>
      </w:r>
      <w:r>
        <w:t xml:space="preserve"> Doolittle emphasised the importance of faith in God as prevention of these ‘calamities’ and </w:t>
      </w:r>
      <w:r w:rsidR="00864C43">
        <w:t>framed</w:t>
      </w:r>
      <w:r>
        <w:t xml:space="preserve"> inscriptions upon the home</w:t>
      </w:r>
      <w:r w:rsidR="003E0C6D">
        <w:t xml:space="preserve"> </w:t>
      </w:r>
      <w:r w:rsidR="00864C43">
        <w:t>as</w:t>
      </w:r>
      <w:r w:rsidR="003E0C6D">
        <w:t xml:space="preserve"> a powerful means of</w:t>
      </w:r>
      <w:r>
        <w:t xml:space="preserve"> averting them. He urged </w:t>
      </w:r>
      <w:r w:rsidRPr="00FB5296">
        <w:t xml:space="preserve">‘O write upon your Walls, however </w:t>
      </w:r>
      <w:proofErr w:type="spellStart"/>
      <w:r w:rsidRPr="00FB5296">
        <w:t>engraven</w:t>
      </w:r>
      <w:proofErr w:type="spellEnd"/>
      <w:r w:rsidRPr="00FB5296">
        <w:t xml:space="preserve"> it on your hearts and memories, My House was shaken with an Earthquake, and yet it stands’.</w:t>
      </w:r>
      <w:r w:rsidRPr="00FB5296">
        <w:rPr>
          <w:vertAlign w:val="superscript"/>
        </w:rPr>
        <w:footnoteReference w:id="200"/>
      </w:r>
      <w:r w:rsidRPr="00F979A9">
        <w:t xml:space="preserve"> For Doolittle, mural inscriptions</w:t>
      </w:r>
      <w:r>
        <w:t xml:space="preserve"> were a means of</w:t>
      </w:r>
      <w:r w:rsidRPr="00F979A9">
        <w:t xml:space="preserve"> ensuring ‘That you may be the more sensible of, and so more thankful for God’s great Mercy in sparing you in the day of his Power’.</w:t>
      </w:r>
      <w:r w:rsidRPr="00F979A9">
        <w:rPr>
          <w:vertAlign w:val="superscript"/>
        </w:rPr>
        <w:footnoteReference w:id="201"/>
      </w:r>
      <w:r>
        <w:t xml:space="preserve"> Doolittle mobilised an engraved heart </w:t>
      </w:r>
      <w:r w:rsidR="00ED1435">
        <w:t xml:space="preserve">both </w:t>
      </w:r>
      <w:r>
        <w:t xml:space="preserve">as a symbol of Christian faith </w:t>
      </w:r>
      <w:r w:rsidR="00ED1435">
        <w:t>and</w:t>
      </w:r>
      <w:r>
        <w:t xml:space="preserve"> as a bodily consequence of surviving difficult circumstances with God’s intervention. In inciting inscription upon the home, though, Doolittle positioned it as </w:t>
      </w:r>
      <w:r w:rsidR="00010BF0">
        <w:t>fundamental in</w:t>
      </w:r>
      <w:r>
        <w:t xml:space="preserve"> maintaining the potency of memories engraved within the body</w:t>
      </w:r>
      <w:r w:rsidR="00561AAA">
        <w:t>. For Doolittle,</w:t>
      </w:r>
      <w:r>
        <w:t xml:space="preserve"> material inscriptions bolster</w:t>
      </w:r>
      <w:r w:rsidR="00561AAA">
        <w:t>ed</w:t>
      </w:r>
      <w:r>
        <w:t xml:space="preserve"> inner inscriptions, memorialising experiences and acting as continual spurs to </w:t>
      </w:r>
      <w:r w:rsidR="00B93D69">
        <w:t>remembrance</w:t>
      </w:r>
      <w:r>
        <w:t>, action and steadfast faith.</w:t>
      </w:r>
    </w:p>
    <w:p w14:paraId="7F6D97CA" w14:textId="743228EE" w:rsidR="007858B6" w:rsidRPr="009C0BFA" w:rsidRDefault="007858B6" w:rsidP="007858B6">
      <w:pPr>
        <w:spacing w:after="0" w:line="480" w:lineRule="auto"/>
        <w:ind w:firstLine="720"/>
        <w:jc w:val="both"/>
      </w:pPr>
      <w:r w:rsidRPr="009C0BFA">
        <w:t>When Doolittle was writing in the late</w:t>
      </w:r>
      <w:r w:rsidR="00ED10E2">
        <w:t>-</w:t>
      </w:r>
      <w:r w:rsidRPr="009C0BFA">
        <w:t xml:space="preserve">seventeenth century, the trope of </w:t>
      </w:r>
      <w:r>
        <w:t xml:space="preserve">domestic </w:t>
      </w:r>
      <w:r w:rsidRPr="009C0BFA">
        <w:t>mural inscriptions as marks of faith had a long history. Juliet Fleming has highlighted the established ‘practice of wall-writing in post-Reformation England’, tracing its origins to two passages in Deuteronomy</w:t>
      </w:r>
      <w:r>
        <w:t>.</w:t>
      </w:r>
      <w:r w:rsidRPr="009C0BFA">
        <w:rPr>
          <w:vertAlign w:val="superscript"/>
        </w:rPr>
        <w:footnoteReference w:id="202"/>
      </w:r>
      <w:r w:rsidRPr="009C0BFA">
        <w:t xml:space="preserve"> The first (Deut. 6:4-9) listed countless </w:t>
      </w:r>
      <w:r>
        <w:t>methods key to</w:t>
      </w:r>
      <w:r w:rsidRPr="009C0BFA">
        <w:t xml:space="preserve"> </w:t>
      </w:r>
      <w:r w:rsidRPr="009C0BFA">
        <w:lastRenderedPageBreak/>
        <w:t xml:space="preserve">remembering and honouring God’s word, including teaching it ‘diligently unto thy children’, speaking of it always – when ‘thou </w:t>
      </w:r>
      <w:proofErr w:type="spellStart"/>
      <w:r w:rsidRPr="009C0BFA">
        <w:t>sittest</w:t>
      </w:r>
      <w:proofErr w:type="spellEnd"/>
      <w:r w:rsidRPr="009C0BFA">
        <w:t>’, ‘</w:t>
      </w:r>
      <w:proofErr w:type="spellStart"/>
      <w:r w:rsidRPr="009C0BFA">
        <w:t>walkest</w:t>
      </w:r>
      <w:proofErr w:type="spellEnd"/>
      <w:r w:rsidRPr="009C0BFA">
        <w:t>’, ‘</w:t>
      </w:r>
      <w:proofErr w:type="spellStart"/>
      <w:r w:rsidRPr="009C0BFA">
        <w:t>liest</w:t>
      </w:r>
      <w:proofErr w:type="spellEnd"/>
      <w:r w:rsidRPr="009C0BFA">
        <w:t xml:space="preserve"> down’, and ‘</w:t>
      </w:r>
      <w:proofErr w:type="spellStart"/>
      <w:r w:rsidRPr="009C0BFA">
        <w:t>risest</w:t>
      </w:r>
      <w:proofErr w:type="spellEnd"/>
      <w:r w:rsidRPr="009C0BFA">
        <w:t>’ – and, significantly</w:t>
      </w:r>
      <w:r>
        <w:t xml:space="preserve"> for a study of inscriptions upon and within the home</w:t>
      </w:r>
      <w:r w:rsidRPr="009C0BFA">
        <w:t>, writing professions of faith ‘upon the posts of thy house, and on thy gates’.</w:t>
      </w:r>
      <w:r w:rsidRPr="009C0BFA">
        <w:rPr>
          <w:vertAlign w:val="superscript"/>
        </w:rPr>
        <w:footnoteReference w:id="203"/>
      </w:r>
      <w:r w:rsidRPr="009C0BFA">
        <w:t xml:space="preserve"> The same instructions are repeated almost verbatim in Deut. 11:18-21, and continental reformers were heavily influenced by both passages. Martin Luther, for example, advocated the entire Bible be written on the inside</w:t>
      </w:r>
      <w:r w:rsidRPr="009C0BFA">
        <w:rPr>
          <w:iCs/>
        </w:rPr>
        <w:t xml:space="preserve"> and</w:t>
      </w:r>
      <w:r w:rsidRPr="009C0BFA">
        <w:rPr>
          <w:i/>
        </w:rPr>
        <w:t xml:space="preserve"> </w:t>
      </w:r>
      <w:r w:rsidRPr="009C0BFA">
        <w:t xml:space="preserve">outside of the house for all to see, while Jean Calvin believed the </w:t>
      </w:r>
      <w:r>
        <w:t xml:space="preserve">biblical </w:t>
      </w:r>
      <w:r w:rsidRPr="009C0BFA">
        <w:t xml:space="preserve">repetition across two chapters was ‘not superfluous, where God </w:t>
      </w:r>
      <w:proofErr w:type="spellStart"/>
      <w:r w:rsidRPr="009C0BFA">
        <w:t>telleth</w:t>
      </w:r>
      <w:proofErr w:type="spellEnd"/>
      <w:r w:rsidRPr="009C0BFA">
        <w:t xml:space="preserve"> us again, that it is good for us to have his law written everywhere’.</w:t>
      </w:r>
      <w:r w:rsidR="001B6FE7">
        <w:rPr>
          <w:rStyle w:val="FootnoteReference"/>
        </w:rPr>
        <w:footnoteReference w:id="204"/>
      </w:r>
      <w:r w:rsidRPr="009C0BFA">
        <w:t xml:space="preserve"> Indeed, Calvin argued that God’s word should be ‘painted on our </w:t>
      </w:r>
      <w:proofErr w:type="spellStart"/>
      <w:r w:rsidRPr="009C0BFA">
        <w:t>walles</w:t>
      </w:r>
      <w:proofErr w:type="spellEnd"/>
      <w:r w:rsidRPr="009C0BFA">
        <w:t xml:space="preserve"> as in tables, and let us have things to put us in </w:t>
      </w:r>
      <w:proofErr w:type="spellStart"/>
      <w:r w:rsidRPr="009C0BFA">
        <w:t>minde</w:t>
      </w:r>
      <w:proofErr w:type="spellEnd"/>
      <w:r w:rsidRPr="009C0BFA">
        <w:t xml:space="preserve"> of it early and late’.</w:t>
      </w:r>
      <w:r w:rsidRPr="009C0BFA">
        <w:rPr>
          <w:vertAlign w:val="superscript"/>
        </w:rPr>
        <w:footnoteReference w:id="205"/>
      </w:r>
    </w:p>
    <w:p w14:paraId="2A651859" w14:textId="5E31A880" w:rsidR="007858B6" w:rsidRDefault="007858B6" w:rsidP="007858B6">
      <w:pPr>
        <w:spacing w:after="0" w:line="480" w:lineRule="auto"/>
        <w:ind w:firstLine="720"/>
        <w:jc w:val="both"/>
      </w:pPr>
      <w:r w:rsidRPr="00E33436">
        <w:rPr>
          <w:i/>
        </w:rPr>
        <w:t xml:space="preserve">The Ancient History of the Septuagint, </w:t>
      </w:r>
      <w:r w:rsidRPr="00E33436">
        <w:t>translated by poet and cleric John Donne and published posthumously in 1633, referenced the same passage from Deuteronomy.</w:t>
      </w:r>
      <w:r>
        <w:t xml:space="preserve"> </w:t>
      </w:r>
      <w:r w:rsidRPr="00B01837">
        <w:t xml:space="preserve">Donne wrote that God ‘hath ordained we draw upon the Doores and Ports of our houses such inscriptions as shall move us to actions of </w:t>
      </w:r>
      <w:proofErr w:type="spellStart"/>
      <w:r w:rsidRPr="00B01837">
        <w:t>thankes</w:t>
      </w:r>
      <w:proofErr w:type="spellEnd"/>
      <w:r w:rsidRPr="00B01837">
        <w:t xml:space="preserve">, still to </w:t>
      </w:r>
      <w:proofErr w:type="spellStart"/>
      <w:r w:rsidRPr="00B01837">
        <w:t>renewe</w:t>
      </w:r>
      <w:proofErr w:type="spellEnd"/>
      <w:r w:rsidRPr="00B01837">
        <w:t xml:space="preserve"> our memories: GOD and his </w:t>
      </w:r>
      <w:proofErr w:type="spellStart"/>
      <w:r w:rsidRPr="00B01837">
        <w:t>goodnesse</w:t>
      </w:r>
      <w:proofErr w:type="spellEnd"/>
      <w:r w:rsidRPr="00B01837">
        <w:t xml:space="preserve"> in our thoughts’.</w:t>
      </w:r>
      <w:r w:rsidRPr="00B01837">
        <w:rPr>
          <w:vertAlign w:val="superscript"/>
        </w:rPr>
        <w:footnoteReference w:id="206"/>
      </w:r>
      <w:r>
        <w:t xml:space="preserve"> In the same passage, Donne stated that </w:t>
      </w:r>
      <w:r w:rsidRPr="00EA32AB">
        <w:t>God had forbidden anything ‘that should make us forget or deface in our memories the power and providence of GOD’.</w:t>
      </w:r>
      <w:r w:rsidRPr="00EA32AB">
        <w:rPr>
          <w:vertAlign w:val="superscript"/>
        </w:rPr>
        <w:footnoteReference w:id="207"/>
      </w:r>
      <w:r>
        <w:t xml:space="preserve"> Andrew Hiscock has demonstrated the way in which Donne consistently sought to embed memory within the materiality of the body, articulating it in physical terms.</w:t>
      </w:r>
      <w:r>
        <w:rPr>
          <w:rStyle w:val="FootnoteReference"/>
        </w:rPr>
        <w:footnoteReference w:id="208"/>
      </w:r>
      <w:r w:rsidR="009C0804">
        <w:t xml:space="preserve"> As well as arguing that textual inscriptions in the built environment functioned as ind</w:t>
      </w:r>
      <w:r>
        <w:t>ucement</w:t>
      </w:r>
      <w:r w:rsidR="009C0804">
        <w:t>s</w:t>
      </w:r>
      <w:r>
        <w:t xml:space="preserve"> to </w:t>
      </w:r>
      <w:r>
        <w:lastRenderedPageBreak/>
        <w:t xml:space="preserve">memory, </w:t>
      </w:r>
      <w:r w:rsidR="008D22E1">
        <w:t xml:space="preserve">in using the word ‘deface’ </w:t>
      </w:r>
      <w:r w:rsidR="009C0804">
        <w:t>Donne</w:t>
      </w:r>
      <w:r>
        <w:t xml:space="preserve"> also framed memory </w:t>
      </w:r>
      <w:r w:rsidR="008D22E1">
        <w:t xml:space="preserve">itself </w:t>
      </w:r>
      <w:r>
        <w:t>as textual, treating it figuratively like the written word, equally capable of being blotted out.</w:t>
      </w:r>
      <w:r>
        <w:rPr>
          <w:rStyle w:val="FootnoteReference"/>
        </w:rPr>
        <w:footnoteReference w:id="209"/>
      </w:r>
      <w:r>
        <w:t xml:space="preserve"> In the face of displeasing God by forgetting His omnipotence, inscriptions offered a resolution, maintaining Him in the forefront of all actions and thoughts. Perceptible in the writings of Doolittle, Calvin and Donne – despite </w:t>
      </w:r>
      <w:r w:rsidR="00AB052F">
        <w:t xml:space="preserve">the </w:t>
      </w:r>
      <w:r>
        <w:t>denomination</w:t>
      </w:r>
      <w:r w:rsidR="00AB052F">
        <w:t>al differences between them</w:t>
      </w:r>
      <w:r>
        <w:t xml:space="preserve"> – are the contemporary perceptions of the continuities between inscriptions on spaces and upon the bodies</w:t>
      </w:r>
      <w:r w:rsidR="00AB052F">
        <w:t xml:space="preserve"> and minds of those</w:t>
      </w:r>
      <w:r>
        <w:t xml:space="preserve"> inhabit</w:t>
      </w:r>
      <w:r w:rsidR="00AB052F">
        <w:t>ing</w:t>
      </w:r>
      <w:r>
        <w:t xml:space="preserve"> them. The writings of religious scholars reveal the way in which text engraved upon objects and buildings was understood as deepening and reinforcing internal processes of devotion, and how the body </w:t>
      </w:r>
      <w:r w:rsidR="00FF5FC5">
        <w:t xml:space="preserve">and mind </w:t>
      </w:r>
      <w:r>
        <w:t>in turn w</w:t>
      </w:r>
      <w:r w:rsidR="00FF5FC5">
        <w:t>ere</w:t>
      </w:r>
      <w:r>
        <w:t xml:space="preserve"> </w:t>
      </w:r>
      <w:r w:rsidR="00FF5FC5">
        <w:t xml:space="preserve">both </w:t>
      </w:r>
      <w:r>
        <w:t>positioned as inscribed surface</w:t>
      </w:r>
      <w:r w:rsidR="00FF5FC5">
        <w:t>s</w:t>
      </w:r>
      <w:r>
        <w:t xml:space="preserve">, with the faith inscribed upon </w:t>
      </w:r>
      <w:r w:rsidR="00FF5FC5">
        <w:t xml:space="preserve">them </w:t>
      </w:r>
      <w:r>
        <w:t xml:space="preserve">marshalled by </w:t>
      </w:r>
      <w:r w:rsidR="00FF5FC5">
        <w:t xml:space="preserve">their </w:t>
      </w:r>
      <w:r>
        <w:t>environment.</w:t>
      </w:r>
    </w:p>
    <w:p w14:paraId="0363C602" w14:textId="34402E3A" w:rsidR="007858B6" w:rsidRDefault="007858B6" w:rsidP="007858B6">
      <w:pPr>
        <w:spacing w:after="0" w:line="480" w:lineRule="auto"/>
        <w:ind w:firstLine="720"/>
        <w:jc w:val="both"/>
        <w:rPr>
          <w:iCs/>
        </w:rPr>
      </w:pPr>
      <w:r>
        <w:rPr>
          <w:iCs/>
        </w:rPr>
        <w:t xml:space="preserve">Present in both Deuteronomy passages already </w:t>
      </w:r>
      <w:proofErr w:type="gramStart"/>
      <w:r>
        <w:rPr>
          <w:iCs/>
        </w:rPr>
        <w:t>discussed, and</w:t>
      </w:r>
      <w:proofErr w:type="gramEnd"/>
      <w:r>
        <w:rPr>
          <w:iCs/>
        </w:rPr>
        <w:t xml:space="preserve"> repeatedly cited by early modern authors describing engraved text, the threshold of the house was an important location for the inscriptions advanced by sixteenth</w:t>
      </w:r>
      <w:r w:rsidR="002F1731">
        <w:rPr>
          <w:iCs/>
        </w:rPr>
        <w:t>-</w:t>
      </w:r>
      <w:r>
        <w:rPr>
          <w:iCs/>
        </w:rPr>
        <w:t xml:space="preserve"> and seventeenth-century theologians. </w:t>
      </w:r>
      <w:r w:rsidRPr="00890CDC">
        <w:rPr>
          <w:iCs/>
        </w:rPr>
        <w:t>Throughout the Old Testament, marked doorways repeatedly functioned as a means of self-identification with Christian</w:t>
      </w:r>
      <w:r w:rsidR="00FF5FC5">
        <w:rPr>
          <w:iCs/>
        </w:rPr>
        <w:t>ity</w:t>
      </w:r>
      <w:r w:rsidR="00D030A0">
        <w:rPr>
          <w:iCs/>
        </w:rPr>
        <w:t xml:space="preserve"> </w:t>
      </w:r>
      <w:r w:rsidRPr="00890CDC">
        <w:rPr>
          <w:iCs/>
        </w:rPr>
        <w:t>and as a protective tool.</w:t>
      </w:r>
      <w:r>
        <w:rPr>
          <w:iCs/>
        </w:rPr>
        <w:t xml:space="preserve"> The story of Passover described in </w:t>
      </w:r>
      <w:r w:rsidRPr="001B1E1C">
        <w:rPr>
          <w:iCs/>
        </w:rPr>
        <w:t>Exodus 12:1-14 features this association and was widely referenced by early modern religious writers</w:t>
      </w:r>
      <w:r>
        <w:rPr>
          <w:iCs/>
        </w:rPr>
        <w:t xml:space="preserve">, as will be discussed. </w:t>
      </w:r>
      <w:r w:rsidRPr="00EC02E2">
        <w:rPr>
          <w:iCs/>
        </w:rPr>
        <w:t xml:space="preserve">Within the passage, </w:t>
      </w:r>
      <w:r>
        <w:rPr>
          <w:iCs/>
        </w:rPr>
        <w:t xml:space="preserve">God speaks </w:t>
      </w:r>
      <w:r w:rsidRPr="00EC02E2">
        <w:rPr>
          <w:iCs/>
        </w:rPr>
        <w:t xml:space="preserve">to Moses and Aaron </w:t>
      </w:r>
      <w:r>
        <w:rPr>
          <w:iCs/>
        </w:rPr>
        <w:t xml:space="preserve">and tells them </w:t>
      </w:r>
      <w:r w:rsidRPr="00EC02E2">
        <w:rPr>
          <w:iCs/>
        </w:rPr>
        <w:t xml:space="preserve">that upon slaughtering a lamb, they ought to ‘take some of the blood and put it on the sides and tops of the doorframes of the houses where they eat the </w:t>
      </w:r>
      <w:proofErr w:type="gramStart"/>
      <w:r w:rsidRPr="00EC02E2">
        <w:rPr>
          <w:iCs/>
        </w:rPr>
        <w:t>lambs’</w:t>
      </w:r>
      <w:proofErr w:type="gramEnd"/>
      <w:r w:rsidRPr="00EC02E2">
        <w:rPr>
          <w:iCs/>
        </w:rPr>
        <w:t xml:space="preserve">. That night, as </w:t>
      </w:r>
      <w:r>
        <w:rPr>
          <w:iCs/>
        </w:rPr>
        <w:t xml:space="preserve">he </w:t>
      </w:r>
      <w:r w:rsidRPr="00EC02E2">
        <w:rPr>
          <w:iCs/>
        </w:rPr>
        <w:t xml:space="preserve">moves through Egypt bringing death to firstborn children and animals, </w:t>
      </w:r>
      <w:r>
        <w:rPr>
          <w:iCs/>
        </w:rPr>
        <w:t>God</w:t>
      </w:r>
      <w:r w:rsidRPr="00EC02E2">
        <w:rPr>
          <w:iCs/>
        </w:rPr>
        <w:t xml:space="preserve"> states that ‘the </w:t>
      </w:r>
      <w:r w:rsidRPr="00EC02E2">
        <w:rPr>
          <w:iCs/>
        </w:rPr>
        <w:lastRenderedPageBreak/>
        <w:t xml:space="preserve">blood will be a sign … on the houses’, </w:t>
      </w:r>
      <w:r>
        <w:rPr>
          <w:iCs/>
        </w:rPr>
        <w:t>inducing</w:t>
      </w:r>
      <w:r w:rsidRPr="00EC02E2">
        <w:rPr>
          <w:iCs/>
        </w:rPr>
        <w:t xml:space="preserve"> him to ‘pass over’ the marked homes, </w:t>
      </w:r>
      <w:r>
        <w:rPr>
          <w:iCs/>
        </w:rPr>
        <w:t>exempting</w:t>
      </w:r>
      <w:r w:rsidRPr="00EC02E2">
        <w:rPr>
          <w:iCs/>
        </w:rPr>
        <w:t xml:space="preserve"> their inhabitants from ‘destructive plague’.</w:t>
      </w:r>
      <w:r w:rsidRPr="00EC02E2">
        <w:rPr>
          <w:iCs/>
          <w:vertAlign w:val="superscript"/>
        </w:rPr>
        <w:footnoteReference w:id="210"/>
      </w:r>
    </w:p>
    <w:p w14:paraId="25AFECA1" w14:textId="0FED37D5" w:rsidR="007858B6" w:rsidRDefault="007858B6" w:rsidP="007858B6">
      <w:pPr>
        <w:spacing w:after="0" w:line="480" w:lineRule="auto"/>
        <w:ind w:firstLine="720"/>
        <w:jc w:val="both"/>
        <w:rPr>
          <w:iCs/>
        </w:rPr>
      </w:pPr>
      <w:r>
        <w:rPr>
          <w:iCs/>
        </w:rPr>
        <w:t xml:space="preserve">For many early modern scholars, the doorposts in the Passover story were deeply symbolic, closely linked with the body. </w:t>
      </w:r>
      <w:r w:rsidRPr="004226D4">
        <w:rPr>
          <w:iCs/>
        </w:rPr>
        <w:t xml:space="preserve">In a semi-anonymous work written by </w:t>
      </w:r>
      <w:r>
        <w:rPr>
          <w:iCs/>
        </w:rPr>
        <w:t>‘</w:t>
      </w:r>
      <w:r w:rsidRPr="004226D4">
        <w:rPr>
          <w:iCs/>
        </w:rPr>
        <w:t>T. O.</w:t>
      </w:r>
      <w:r>
        <w:rPr>
          <w:iCs/>
        </w:rPr>
        <w:t xml:space="preserve">’, </w:t>
      </w:r>
      <w:r w:rsidRPr="004226D4">
        <w:rPr>
          <w:iCs/>
        </w:rPr>
        <w:t>published in 1680</w:t>
      </w:r>
      <w:r>
        <w:rPr>
          <w:iCs/>
        </w:rPr>
        <w:t xml:space="preserve"> and</w:t>
      </w:r>
      <w:r w:rsidRPr="004226D4">
        <w:rPr>
          <w:iCs/>
        </w:rPr>
        <w:t xml:space="preserve"> titled </w:t>
      </w:r>
      <w:r w:rsidRPr="004226D4">
        <w:rPr>
          <w:i/>
          <w:iCs/>
        </w:rPr>
        <w:t xml:space="preserve">Christ’s voice to sinners: or, Christ waiting at the door of the sinner’s heart for entrance, </w:t>
      </w:r>
      <w:r w:rsidRPr="004226D4">
        <w:rPr>
          <w:iCs/>
        </w:rPr>
        <w:t>the imagery of the soul, heart and body as furnished with a doorway is a recurrent theme</w:t>
      </w:r>
      <w:r w:rsidRPr="007C73F7">
        <w:t>.</w:t>
      </w:r>
      <w:r w:rsidR="00DC0035" w:rsidRPr="007C73F7">
        <w:rPr>
          <w:rStyle w:val="FootnoteReference"/>
        </w:rPr>
        <w:footnoteReference w:id="211"/>
      </w:r>
      <w:r w:rsidR="007C73F7">
        <w:rPr>
          <w:i/>
          <w:iCs/>
        </w:rPr>
        <w:t xml:space="preserve"> </w:t>
      </w:r>
      <w:r>
        <w:t>T</w:t>
      </w:r>
      <w:r w:rsidRPr="004C1775">
        <w:t xml:space="preserve">. O. explains that Christ visits the door of sinners because their ‘Doorposts’ are unadorned with ‘sprinklings of the Pascal lamb’, </w:t>
      </w:r>
      <w:r>
        <w:t xml:space="preserve">stating that </w:t>
      </w:r>
      <w:r w:rsidRPr="004C1775">
        <w:t>Christ</w:t>
      </w:r>
      <w:r>
        <w:t xml:space="preserve"> (as in the Passover story)</w:t>
      </w:r>
      <w:r w:rsidRPr="004C1775">
        <w:t xml:space="preserve"> ‘takes possession by sprinkling his Blood upon the soul’.</w:t>
      </w:r>
      <w:r w:rsidR="007C73F7">
        <w:rPr>
          <w:rStyle w:val="FootnoteReference"/>
        </w:rPr>
        <w:footnoteReference w:id="212"/>
      </w:r>
      <w:r>
        <w:t xml:space="preserve"> </w:t>
      </w:r>
      <w:r w:rsidRPr="00C76439">
        <w:t>T. O. argues that ‘the Soul [opens] to Christ, when the Blood of Christ cleanses the heart’, urging ‘O sinners get this Blood upon your Door-posts’.</w:t>
      </w:r>
      <w:r w:rsidRPr="00C76439">
        <w:rPr>
          <w:vertAlign w:val="superscript"/>
        </w:rPr>
        <w:footnoteReference w:id="213"/>
      </w:r>
      <w:r>
        <w:t xml:space="preserve"> Echoing Barclay and Reddan’s argument about the ‘instability’ of the early modern heart as both physical and metaphorical, t</w:t>
      </w:r>
      <w:r w:rsidRPr="002B46E3">
        <w:t>he posts T. O. depicts occupy a liminal spac</w:t>
      </w:r>
      <w:r>
        <w:t>e</w:t>
      </w:r>
      <w:r w:rsidRPr="002B46E3">
        <w:t>, representing a spiritual-yet-bodily entryway for faith</w:t>
      </w:r>
      <w:r>
        <w:t>.</w:t>
      </w:r>
      <w:r>
        <w:rPr>
          <w:rStyle w:val="FootnoteReference"/>
        </w:rPr>
        <w:footnoteReference w:id="214"/>
      </w:r>
      <w:r>
        <w:t xml:space="preserve"> </w:t>
      </w:r>
      <w:r w:rsidRPr="005263A2">
        <w:t>By extension, T. O. casts the internal bodily space guarded by doorposts as a sealable vessel of safety and retreat from harm – akin to a home – when inciting the verse ‘Isa 26.19 Enter into the Chambers and shut the Doors, till the Indignation be over past’.</w:t>
      </w:r>
      <w:r w:rsidRPr="005263A2">
        <w:rPr>
          <w:vertAlign w:val="superscript"/>
        </w:rPr>
        <w:footnoteReference w:id="215"/>
      </w:r>
    </w:p>
    <w:p w14:paraId="6915B547" w14:textId="0E815415" w:rsidR="007858B6" w:rsidRDefault="007858B6" w:rsidP="007858B6">
      <w:pPr>
        <w:spacing w:after="0" w:line="480" w:lineRule="auto"/>
        <w:ind w:firstLine="720"/>
        <w:jc w:val="both"/>
        <w:rPr>
          <w:iCs/>
        </w:rPr>
      </w:pPr>
      <w:r w:rsidRPr="0033439B">
        <w:rPr>
          <w:iCs/>
        </w:rPr>
        <w:t xml:space="preserve">In </w:t>
      </w:r>
      <w:r w:rsidRPr="0033439B">
        <w:rPr>
          <w:i/>
          <w:iCs/>
        </w:rPr>
        <w:t xml:space="preserve">Christ’s voice to sinners, </w:t>
      </w:r>
      <w:r w:rsidRPr="0033439B">
        <w:rPr>
          <w:iCs/>
        </w:rPr>
        <w:t>the sprinkling of blood on the doorposts of the soul denoted a first step in receiving Christ</w:t>
      </w:r>
      <w:r>
        <w:rPr>
          <w:iCs/>
        </w:rPr>
        <w:t xml:space="preserve"> </w:t>
      </w:r>
      <w:r w:rsidRPr="0033439B">
        <w:rPr>
          <w:iCs/>
        </w:rPr>
        <w:t>and</w:t>
      </w:r>
      <w:r>
        <w:rPr>
          <w:iCs/>
        </w:rPr>
        <w:t>,</w:t>
      </w:r>
      <w:r w:rsidRPr="0033439B">
        <w:rPr>
          <w:iCs/>
        </w:rPr>
        <w:t xml:space="preserve"> consequently</w:t>
      </w:r>
      <w:r>
        <w:rPr>
          <w:iCs/>
        </w:rPr>
        <w:t>,</w:t>
      </w:r>
      <w:r w:rsidRPr="0033439B">
        <w:rPr>
          <w:iCs/>
        </w:rPr>
        <w:t xml:space="preserve"> faith. T. O. also emphasised that although many ‘think they have let him in’, their ‘Profession is but a kiss a </w:t>
      </w:r>
      <w:proofErr w:type="spellStart"/>
      <w:r w:rsidRPr="0033439B">
        <w:rPr>
          <w:iCs/>
        </w:rPr>
        <w:t>meer</w:t>
      </w:r>
      <w:proofErr w:type="spellEnd"/>
      <w:r w:rsidRPr="0033439B">
        <w:rPr>
          <w:iCs/>
        </w:rPr>
        <w:t xml:space="preserve"> Complement, if you do </w:t>
      </w:r>
      <w:r w:rsidRPr="0033439B">
        <w:rPr>
          <w:iCs/>
        </w:rPr>
        <w:lastRenderedPageBreak/>
        <w:t>not let him take possession of your souls’.</w:t>
      </w:r>
      <w:r w:rsidRPr="0033439B">
        <w:rPr>
          <w:iCs/>
          <w:vertAlign w:val="superscript"/>
        </w:rPr>
        <w:footnoteReference w:id="216"/>
      </w:r>
      <w:r w:rsidRPr="0033439B">
        <w:rPr>
          <w:iCs/>
        </w:rPr>
        <w:t xml:space="preserve"> T. O. placed</w:t>
      </w:r>
      <w:r>
        <w:rPr>
          <w:iCs/>
        </w:rPr>
        <w:t xml:space="preserve"> these false</w:t>
      </w:r>
      <w:r w:rsidRPr="0033439B">
        <w:rPr>
          <w:iCs/>
        </w:rPr>
        <w:t xml:space="preserve"> ‘Professors and sinners’ as equals, highlighting the wrongfulness of outward</w:t>
      </w:r>
      <w:r>
        <w:rPr>
          <w:iCs/>
        </w:rPr>
        <w:t>,</w:t>
      </w:r>
      <w:r w:rsidRPr="0033439B">
        <w:rPr>
          <w:iCs/>
        </w:rPr>
        <w:t xml:space="preserve"> disingenuous </w:t>
      </w:r>
      <w:r>
        <w:rPr>
          <w:iCs/>
        </w:rPr>
        <w:t>presentation</w:t>
      </w:r>
      <w:r w:rsidRPr="0033439B">
        <w:rPr>
          <w:iCs/>
        </w:rPr>
        <w:t>s of faith.</w:t>
      </w:r>
      <w:r w:rsidR="00F87A5C">
        <w:rPr>
          <w:rStyle w:val="FootnoteReference"/>
          <w:iCs/>
        </w:rPr>
        <w:footnoteReference w:id="217"/>
      </w:r>
      <w:r w:rsidRPr="0033439B">
        <w:rPr>
          <w:iCs/>
        </w:rPr>
        <w:t xml:space="preserve"> By a similar token, popular sixteenth-century </w:t>
      </w:r>
      <w:r>
        <w:rPr>
          <w:iCs/>
        </w:rPr>
        <w:t>p</w:t>
      </w:r>
      <w:r w:rsidRPr="0033439B">
        <w:rPr>
          <w:iCs/>
        </w:rPr>
        <w:t>reacher Henry Smith highlighted the importance of</w:t>
      </w:r>
      <w:r>
        <w:rPr>
          <w:iCs/>
        </w:rPr>
        <w:t xml:space="preserve"> matching</w:t>
      </w:r>
      <w:r w:rsidRPr="0033439B">
        <w:rPr>
          <w:iCs/>
        </w:rPr>
        <w:t xml:space="preserve"> internal commitments and beliefs</w:t>
      </w:r>
      <w:r>
        <w:rPr>
          <w:iCs/>
        </w:rPr>
        <w:t xml:space="preserve"> to </w:t>
      </w:r>
      <w:r w:rsidRPr="0033439B">
        <w:rPr>
          <w:iCs/>
        </w:rPr>
        <w:t xml:space="preserve">external displays, urging listeners to ‘See that you have not </w:t>
      </w:r>
      <w:proofErr w:type="spellStart"/>
      <w:r w:rsidRPr="0033439B">
        <w:rPr>
          <w:iCs/>
        </w:rPr>
        <w:t>onely</w:t>
      </w:r>
      <w:proofErr w:type="spellEnd"/>
      <w:r w:rsidRPr="0033439B">
        <w:rPr>
          <w:iCs/>
        </w:rPr>
        <w:t xml:space="preserve"> the two side </w:t>
      </w:r>
      <w:proofErr w:type="spellStart"/>
      <w:r w:rsidRPr="0033439B">
        <w:rPr>
          <w:iCs/>
        </w:rPr>
        <w:t>postes</w:t>
      </w:r>
      <w:proofErr w:type="spellEnd"/>
      <w:r w:rsidRPr="0033439B">
        <w:rPr>
          <w:iCs/>
        </w:rPr>
        <w:t xml:space="preserve">, and the upper </w:t>
      </w:r>
      <w:proofErr w:type="spellStart"/>
      <w:r w:rsidRPr="0033439B">
        <w:rPr>
          <w:iCs/>
        </w:rPr>
        <w:t>doore</w:t>
      </w:r>
      <w:proofErr w:type="spellEnd"/>
      <w:r w:rsidRPr="0033439B">
        <w:rPr>
          <w:iCs/>
        </w:rPr>
        <w:t xml:space="preserve"> </w:t>
      </w:r>
      <w:proofErr w:type="spellStart"/>
      <w:r w:rsidRPr="0033439B">
        <w:rPr>
          <w:iCs/>
        </w:rPr>
        <w:t>postes</w:t>
      </w:r>
      <w:proofErr w:type="spellEnd"/>
      <w:r w:rsidRPr="0033439B">
        <w:rPr>
          <w:iCs/>
        </w:rPr>
        <w:t xml:space="preserve"> of your houses, stricken over with the </w:t>
      </w:r>
      <w:proofErr w:type="spellStart"/>
      <w:r w:rsidRPr="0033439B">
        <w:rPr>
          <w:iCs/>
        </w:rPr>
        <w:t>bloud</w:t>
      </w:r>
      <w:proofErr w:type="spellEnd"/>
      <w:r w:rsidRPr="0033439B">
        <w:rPr>
          <w:iCs/>
        </w:rPr>
        <w:t xml:space="preserve"> of the Lambe, but your </w:t>
      </w:r>
      <w:proofErr w:type="spellStart"/>
      <w:r w:rsidRPr="0033439B">
        <w:rPr>
          <w:iCs/>
        </w:rPr>
        <w:t>harts</w:t>
      </w:r>
      <w:proofErr w:type="spellEnd"/>
      <w:r w:rsidRPr="0033439B">
        <w:rPr>
          <w:iCs/>
        </w:rPr>
        <w:t xml:space="preserve"> purged through faith in his </w:t>
      </w:r>
      <w:proofErr w:type="spellStart"/>
      <w:r w:rsidRPr="0033439B">
        <w:rPr>
          <w:iCs/>
        </w:rPr>
        <w:t>bloud</w:t>
      </w:r>
      <w:proofErr w:type="spellEnd"/>
      <w:r w:rsidRPr="0033439B">
        <w:rPr>
          <w:iCs/>
        </w:rPr>
        <w:t>’.</w:t>
      </w:r>
      <w:r w:rsidRPr="0033439B">
        <w:rPr>
          <w:iCs/>
          <w:vertAlign w:val="superscript"/>
        </w:rPr>
        <w:footnoteReference w:id="218"/>
      </w:r>
    </w:p>
    <w:p w14:paraId="00D84801" w14:textId="0096F183" w:rsidR="007858B6" w:rsidRDefault="007858B6" w:rsidP="007858B6">
      <w:pPr>
        <w:spacing w:after="0" w:line="480" w:lineRule="auto"/>
        <w:ind w:firstLine="720"/>
        <w:jc w:val="both"/>
        <w:rPr>
          <w:iCs/>
        </w:rPr>
      </w:pPr>
      <w:r>
        <w:rPr>
          <w:iCs/>
        </w:rPr>
        <w:t xml:space="preserve">Oxford cannon John Wall directly addressed the connection between the door posts and the soul of the believer, championing </w:t>
      </w:r>
      <w:r w:rsidRPr="001F3E58">
        <w:rPr>
          <w:iCs/>
        </w:rPr>
        <w:t xml:space="preserve">the ‘precious blood of that </w:t>
      </w:r>
      <w:proofErr w:type="spellStart"/>
      <w:r w:rsidRPr="001F3E58">
        <w:rPr>
          <w:iCs/>
        </w:rPr>
        <w:t>paschall</w:t>
      </w:r>
      <w:proofErr w:type="spellEnd"/>
      <w:r w:rsidRPr="001F3E58">
        <w:rPr>
          <w:iCs/>
        </w:rPr>
        <w:t xml:space="preserve"> Lambe, sprinkled upon the door posts of our hearts and consciences’</w:t>
      </w:r>
      <w:r>
        <w:rPr>
          <w:iCs/>
        </w:rPr>
        <w:t xml:space="preserve"> as a tool to avoid transgression.</w:t>
      </w:r>
      <w:r w:rsidRPr="00790DCD">
        <w:rPr>
          <w:iCs/>
          <w:vertAlign w:val="superscript"/>
        </w:rPr>
        <w:footnoteReference w:id="219"/>
      </w:r>
      <w:r>
        <w:rPr>
          <w:iCs/>
        </w:rPr>
        <w:t xml:space="preserve"> </w:t>
      </w:r>
      <w:r w:rsidRPr="00AF7559">
        <w:rPr>
          <w:iCs/>
        </w:rPr>
        <w:t>Clergyman John Hinckley extended the metaphor further</w:t>
      </w:r>
      <w:r>
        <w:rPr>
          <w:iCs/>
        </w:rPr>
        <w:t>,</w:t>
      </w:r>
      <w:r w:rsidRPr="00AF7559">
        <w:rPr>
          <w:iCs/>
        </w:rPr>
        <w:t xml:space="preserve"> writing ‘May Holiness to the Lord be written, not only on our Horse Bridles, the Phylacteries of our Garments, but upon the door posts of our hearts, and the </w:t>
      </w:r>
      <w:proofErr w:type="spellStart"/>
      <w:r w:rsidRPr="00AF7559">
        <w:rPr>
          <w:iCs/>
        </w:rPr>
        <w:t>frontispeice</w:t>
      </w:r>
      <w:proofErr w:type="spellEnd"/>
      <w:r w:rsidRPr="00AF7559">
        <w:rPr>
          <w:iCs/>
        </w:rPr>
        <w:t xml:space="preserve"> of all our actions’</w:t>
      </w:r>
      <w:r>
        <w:rPr>
          <w:iCs/>
        </w:rPr>
        <w:t>.</w:t>
      </w:r>
      <w:r>
        <w:rPr>
          <w:rStyle w:val="FootnoteReference"/>
          <w:iCs/>
        </w:rPr>
        <w:footnoteReference w:id="220"/>
      </w:r>
      <w:r w:rsidRPr="00AF7559">
        <w:rPr>
          <w:iCs/>
        </w:rPr>
        <w:t xml:space="preserve"> </w:t>
      </w:r>
      <w:r>
        <w:rPr>
          <w:iCs/>
        </w:rPr>
        <w:t xml:space="preserve">For </w:t>
      </w:r>
      <w:r w:rsidRPr="00AF7559">
        <w:rPr>
          <w:iCs/>
        </w:rPr>
        <w:t>Hinckley</w:t>
      </w:r>
      <w:r>
        <w:rPr>
          <w:iCs/>
        </w:rPr>
        <w:t>, engraved words were fundamental participants in the lives of upright Christians, with a textual, inscribed commitment to God playing an active role in all</w:t>
      </w:r>
      <w:r w:rsidRPr="00AF7559">
        <w:rPr>
          <w:iCs/>
        </w:rPr>
        <w:t xml:space="preserve"> deeds </w:t>
      </w:r>
      <w:r>
        <w:rPr>
          <w:iCs/>
        </w:rPr>
        <w:t>and behaviours, giving te</w:t>
      </w:r>
      <w:r w:rsidRPr="00AF7559">
        <w:rPr>
          <w:iCs/>
        </w:rPr>
        <w:t>stament to the faith with which they were conducted</w:t>
      </w:r>
      <w:r>
        <w:rPr>
          <w:iCs/>
        </w:rPr>
        <w:t xml:space="preserve"> and being repeatedly reaffirmed in the process</w:t>
      </w:r>
      <w:r w:rsidRPr="00AF7559">
        <w:rPr>
          <w:iCs/>
        </w:rPr>
        <w:t>.</w:t>
      </w:r>
      <w:r>
        <w:rPr>
          <w:iCs/>
        </w:rPr>
        <w:t xml:space="preserve"> Across all these texts, marks made upon door posts were positioned as exemplifications of Christian belief, devotion and virtue. Understood as both material and metaphorical places, as both architectural and corporeal, contemporary authors blurred the distinction between the physical door posts of the house and the spiritual </w:t>
      </w:r>
      <w:r>
        <w:rPr>
          <w:iCs/>
        </w:rPr>
        <w:lastRenderedPageBreak/>
        <w:t>door posts they argued were situated within the body</w:t>
      </w:r>
      <w:r w:rsidR="00DA7E53">
        <w:rPr>
          <w:iCs/>
        </w:rPr>
        <w:t>. In so doing,</w:t>
      </w:r>
      <w:r>
        <w:rPr>
          <w:iCs/>
        </w:rPr>
        <w:t xml:space="preserve"> </w:t>
      </w:r>
      <w:r w:rsidR="00DA7E53">
        <w:rPr>
          <w:iCs/>
        </w:rPr>
        <w:t xml:space="preserve">they </w:t>
      </w:r>
      <w:r>
        <w:rPr>
          <w:iCs/>
        </w:rPr>
        <w:t>creat</w:t>
      </w:r>
      <w:r w:rsidR="00DA7E53">
        <w:rPr>
          <w:iCs/>
        </w:rPr>
        <w:t>ed</w:t>
      </w:r>
      <w:r>
        <w:rPr>
          <w:iCs/>
        </w:rPr>
        <w:t xml:space="preserve"> an equivalence between marks and inscriptions made upon them both.</w:t>
      </w:r>
    </w:p>
    <w:p w14:paraId="044EEE5D" w14:textId="41510C3C" w:rsidR="007858B6" w:rsidRDefault="007858B6" w:rsidP="007858B6">
      <w:pPr>
        <w:spacing w:after="0" w:line="480" w:lineRule="auto"/>
        <w:ind w:firstLine="720"/>
        <w:jc w:val="both"/>
        <w:rPr>
          <w:iCs/>
        </w:rPr>
      </w:pPr>
      <w:r>
        <w:rPr>
          <w:iCs/>
        </w:rPr>
        <w:t xml:space="preserve">Equating the body with a house is a recurrent theme in these texts. The relationship between the two was well established in contemporary society, mirrored in writings from throughout early modern Europe. Particularly looking at western Europe, Daniel </w:t>
      </w:r>
      <w:proofErr w:type="spellStart"/>
      <w:r>
        <w:rPr>
          <w:iCs/>
        </w:rPr>
        <w:t>J</w:t>
      </w:r>
      <w:r>
        <w:rPr>
          <w:rFonts w:cs="Calibri"/>
          <w:iCs/>
        </w:rPr>
        <w:t>ü</w:t>
      </w:r>
      <w:r>
        <w:rPr>
          <w:iCs/>
        </w:rPr>
        <w:t>tte</w:t>
      </w:r>
      <w:proofErr w:type="spellEnd"/>
      <w:r>
        <w:rPr>
          <w:iCs/>
        </w:rPr>
        <w:t xml:space="preserve"> has highlighted overlaps in terminology used to describe the body and domestic spaces in several European languages.</w:t>
      </w:r>
      <w:r w:rsidR="007B1EC6">
        <w:rPr>
          <w:rStyle w:val="FootnoteReference"/>
          <w:iCs/>
        </w:rPr>
        <w:footnoteReference w:id="221"/>
      </w:r>
      <w:r>
        <w:rPr>
          <w:iCs/>
        </w:rPr>
        <w:t xml:space="preserve"> Ocular terms were used for windows and window coverings in both German and English; walls and wall coverings were described with terms used for clothing in French and German; and there were long-held associations between the architectural façade and human faces in Italian literature and indeed throughout Europe.</w:t>
      </w:r>
      <w:r>
        <w:rPr>
          <w:rStyle w:val="FootnoteReference"/>
          <w:iCs/>
        </w:rPr>
        <w:footnoteReference w:id="222"/>
      </w:r>
      <w:r>
        <w:rPr>
          <w:iCs/>
        </w:rPr>
        <w:t xml:space="preserve"> French surgeon Pierre Dionis transposed domestic spaces directly on to the human body in describing the kitchen as the </w:t>
      </w:r>
      <w:r>
        <w:rPr>
          <w:i/>
        </w:rPr>
        <w:t>bas-</w:t>
      </w:r>
      <w:proofErr w:type="spellStart"/>
      <w:r>
        <w:rPr>
          <w:i/>
        </w:rPr>
        <w:t>ventre</w:t>
      </w:r>
      <w:proofErr w:type="spellEnd"/>
      <w:r>
        <w:rPr>
          <w:i/>
        </w:rPr>
        <w:softHyphen/>
        <w:t xml:space="preserve">, </w:t>
      </w:r>
      <w:r>
        <w:rPr>
          <w:iCs/>
        </w:rPr>
        <w:t>meaning the lower abdomen or groin, while ‘</w:t>
      </w:r>
      <w:proofErr w:type="spellStart"/>
      <w:r>
        <w:rPr>
          <w:iCs/>
        </w:rPr>
        <w:t>bodystead</w:t>
      </w:r>
      <w:proofErr w:type="spellEnd"/>
      <w:r>
        <w:rPr>
          <w:iCs/>
        </w:rPr>
        <w:t>’ featured prominently in English descriptions</w:t>
      </w:r>
      <w:r w:rsidR="00100856">
        <w:rPr>
          <w:iCs/>
        </w:rPr>
        <w:t xml:space="preserve"> of the same space</w:t>
      </w:r>
      <w:r>
        <w:rPr>
          <w:iCs/>
        </w:rPr>
        <w:t>.</w:t>
      </w:r>
      <w:r>
        <w:rPr>
          <w:rStyle w:val="FootnoteReference"/>
          <w:iCs/>
        </w:rPr>
        <w:footnoteReference w:id="223"/>
      </w:r>
      <w:r>
        <w:rPr>
          <w:iCs/>
        </w:rPr>
        <w:t xml:space="preserve"> </w:t>
      </w:r>
      <w:proofErr w:type="spellStart"/>
      <w:r>
        <w:rPr>
          <w:iCs/>
        </w:rPr>
        <w:t>J</w:t>
      </w:r>
      <w:r>
        <w:rPr>
          <w:rFonts w:cs="Calibri"/>
          <w:iCs/>
        </w:rPr>
        <w:t>ü</w:t>
      </w:r>
      <w:r>
        <w:rPr>
          <w:iCs/>
        </w:rPr>
        <w:t>tte</w:t>
      </w:r>
      <w:proofErr w:type="spellEnd"/>
      <w:r>
        <w:rPr>
          <w:iCs/>
        </w:rPr>
        <w:t xml:space="preserve"> has assembled a range of biblical passages that reflect the same correspondences in religious teachings, including descriptions of the body as an ‘earthly house’ and ‘temple of God’ that the ‘Spirit of God dwelleth in’, and citing Jesus’ promise to believers that they ‘as lively stones, are built up a spiritual house’.</w:t>
      </w:r>
      <w:r>
        <w:rPr>
          <w:rStyle w:val="FootnoteReference"/>
          <w:iCs/>
        </w:rPr>
        <w:footnoteReference w:id="224"/>
      </w:r>
      <w:r>
        <w:rPr>
          <w:iCs/>
        </w:rPr>
        <w:t xml:space="preserve"> </w:t>
      </w:r>
    </w:p>
    <w:p w14:paraId="631B0867" w14:textId="2A447D04" w:rsidR="007858B6" w:rsidRDefault="007858B6" w:rsidP="007858B6">
      <w:pPr>
        <w:spacing w:after="0" w:line="480" w:lineRule="auto"/>
        <w:ind w:firstLine="720"/>
        <w:jc w:val="both"/>
        <w:rPr>
          <w:iCs/>
        </w:rPr>
      </w:pPr>
      <w:r>
        <w:rPr>
          <w:iCs/>
        </w:rPr>
        <w:lastRenderedPageBreak/>
        <w:t>Both the human body and heart were configured by early modern English scholars as interior spaces furnished with door posts, compared directly with houses. As the body housed the human soul, and the heart was understood as the seat of the soul in particular, it is understandable that writers discussed the permeability of the boundary between the inner self and outer world using these same terms.</w:t>
      </w:r>
      <w:r>
        <w:rPr>
          <w:rStyle w:val="FootnoteReference"/>
          <w:iCs/>
        </w:rPr>
        <w:footnoteReference w:id="225"/>
      </w:r>
      <w:r>
        <w:rPr>
          <w:iCs/>
        </w:rPr>
        <w:t xml:space="preserve"> Given the continual emphasis placed on the metaphorical-cum-material threshold of the body by these scholars, and the central concern of this thesis with threshold inscriptions upon houses in </w:t>
      </w:r>
      <w:r w:rsidR="002438F7">
        <w:rPr>
          <w:iCs/>
        </w:rPr>
        <w:t>Bolton-le-Sands</w:t>
      </w:r>
      <w:r>
        <w:rPr>
          <w:iCs/>
        </w:rPr>
        <w:t xml:space="preserve"> and Prestbury parishes, it is helpful to examine wider understandings of the domestic threshold itself and its correspondence with ideas about the body and engraved text. T</w:t>
      </w:r>
      <w:r w:rsidRPr="000E7461">
        <w:rPr>
          <w:iCs/>
        </w:rPr>
        <w:t>he threshold was a key site in early modern England with an array of complex significations</w:t>
      </w:r>
      <w:r>
        <w:rPr>
          <w:iCs/>
        </w:rPr>
        <w:t xml:space="preserve"> and associated with a wide range of ritualised practices. </w:t>
      </w:r>
      <w:r w:rsidRPr="00187302">
        <w:rPr>
          <w:iCs/>
        </w:rPr>
        <w:t xml:space="preserve">Writing in 1908, anthropologist and ethnographer Arnold van </w:t>
      </w:r>
      <w:proofErr w:type="spellStart"/>
      <w:r w:rsidRPr="00187302">
        <w:rPr>
          <w:iCs/>
        </w:rPr>
        <w:t>Gennep</w:t>
      </w:r>
      <w:proofErr w:type="spellEnd"/>
      <w:r w:rsidRPr="00187302">
        <w:rPr>
          <w:iCs/>
        </w:rPr>
        <w:t xml:space="preserve"> emphasised the centrality of conceptual threshold-crossing in many rituals.</w:t>
      </w:r>
      <w:r w:rsidRPr="00187302">
        <w:rPr>
          <w:iCs/>
          <w:vertAlign w:val="superscript"/>
        </w:rPr>
        <w:footnoteReference w:id="226"/>
      </w:r>
      <w:r w:rsidRPr="00187302">
        <w:rPr>
          <w:iCs/>
        </w:rPr>
        <w:t xml:space="preserve"> In his theorisation of society as a house with rooms and corridors, each threshold – and its associated ritual – marked the commencement of a new status.</w:t>
      </w:r>
      <w:r w:rsidRPr="00187302">
        <w:rPr>
          <w:iCs/>
          <w:vertAlign w:val="superscript"/>
        </w:rPr>
        <w:footnoteReference w:id="227"/>
      </w:r>
      <w:r w:rsidRPr="00187302">
        <w:rPr>
          <w:iCs/>
        </w:rPr>
        <w:t xml:space="preserve"> Working with the Latin term for threshold, ‘limen’, van </w:t>
      </w:r>
      <w:proofErr w:type="spellStart"/>
      <w:r w:rsidRPr="00187302">
        <w:rPr>
          <w:iCs/>
        </w:rPr>
        <w:t>Gennep</w:t>
      </w:r>
      <w:proofErr w:type="spellEnd"/>
      <w:r w:rsidRPr="00187302">
        <w:rPr>
          <w:iCs/>
        </w:rPr>
        <w:t xml:space="preserve"> defined such ‘rites of passage’ according to three distinct sub-sections: preliminary, associated with separating the individual from their previous state; liminary, suspending the individual between their former and future states; and postliminary, incorporating the individual into their new state.</w:t>
      </w:r>
      <w:r w:rsidRPr="00187302">
        <w:rPr>
          <w:iCs/>
          <w:vertAlign w:val="superscript"/>
        </w:rPr>
        <w:footnoteReference w:id="228"/>
      </w:r>
    </w:p>
    <w:p w14:paraId="1F1E399C" w14:textId="09567EE5" w:rsidR="007858B6" w:rsidRPr="00DB6611" w:rsidRDefault="007858B6" w:rsidP="007858B6">
      <w:pPr>
        <w:spacing w:after="0" w:line="480" w:lineRule="auto"/>
        <w:ind w:firstLine="720"/>
        <w:jc w:val="both"/>
        <w:rPr>
          <w:iCs/>
        </w:rPr>
      </w:pPr>
      <w:r w:rsidRPr="00DB6611">
        <w:rPr>
          <w:iCs/>
        </w:rPr>
        <w:t xml:space="preserve">Edward Muir has demonstrated how van </w:t>
      </w:r>
      <w:proofErr w:type="spellStart"/>
      <w:r w:rsidRPr="00DB6611">
        <w:rPr>
          <w:iCs/>
        </w:rPr>
        <w:t>Gennep’s</w:t>
      </w:r>
      <w:proofErr w:type="spellEnd"/>
      <w:r w:rsidRPr="00DB6611">
        <w:rPr>
          <w:iCs/>
        </w:rPr>
        <w:t xml:space="preserve"> model of threshold-crossing played out in various ways in early modern ritual. Baptism, for example, often involved purging the child of sin at the church door (preliminary), taking the child from its parents and </w:t>
      </w:r>
      <w:r w:rsidRPr="00DB6611">
        <w:rPr>
          <w:iCs/>
        </w:rPr>
        <w:lastRenderedPageBreak/>
        <w:t>sprinkling it with water (liminary), and finally passing the child into the arms of its new god-parents (postliminary), representing its admission into the Christian</w:t>
      </w:r>
      <w:r w:rsidR="00BA2E16">
        <w:rPr>
          <w:iCs/>
        </w:rPr>
        <w:t xml:space="preserve"> </w:t>
      </w:r>
      <w:r w:rsidR="00BA2E16" w:rsidRPr="00BA2E16">
        <w:rPr>
          <w:iCs/>
        </w:rPr>
        <w:t>community</w:t>
      </w:r>
      <w:r w:rsidRPr="00DB6611">
        <w:rPr>
          <w:iCs/>
        </w:rPr>
        <w:t>.</w:t>
      </w:r>
      <w:r w:rsidRPr="00DB6611">
        <w:rPr>
          <w:iCs/>
          <w:vertAlign w:val="superscript"/>
        </w:rPr>
        <w:footnoteReference w:id="229"/>
      </w:r>
      <w:r w:rsidRPr="00DB6611">
        <w:rPr>
          <w:iCs/>
        </w:rPr>
        <w:t xml:space="preserve"> In early modern marriage rituals, the threshold was just as prevalent. David Cressy has demonstrated how prior to being declared a sacrament in the sixteenth century, English marriage ceremonies mostly took place at the church porch. Only once the couple had been blessed by the priest and had exchanged rings and vows would the wedding party move inside.</w:t>
      </w:r>
      <w:r w:rsidRPr="00DB6611">
        <w:rPr>
          <w:iCs/>
          <w:vertAlign w:val="superscript"/>
        </w:rPr>
        <w:footnoteReference w:id="230"/>
      </w:r>
      <w:r w:rsidRPr="00DB6611">
        <w:rPr>
          <w:iCs/>
        </w:rPr>
        <w:t xml:space="preserve"> Niall Allsopp has also emphasised how even after marriages began to take place within the church, threshold rituals at the entrance to the couple’s home continued to play an important role in wedding celebrations.</w:t>
      </w:r>
      <w:r w:rsidRPr="00DB6611">
        <w:rPr>
          <w:iCs/>
          <w:vertAlign w:val="superscript"/>
        </w:rPr>
        <w:footnoteReference w:id="231"/>
      </w:r>
      <w:r w:rsidRPr="00DB6611">
        <w:rPr>
          <w:iCs/>
        </w:rPr>
        <w:t xml:space="preserve"> In early modern Wales, couples</w:t>
      </w:r>
      <w:r>
        <w:rPr>
          <w:iCs/>
        </w:rPr>
        <w:t xml:space="preserve"> reputedly</w:t>
      </w:r>
      <w:r w:rsidRPr="00DB6611">
        <w:rPr>
          <w:iCs/>
        </w:rPr>
        <w:t xml:space="preserve"> marked their marriage by jumping over a broom lain at a slant across the main doorway to the house</w:t>
      </w:r>
      <w:r>
        <w:rPr>
          <w:iCs/>
        </w:rPr>
        <w:t>, while</w:t>
      </w:r>
      <w:r w:rsidRPr="00DB6611">
        <w:rPr>
          <w:iCs/>
        </w:rPr>
        <w:t xml:space="preserve"> the practice of carrying a bride across the threshold lives on in many western cultures today.</w:t>
      </w:r>
      <w:r w:rsidRPr="00DB6611">
        <w:rPr>
          <w:iCs/>
          <w:vertAlign w:val="superscript"/>
        </w:rPr>
        <w:footnoteReference w:id="232"/>
      </w:r>
      <w:r w:rsidRPr="00DB6611">
        <w:rPr>
          <w:iCs/>
        </w:rPr>
        <w:t xml:space="preserve"> This practice was mentioned in Ben Jonson’s nuptial masque </w:t>
      </w:r>
      <w:proofErr w:type="spellStart"/>
      <w:r w:rsidRPr="00DB6611">
        <w:rPr>
          <w:i/>
          <w:iCs/>
        </w:rPr>
        <w:t>Hyemniae</w:t>
      </w:r>
      <w:proofErr w:type="spellEnd"/>
      <w:r w:rsidRPr="00DB6611">
        <w:rPr>
          <w:i/>
          <w:iCs/>
        </w:rPr>
        <w:t xml:space="preserve">, </w:t>
      </w:r>
      <w:r w:rsidRPr="00DB6611">
        <w:rPr>
          <w:iCs/>
        </w:rPr>
        <w:t xml:space="preserve">written for the Earl of Essex’s wedding in 1606, where a marginal note described it as a Roman superstition: ‘This was also another Rite; that she might not touch the Threshold as she entered, but was lifted over it. </w:t>
      </w:r>
      <w:proofErr w:type="spellStart"/>
      <w:r w:rsidRPr="00DB6611">
        <w:rPr>
          <w:iCs/>
        </w:rPr>
        <w:t>Servus</w:t>
      </w:r>
      <w:proofErr w:type="spellEnd"/>
      <w:r w:rsidRPr="00DB6611">
        <w:rPr>
          <w:iCs/>
        </w:rPr>
        <w:t xml:space="preserve"> saith, because it was sacred to Vesta</w:t>
      </w:r>
      <w:r>
        <w:rPr>
          <w:iCs/>
        </w:rPr>
        <w:t>’</w:t>
      </w:r>
      <w:r w:rsidRPr="00DB6611">
        <w:rPr>
          <w:iCs/>
        </w:rPr>
        <w:t>.</w:t>
      </w:r>
      <w:r w:rsidRPr="00DB6611">
        <w:rPr>
          <w:iCs/>
          <w:vertAlign w:val="superscript"/>
        </w:rPr>
        <w:footnoteReference w:id="233"/>
      </w:r>
    </w:p>
    <w:p w14:paraId="6594D642" w14:textId="38B3BF9A" w:rsidR="007858B6" w:rsidRDefault="007858B6" w:rsidP="007858B6">
      <w:pPr>
        <w:spacing w:after="0" w:line="480" w:lineRule="auto"/>
        <w:ind w:firstLine="720"/>
        <w:jc w:val="both"/>
        <w:rPr>
          <w:iCs/>
        </w:rPr>
      </w:pPr>
      <w:r>
        <w:rPr>
          <w:iCs/>
        </w:rPr>
        <w:t xml:space="preserve">It is notable that pre-Christian associations with the threshold persisted within Christian societies. These associations fed into the rationale of placing inscriptions upon domestic doorways and van </w:t>
      </w:r>
      <w:proofErr w:type="spellStart"/>
      <w:r>
        <w:rPr>
          <w:iCs/>
        </w:rPr>
        <w:t>Gennep’s</w:t>
      </w:r>
      <w:proofErr w:type="spellEnd"/>
      <w:r>
        <w:rPr>
          <w:iCs/>
        </w:rPr>
        <w:t xml:space="preserve"> concepts of threshold-crossing appear in these contexts. Writing in 1683, Nonconformist minister Matthew Poole prefaced his advice to </w:t>
      </w:r>
      <w:r>
        <w:rPr>
          <w:iCs/>
        </w:rPr>
        <w:lastRenderedPageBreak/>
        <w:t xml:space="preserve">inscribe the threshold of the home with God’s law by stating that, previously, </w:t>
      </w:r>
      <w:r w:rsidRPr="000D4DB4">
        <w:rPr>
          <w:iCs/>
        </w:rPr>
        <w:t>the ‘Heathens</w:t>
      </w:r>
      <w:r>
        <w:rPr>
          <w:iCs/>
        </w:rPr>
        <w:t>’ had ‘</w:t>
      </w:r>
      <w:r w:rsidRPr="000D4DB4">
        <w:rPr>
          <w:iCs/>
        </w:rPr>
        <w:t>placed their tutelary gods’ behind their doorposts so that ‘they might have their Eyes and Minds upon them, whensoever they went out or came in’.</w:t>
      </w:r>
      <w:r w:rsidRPr="000D4DB4">
        <w:rPr>
          <w:iCs/>
          <w:vertAlign w:val="superscript"/>
        </w:rPr>
        <w:footnoteReference w:id="234"/>
      </w:r>
      <w:r>
        <w:rPr>
          <w:iCs/>
        </w:rPr>
        <w:t xml:space="preserve"> Positioned upon the boundary to the home, Poole emphasised that the power of these idols (and of the Christian God’s Word) lay in accompanying the believer as they moved between states, carried with the body into both the public and private realms. Anxieties over the division between these spaces reinforce that inscriptions suggested by religious authors were intended as a means of creating unity between the inner and outer self. </w:t>
      </w:r>
      <w:r w:rsidR="00110FD1">
        <w:rPr>
          <w:iCs/>
        </w:rPr>
        <w:t>In 1618, Presby</w:t>
      </w:r>
      <w:r w:rsidR="002F061A">
        <w:rPr>
          <w:iCs/>
        </w:rPr>
        <w:t xml:space="preserve">terian cleric John Paget published a criticism of a </w:t>
      </w:r>
      <w:r>
        <w:rPr>
          <w:iCs/>
        </w:rPr>
        <w:t>dissenting sect</w:t>
      </w:r>
      <w:r w:rsidR="002F061A">
        <w:rPr>
          <w:iCs/>
        </w:rPr>
        <w:t>,</w:t>
      </w:r>
      <w:r>
        <w:rPr>
          <w:iCs/>
        </w:rPr>
        <w:t xml:space="preserve"> the </w:t>
      </w:r>
      <w:proofErr w:type="spellStart"/>
      <w:r>
        <w:rPr>
          <w:iCs/>
        </w:rPr>
        <w:t>Brownists</w:t>
      </w:r>
      <w:proofErr w:type="spellEnd"/>
      <w:r w:rsidR="002F061A">
        <w:rPr>
          <w:iCs/>
        </w:rPr>
        <w:t>.</w:t>
      </w:r>
      <w:r>
        <w:rPr>
          <w:iCs/>
        </w:rPr>
        <w:t xml:space="preserve"> Paget likened the group to an inscribed home, using a metaphor of disunity between threshold inscriptions and the reality of its inhabitants among his criticisms. He stated</w:t>
      </w:r>
    </w:p>
    <w:p w14:paraId="19EC91D9" w14:textId="77777777" w:rsidR="007858B6" w:rsidRDefault="007858B6" w:rsidP="007858B6">
      <w:pPr>
        <w:spacing w:after="0" w:line="480" w:lineRule="auto"/>
        <w:ind w:left="720" w:right="720"/>
        <w:jc w:val="both"/>
        <w:rPr>
          <w:iCs/>
        </w:rPr>
      </w:pPr>
      <w:r w:rsidRPr="00AC25D5">
        <w:rPr>
          <w:iCs/>
        </w:rPr>
        <w:t xml:space="preserve">‘Truth seems to be as it were </w:t>
      </w:r>
      <w:proofErr w:type="spellStart"/>
      <w:r w:rsidRPr="00AC25D5">
        <w:rPr>
          <w:iCs/>
        </w:rPr>
        <w:t>engraven</w:t>
      </w:r>
      <w:proofErr w:type="spellEnd"/>
      <w:r w:rsidRPr="00AC25D5">
        <w:rPr>
          <w:iCs/>
        </w:rPr>
        <w:t xml:space="preserve"> upon the lintel or upper-door-poste of your house, so that unto those which passe by your porch, or draw </w:t>
      </w:r>
      <w:proofErr w:type="spellStart"/>
      <w:r w:rsidRPr="00AC25D5">
        <w:rPr>
          <w:iCs/>
        </w:rPr>
        <w:t>neere</w:t>
      </w:r>
      <w:proofErr w:type="spellEnd"/>
      <w:r w:rsidRPr="00AC25D5">
        <w:rPr>
          <w:iCs/>
        </w:rPr>
        <w:t xml:space="preserve"> to enter in, your building at the first sight seems to be the House of truth; but unto them that enter further to view what </w:t>
      </w:r>
      <w:proofErr w:type="spellStart"/>
      <w:r w:rsidRPr="00AC25D5">
        <w:rPr>
          <w:iCs/>
        </w:rPr>
        <w:t>deceitfull</w:t>
      </w:r>
      <w:proofErr w:type="spellEnd"/>
      <w:r w:rsidRPr="00AC25D5">
        <w:rPr>
          <w:iCs/>
        </w:rPr>
        <w:t xml:space="preserve"> work is in it, your building may then quickly be discerned to be the House of falsehood and </w:t>
      </w:r>
      <w:proofErr w:type="spellStart"/>
      <w:r w:rsidRPr="00AC25D5">
        <w:rPr>
          <w:iCs/>
        </w:rPr>
        <w:t>forgerie</w:t>
      </w:r>
      <w:proofErr w:type="spellEnd"/>
      <w:r w:rsidRPr="00AC25D5">
        <w:rPr>
          <w:iCs/>
        </w:rPr>
        <w:t>’.</w:t>
      </w:r>
      <w:r w:rsidRPr="00AC25D5">
        <w:rPr>
          <w:iCs/>
          <w:vertAlign w:val="superscript"/>
        </w:rPr>
        <w:footnoteReference w:id="235"/>
      </w:r>
    </w:p>
    <w:p w14:paraId="23A3EC94" w14:textId="77777777" w:rsidR="007858B6" w:rsidRDefault="007858B6" w:rsidP="007858B6">
      <w:pPr>
        <w:spacing w:after="0" w:line="480" w:lineRule="auto"/>
        <w:ind w:firstLine="720"/>
        <w:jc w:val="both"/>
        <w:rPr>
          <w:iCs/>
        </w:rPr>
      </w:pPr>
      <w:r w:rsidRPr="00814427">
        <w:rPr>
          <w:iCs/>
        </w:rPr>
        <w:t>Miriam Eliav-Feldon has</w:t>
      </w:r>
      <w:r>
        <w:rPr>
          <w:iCs/>
        </w:rPr>
        <w:t xml:space="preserve"> described how the</w:t>
      </w:r>
      <w:r w:rsidRPr="00814427">
        <w:rPr>
          <w:iCs/>
        </w:rPr>
        <w:t xml:space="preserve"> ‘early modern obsession with false identities’</w:t>
      </w:r>
      <w:r>
        <w:rPr>
          <w:iCs/>
        </w:rPr>
        <w:t xml:space="preserve"> was widespread throughout Europe</w:t>
      </w:r>
      <w:r w:rsidRPr="00814427">
        <w:rPr>
          <w:iCs/>
        </w:rPr>
        <w:t>.</w:t>
      </w:r>
      <w:r>
        <w:rPr>
          <w:rStyle w:val="FootnoteReference"/>
          <w:iCs/>
        </w:rPr>
        <w:footnoteReference w:id="236"/>
      </w:r>
      <w:r w:rsidRPr="00814427">
        <w:rPr>
          <w:iCs/>
        </w:rPr>
        <w:t xml:space="preserve"> Contemporaries were intensely fearful of deceitful individuals falsifying anything from their religious affiliations to their position in the social order.</w:t>
      </w:r>
      <w:r w:rsidRPr="00814427">
        <w:rPr>
          <w:iCs/>
          <w:vertAlign w:val="superscript"/>
        </w:rPr>
        <w:footnoteReference w:id="237"/>
      </w:r>
      <w:r w:rsidRPr="00814427">
        <w:rPr>
          <w:iCs/>
        </w:rPr>
        <w:t xml:space="preserve"> This manifested in an</w:t>
      </w:r>
      <w:r>
        <w:rPr>
          <w:iCs/>
        </w:rPr>
        <w:t>guish</w:t>
      </w:r>
      <w:r w:rsidRPr="00814427">
        <w:rPr>
          <w:iCs/>
        </w:rPr>
        <w:t xml:space="preserve"> over people’s words </w:t>
      </w:r>
      <w:r>
        <w:rPr>
          <w:iCs/>
        </w:rPr>
        <w:t>and</w:t>
      </w:r>
      <w:r w:rsidRPr="00814427">
        <w:rPr>
          <w:iCs/>
        </w:rPr>
        <w:t xml:space="preserve"> appearances, and as a </w:t>
      </w:r>
      <w:r w:rsidRPr="00814427">
        <w:rPr>
          <w:iCs/>
        </w:rPr>
        <w:lastRenderedPageBreak/>
        <w:t xml:space="preserve">coalescence of both words </w:t>
      </w:r>
      <w:r w:rsidRPr="00814427">
        <w:rPr>
          <w:i/>
          <w:iCs/>
        </w:rPr>
        <w:t xml:space="preserve">and </w:t>
      </w:r>
      <w:r w:rsidRPr="00814427">
        <w:rPr>
          <w:iCs/>
        </w:rPr>
        <w:t>appearances</w:t>
      </w:r>
      <w:r>
        <w:rPr>
          <w:iCs/>
        </w:rPr>
        <w:t xml:space="preserve">, </w:t>
      </w:r>
      <w:r w:rsidRPr="00814427">
        <w:rPr>
          <w:iCs/>
        </w:rPr>
        <w:t>inscribed buildings make understandable metaphorical representations of these fears</w:t>
      </w:r>
      <w:r w:rsidR="004E2A26">
        <w:rPr>
          <w:iCs/>
        </w:rPr>
        <w:t>,</w:t>
      </w:r>
      <w:r>
        <w:rPr>
          <w:iCs/>
        </w:rPr>
        <w:t xml:space="preserve"> simultaneously playing into </w:t>
      </w:r>
      <w:r w:rsidRPr="00CB257C">
        <w:rPr>
          <w:iCs/>
        </w:rPr>
        <w:t>widespread equivalences between bodies and houses</w:t>
      </w:r>
      <w:r w:rsidRPr="00814427">
        <w:rPr>
          <w:iCs/>
        </w:rPr>
        <w:t>.</w:t>
      </w:r>
      <w:r>
        <w:rPr>
          <w:iCs/>
        </w:rPr>
        <w:t xml:space="preserve"> In </w:t>
      </w:r>
      <w:r>
        <w:rPr>
          <w:i/>
        </w:rPr>
        <w:t xml:space="preserve">The riches of grace </w:t>
      </w:r>
      <w:r>
        <w:rPr>
          <w:iCs/>
        </w:rPr>
        <w:t xml:space="preserve">(1641) clergyman William Fenner brought these many overlapping significations together, critiquing the false faith of many Christians who, he argued, </w:t>
      </w:r>
    </w:p>
    <w:p w14:paraId="62B7ACD3" w14:textId="77777777" w:rsidR="007858B6" w:rsidRDefault="007858B6" w:rsidP="007858B6">
      <w:pPr>
        <w:spacing w:after="0" w:line="480" w:lineRule="auto"/>
        <w:ind w:left="720"/>
        <w:jc w:val="both"/>
        <w:rPr>
          <w:iCs/>
        </w:rPr>
      </w:pPr>
      <w:r>
        <w:rPr>
          <w:iCs/>
        </w:rPr>
        <w:t>‘</w:t>
      </w:r>
      <w:proofErr w:type="gramStart"/>
      <w:r w:rsidRPr="0026739C">
        <w:rPr>
          <w:iCs/>
        </w:rPr>
        <w:t>are</w:t>
      </w:r>
      <w:proofErr w:type="gramEnd"/>
      <w:r w:rsidRPr="0026739C">
        <w:rPr>
          <w:iCs/>
        </w:rPr>
        <w:t xml:space="preserve"> like </w:t>
      </w:r>
      <w:proofErr w:type="gramStart"/>
      <w:r w:rsidRPr="0026739C">
        <w:rPr>
          <w:iCs/>
        </w:rPr>
        <w:t>ale-houses</w:t>
      </w:r>
      <w:proofErr w:type="gramEnd"/>
      <w:r w:rsidRPr="0026739C">
        <w:rPr>
          <w:iCs/>
        </w:rPr>
        <w:t xml:space="preserve"> with faire inscriptions </w:t>
      </w:r>
      <w:proofErr w:type="spellStart"/>
      <w:r w:rsidRPr="0026739C">
        <w:rPr>
          <w:iCs/>
        </w:rPr>
        <w:t>engraven</w:t>
      </w:r>
      <w:proofErr w:type="spellEnd"/>
      <w:r w:rsidRPr="0026739C">
        <w:rPr>
          <w:iCs/>
        </w:rPr>
        <w:t xml:space="preserve"> at the entry or walls of the house, as love God, </w:t>
      </w:r>
      <w:proofErr w:type="spellStart"/>
      <w:r w:rsidRPr="0026739C">
        <w:rPr>
          <w:iCs/>
        </w:rPr>
        <w:t>feare</w:t>
      </w:r>
      <w:proofErr w:type="spellEnd"/>
      <w:r w:rsidRPr="0026739C">
        <w:rPr>
          <w:iCs/>
        </w:rPr>
        <w:t xml:space="preserve"> God, honour the King, pray continually, be </w:t>
      </w:r>
      <w:proofErr w:type="spellStart"/>
      <w:r w:rsidRPr="0026739C">
        <w:rPr>
          <w:iCs/>
        </w:rPr>
        <w:t>watchfull</w:t>
      </w:r>
      <w:proofErr w:type="spellEnd"/>
      <w:r w:rsidRPr="0026739C">
        <w:rPr>
          <w:iCs/>
        </w:rPr>
        <w:t xml:space="preserve">, and the like; yet there is nothing but </w:t>
      </w:r>
      <w:proofErr w:type="spellStart"/>
      <w:r w:rsidRPr="0026739C">
        <w:rPr>
          <w:iCs/>
        </w:rPr>
        <w:t>drunkennesse</w:t>
      </w:r>
      <w:proofErr w:type="spellEnd"/>
      <w:r w:rsidRPr="0026739C">
        <w:rPr>
          <w:iCs/>
        </w:rPr>
        <w:t xml:space="preserve">, and cursing, swearing, and all hellish </w:t>
      </w:r>
      <w:proofErr w:type="spellStart"/>
      <w:r w:rsidRPr="0026739C">
        <w:rPr>
          <w:iCs/>
        </w:rPr>
        <w:t>ungodlinesse</w:t>
      </w:r>
      <w:proofErr w:type="spellEnd"/>
      <w:r w:rsidRPr="0026739C">
        <w:rPr>
          <w:iCs/>
        </w:rPr>
        <w:t xml:space="preserve"> within’.</w:t>
      </w:r>
      <w:r w:rsidRPr="0026739C">
        <w:rPr>
          <w:iCs/>
          <w:vertAlign w:val="superscript"/>
        </w:rPr>
        <w:footnoteReference w:id="238"/>
      </w:r>
    </w:p>
    <w:p w14:paraId="3B6E0A4C" w14:textId="77777777" w:rsidR="007858B6" w:rsidRDefault="007858B6" w:rsidP="007858B6">
      <w:pPr>
        <w:spacing w:after="0" w:line="480" w:lineRule="auto"/>
        <w:jc w:val="both"/>
        <w:rPr>
          <w:iCs/>
        </w:rPr>
      </w:pPr>
      <w:r>
        <w:rPr>
          <w:iCs/>
        </w:rPr>
        <w:t xml:space="preserve">For Fenner as for Paget, external inscriptions (and thereby professions of faith) could be misleading. They spoke of one thing while their inscribers did another, striking at the heart of early modern concerns with deception and hypocrisy. </w:t>
      </w:r>
    </w:p>
    <w:p w14:paraId="078DD1D1" w14:textId="3426CEF8" w:rsidR="007858B6" w:rsidRDefault="007858B6" w:rsidP="007858B6">
      <w:pPr>
        <w:spacing w:after="0" w:line="480" w:lineRule="auto"/>
        <w:jc w:val="both"/>
        <w:rPr>
          <w:iCs/>
        </w:rPr>
      </w:pPr>
      <w:r>
        <w:rPr>
          <w:iCs/>
        </w:rPr>
        <w:tab/>
        <w:t xml:space="preserve">Inscriptions were </w:t>
      </w:r>
      <w:r w:rsidRPr="00CD27B1">
        <w:rPr>
          <w:iCs/>
        </w:rPr>
        <w:t>widespread in religious writings produced in early modern England. They appeared within a similar framework to that used by authors describing romantic love, with inscriptions upon the body</w:t>
      </w:r>
      <w:r w:rsidR="0013298E">
        <w:rPr>
          <w:iCs/>
        </w:rPr>
        <w:t xml:space="preserve">, including </w:t>
      </w:r>
      <w:r w:rsidRPr="00CD27B1">
        <w:rPr>
          <w:iCs/>
        </w:rPr>
        <w:t>within the heart</w:t>
      </w:r>
      <w:r w:rsidR="0013298E">
        <w:rPr>
          <w:iCs/>
        </w:rPr>
        <w:t>, mind and soul,</w:t>
      </w:r>
      <w:r w:rsidRPr="00CD27B1">
        <w:rPr>
          <w:iCs/>
        </w:rPr>
        <w:t xml:space="preserve"> used to communicate </w:t>
      </w:r>
      <w:r>
        <w:rPr>
          <w:iCs/>
        </w:rPr>
        <w:t xml:space="preserve">constancy, fidelity and piety. Inscriptions at the threshold of the house were cast by religious writers as a devotional act, providing a constant reminder of God’s Word and framed as an aide in inscribing Christian teachings within the body, bolstering personal experiences of faith and connections to God. Wherever threshold inscriptions were used, whether metaphorically or otherwise, a shared understanding of a culture of domestic doorways engraved with text is apparent. Even where authors acknowledged how misleading architectural inscriptions could be – pronouncing beliefs </w:t>
      </w:r>
      <w:proofErr w:type="gramStart"/>
      <w:r>
        <w:rPr>
          <w:iCs/>
        </w:rPr>
        <w:t>not adhered</w:t>
      </w:r>
      <w:proofErr w:type="gramEnd"/>
      <w:r>
        <w:rPr>
          <w:iCs/>
        </w:rPr>
        <w:t xml:space="preserve"> to by those inscribing </w:t>
      </w:r>
      <w:r>
        <w:rPr>
          <w:iCs/>
        </w:rPr>
        <w:lastRenderedPageBreak/>
        <w:t>their homes – writers reinforced that the intended purpose of textual engravings lay in supporting and deepening faith. In the minds of early modern people, the body and home were intimately connected.</w:t>
      </w:r>
      <w:r w:rsidRPr="000F2430">
        <w:rPr>
          <w:iCs/>
        </w:rPr>
        <w:t xml:space="preserve"> </w:t>
      </w:r>
      <w:r>
        <w:rPr>
          <w:iCs/>
        </w:rPr>
        <w:t>In treating the two in parallel, writers advanced the body as a textual surface, influenced by its environment. In this context, inscribed thresholds – though open to abuse – were a means of creating unity across the internal and external world both of buildings themselves and the bodies that inhabited them.</w:t>
      </w:r>
    </w:p>
    <w:p w14:paraId="66B6E7FC" w14:textId="77777777" w:rsidR="005E0B52" w:rsidRDefault="005E0B52" w:rsidP="005E0B52">
      <w:pPr>
        <w:spacing w:after="0" w:line="480" w:lineRule="auto"/>
        <w:ind w:left="720"/>
        <w:jc w:val="both"/>
      </w:pPr>
    </w:p>
    <w:p w14:paraId="11EE9D12" w14:textId="76DE95A7" w:rsidR="00D719E9" w:rsidRDefault="004C65F9" w:rsidP="00D719E9">
      <w:pPr>
        <w:spacing w:after="0" w:line="480" w:lineRule="auto"/>
        <w:jc w:val="both"/>
        <w:rPr>
          <w:b/>
          <w:bCs/>
        </w:rPr>
      </w:pPr>
      <w:r>
        <w:rPr>
          <w:b/>
          <w:bCs/>
        </w:rPr>
        <w:t>Monuments and Memory Cultures: Inscribed Spaces in Early Modern England</w:t>
      </w:r>
    </w:p>
    <w:p w14:paraId="0A0C6BF2" w14:textId="79809FDD" w:rsidR="000B3D5D" w:rsidRDefault="007E7D54" w:rsidP="000E6DE5">
      <w:pPr>
        <w:spacing w:after="0" w:line="480" w:lineRule="auto"/>
        <w:ind w:firstLine="720"/>
        <w:jc w:val="both"/>
      </w:pPr>
      <w:r w:rsidRPr="007E7D54">
        <w:t xml:space="preserve">Building on </w:t>
      </w:r>
      <w:r w:rsidR="00980B70">
        <w:t xml:space="preserve">previous </w:t>
      </w:r>
      <w:r w:rsidRPr="007E7D54">
        <w:t>discussions of the talismanic power of text and the role of inscriptions in placing a spiritual love for God within the body, the following section examines memoriali</w:t>
      </w:r>
      <w:r w:rsidR="00980B70">
        <w:t>s</w:t>
      </w:r>
      <w:r w:rsidRPr="007E7D54">
        <w:t xml:space="preserve">ation through inscription in early modern England. Moving from </w:t>
      </w:r>
      <w:r w:rsidR="00103158">
        <w:t xml:space="preserve">earlier investigations of the </w:t>
      </w:r>
      <w:r w:rsidRPr="007E7D54">
        <w:t xml:space="preserve">metaphorical uses of inscription in texts authored by clergymen, </w:t>
      </w:r>
      <w:r w:rsidR="008F6B51">
        <w:t>th</w:t>
      </w:r>
      <w:r w:rsidR="00614F72">
        <w:t>is section</w:t>
      </w:r>
      <w:r w:rsidRPr="007E7D54">
        <w:t xml:space="preserve"> examines pe</w:t>
      </w:r>
      <w:r w:rsidR="0078055F">
        <w:t>rceptions</w:t>
      </w:r>
      <w:r w:rsidRPr="007E7D54">
        <w:t xml:space="preserve"> o</w:t>
      </w:r>
      <w:r w:rsidR="0078055F">
        <w:t>f</w:t>
      </w:r>
      <w:r w:rsidRPr="007E7D54">
        <w:t xml:space="preserve"> inscriptions </w:t>
      </w:r>
      <w:r w:rsidR="008F6B51">
        <w:t xml:space="preserve">upon </w:t>
      </w:r>
      <w:r w:rsidR="00471814">
        <w:t xml:space="preserve">the early modern </w:t>
      </w:r>
      <w:r w:rsidRPr="007E7D54">
        <w:t>built environment.</w:t>
      </w:r>
      <w:r w:rsidR="008271BB" w:rsidRPr="008271BB">
        <w:t xml:space="preserve"> T</w:t>
      </w:r>
      <w:r w:rsidR="00E23F4E">
        <w:t>he</w:t>
      </w:r>
      <w:r w:rsidR="008271BB" w:rsidRPr="008271BB">
        <w:t xml:space="preserve"> proliferation of </w:t>
      </w:r>
      <w:r w:rsidR="00115892">
        <w:t>carved</w:t>
      </w:r>
      <w:r w:rsidR="008271BB" w:rsidRPr="008271BB">
        <w:t xml:space="preserve"> text in English churches in the wake of the Reformation</w:t>
      </w:r>
      <w:r w:rsidR="00E23F4E">
        <w:t xml:space="preserve"> is considered</w:t>
      </w:r>
      <w:r w:rsidR="008271BB" w:rsidRPr="008271BB">
        <w:t xml:space="preserve">, </w:t>
      </w:r>
      <w:r w:rsidR="00E23F4E">
        <w:t>alongside</w:t>
      </w:r>
      <w:r w:rsidR="008271BB" w:rsidRPr="008271BB">
        <w:t xml:space="preserve"> the concurrent desire of antiquarians to protect and publish transcriptions of </w:t>
      </w:r>
      <w:r w:rsidR="00394512">
        <w:t xml:space="preserve">monuments and </w:t>
      </w:r>
      <w:r w:rsidR="00115892">
        <w:t>engraved</w:t>
      </w:r>
      <w:r w:rsidR="00D23EBF">
        <w:t xml:space="preserve"> words</w:t>
      </w:r>
      <w:r w:rsidR="008271BB" w:rsidRPr="008271BB">
        <w:t xml:space="preserve"> in the late</w:t>
      </w:r>
      <w:r w:rsidR="00036407">
        <w:t>-sixteen</w:t>
      </w:r>
      <w:r w:rsidR="008271BB" w:rsidRPr="008271BB">
        <w:t xml:space="preserve">th and </w:t>
      </w:r>
      <w:r w:rsidR="00036407">
        <w:t>early-seventeen</w:t>
      </w:r>
      <w:r w:rsidR="008271BB" w:rsidRPr="008271BB">
        <w:t>th centuries</w:t>
      </w:r>
      <w:r w:rsidR="00036407">
        <w:t xml:space="preserve">. </w:t>
      </w:r>
      <w:r w:rsidR="001E455F">
        <w:t>The</w:t>
      </w:r>
      <w:r w:rsidR="00036407" w:rsidRPr="00036407">
        <w:t xml:space="preserve"> role of inscriptions in glorifying and encouraging virtuous conduct</w:t>
      </w:r>
      <w:r w:rsidR="001E455F">
        <w:t xml:space="preserve"> is also investigated</w:t>
      </w:r>
      <w:r w:rsidR="00036407" w:rsidRPr="00036407">
        <w:t xml:space="preserve">, </w:t>
      </w:r>
      <w:r w:rsidR="001E455F">
        <w:t>a</w:t>
      </w:r>
      <w:r w:rsidR="003F0823">
        <w:t>s well as</w:t>
      </w:r>
      <w:r w:rsidR="00036407" w:rsidRPr="00036407">
        <w:t xml:space="preserve"> the way in which inscriptions facilitated support for</w:t>
      </w:r>
      <w:r w:rsidR="00D94437" w:rsidRPr="00D94437">
        <w:t xml:space="preserve"> </w:t>
      </w:r>
      <w:r w:rsidR="003F0823">
        <w:t xml:space="preserve">– and </w:t>
      </w:r>
      <w:r w:rsidR="00D94437" w:rsidRPr="00D94437">
        <w:t xml:space="preserve">negotiations with </w:t>
      </w:r>
      <w:r w:rsidR="003F0823">
        <w:t xml:space="preserve">– </w:t>
      </w:r>
      <w:r w:rsidR="00D94437" w:rsidRPr="00D94437">
        <w:t xml:space="preserve">civic and political authorities. In so doing, it </w:t>
      </w:r>
      <w:r w:rsidR="009F0C61">
        <w:t>will be made</w:t>
      </w:r>
      <w:r w:rsidR="00D94437" w:rsidRPr="00D94437">
        <w:t xml:space="preserve"> clear that inscriptions were recognised as key </w:t>
      </w:r>
      <w:r w:rsidR="0037268B">
        <w:t>in</w:t>
      </w:r>
      <w:r w:rsidR="00D94437" w:rsidRPr="00D94437">
        <w:t xml:space="preserve"> connecting to and understanding the </w:t>
      </w:r>
      <w:proofErr w:type="gramStart"/>
      <w:r w:rsidR="00D94437" w:rsidRPr="00D94437">
        <w:t>past</w:t>
      </w:r>
      <w:r w:rsidR="009F0C61">
        <w:t>,</w:t>
      </w:r>
      <w:r w:rsidR="00D94437" w:rsidRPr="00D94437">
        <w:t xml:space="preserve"> and</w:t>
      </w:r>
      <w:proofErr w:type="gramEnd"/>
      <w:r w:rsidR="00D94437" w:rsidRPr="00D94437">
        <w:t xml:space="preserve"> were fashioned as an essential means of </w:t>
      </w:r>
      <w:r w:rsidR="00E64B5C">
        <w:t>memorialising contemporary</w:t>
      </w:r>
      <w:r w:rsidR="00D94437" w:rsidRPr="00D94437">
        <w:t xml:space="preserve"> </w:t>
      </w:r>
      <w:r w:rsidR="00D94437">
        <w:t>society</w:t>
      </w:r>
      <w:r w:rsidR="00D94437" w:rsidRPr="00D94437">
        <w:t xml:space="preserve"> </w:t>
      </w:r>
      <w:r w:rsidR="00E64B5C">
        <w:t xml:space="preserve">for </w:t>
      </w:r>
      <w:r w:rsidR="00D94437" w:rsidRPr="00D94437">
        <w:t>the future.</w:t>
      </w:r>
      <w:r w:rsidR="00D94437">
        <w:t xml:space="preserve"> </w:t>
      </w:r>
      <w:r w:rsidR="00B17815" w:rsidRPr="00B17815">
        <w:t xml:space="preserve">The final section looks </w:t>
      </w:r>
      <w:r w:rsidR="0039453B">
        <w:t>at early modern</w:t>
      </w:r>
      <w:r w:rsidR="00B17815" w:rsidRPr="00B17815">
        <w:t xml:space="preserve"> writing about memory, making it clear that inscription was regarded </w:t>
      </w:r>
      <w:r w:rsidR="00B8090A">
        <w:t xml:space="preserve">by some </w:t>
      </w:r>
      <w:r w:rsidR="00B17815" w:rsidRPr="00B17815">
        <w:t>as a bodily experience</w:t>
      </w:r>
      <w:r w:rsidR="00B17815">
        <w:t>,</w:t>
      </w:r>
      <w:r w:rsidR="00B17815" w:rsidRPr="00B17815">
        <w:t xml:space="preserve"> with text upon the built environment </w:t>
      </w:r>
      <w:r w:rsidR="00CE7CE8">
        <w:t>compared directly</w:t>
      </w:r>
      <w:r w:rsidR="00B17815" w:rsidRPr="00B17815">
        <w:t xml:space="preserve"> </w:t>
      </w:r>
      <w:r w:rsidR="00B17815">
        <w:t>with</w:t>
      </w:r>
      <w:r w:rsidR="00B17815" w:rsidRPr="00B17815">
        <w:t xml:space="preserve"> text upon the mind</w:t>
      </w:r>
      <w:r w:rsidR="00B17815">
        <w:t xml:space="preserve">. </w:t>
      </w:r>
      <w:r w:rsidR="00D60A4B" w:rsidRPr="00D60A4B">
        <w:lastRenderedPageBreak/>
        <w:t xml:space="preserve">Over the course of the following, inscription is apprehended as a material, architectural and bodily process </w:t>
      </w:r>
      <w:r w:rsidR="00E92E80" w:rsidRPr="00D60A4B">
        <w:t xml:space="preserve">with central significance </w:t>
      </w:r>
      <w:r w:rsidR="00D60A4B" w:rsidRPr="00D60A4B">
        <w:t>in early modern England.</w:t>
      </w:r>
    </w:p>
    <w:p w14:paraId="1995E36E" w14:textId="2D266637" w:rsidR="00E9318E" w:rsidRDefault="008A3318" w:rsidP="000F271B">
      <w:pPr>
        <w:spacing w:after="0" w:line="480" w:lineRule="auto"/>
        <w:ind w:firstLine="720"/>
        <w:jc w:val="both"/>
      </w:pPr>
      <w:r>
        <w:t xml:space="preserve">Scott </w:t>
      </w:r>
      <w:proofErr w:type="spellStart"/>
      <w:r>
        <w:t>Newstok</w:t>
      </w:r>
      <w:proofErr w:type="spellEnd"/>
      <w:r>
        <w:t xml:space="preserve"> has emphasised </w:t>
      </w:r>
      <w:r w:rsidR="00E117E4">
        <w:t>how</w:t>
      </w:r>
      <w:r>
        <w:t xml:space="preserve"> in the wake of the Reformation, Protestant memory cultures </w:t>
      </w:r>
      <w:r w:rsidR="009D643F">
        <w:t>became</w:t>
      </w:r>
      <w:r>
        <w:t xml:space="preserve"> </w:t>
      </w:r>
      <w:r w:rsidR="00FD6E1F">
        <w:t>increasingly</w:t>
      </w:r>
      <w:r>
        <w:t xml:space="preserve"> textually-orientated.</w:t>
      </w:r>
      <w:r w:rsidR="00155604">
        <w:rPr>
          <w:rStyle w:val="FootnoteReference"/>
        </w:rPr>
        <w:footnoteReference w:id="239"/>
      </w:r>
      <w:r>
        <w:t xml:space="preserve"> Whether individuals’ lives were commemorated </w:t>
      </w:r>
      <w:r w:rsidR="0033507A">
        <w:t>with</w:t>
      </w:r>
      <w:r>
        <w:t xml:space="preserve"> monuments or in print, </w:t>
      </w:r>
      <w:r w:rsidR="00954D31">
        <w:t>the late</w:t>
      </w:r>
      <w:r w:rsidR="00121CAC">
        <w:t>-</w:t>
      </w:r>
      <w:r w:rsidR="00954D31">
        <w:t>sixteenth and early</w:t>
      </w:r>
      <w:r w:rsidR="00121CAC">
        <w:t>-</w:t>
      </w:r>
      <w:r w:rsidR="00954D31">
        <w:t>seventeenth centuries</w:t>
      </w:r>
      <w:r w:rsidR="006D524A">
        <w:t xml:space="preserve"> witnessed a shift</w:t>
      </w:r>
      <w:r w:rsidR="002351C3">
        <w:t xml:space="preserve"> away from </w:t>
      </w:r>
      <w:r w:rsidR="002351C3" w:rsidRPr="002351C3">
        <w:t>traditional Catholic emphases on ritual</w:t>
      </w:r>
      <w:r w:rsidR="00121CAC">
        <w:t>,</w:t>
      </w:r>
      <w:r w:rsidR="002351C3">
        <w:t xml:space="preserve"> </w:t>
      </w:r>
      <w:r w:rsidR="002351C3" w:rsidRPr="002351C3">
        <w:t xml:space="preserve">towards </w:t>
      </w:r>
      <w:r w:rsidR="000F271B">
        <w:t>a growing</w:t>
      </w:r>
      <w:r w:rsidR="002351C3" w:rsidRPr="002351C3">
        <w:t xml:space="preserve"> Protestant emphas</w:t>
      </w:r>
      <w:r w:rsidR="000F271B">
        <w:t>i</w:t>
      </w:r>
      <w:r w:rsidR="002351C3" w:rsidRPr="002351C3">
        <w:t>s on the written word as the primary vessel of meaning.</w:t>
      </w:r>
      <w:r w:rsidR="002351C3" w:rsidRPr="002351C3">
        <w:rPr>
          <w:vertAlign w:val="superscript"/>
        </w:rPr>
        <w:footnoteReference w:id="240"/>
      </w:r>
      <w:r w:rsidR="000F271B">
        <w:t xml:space="preserve"> </w:t>
      </w:r>
      <w:r w:rsidR="00E81DD6">
        <w:t>C</w:t>
      </w:r>
      <w:r>
        <w:t xml:space="preserve">hurches </w:t>
      </w:r>
      <w:r w:rsidR="0020472D">
        <w:t xml:space="preserve">had </w:t>
      </w:r>
      <w:r w:rsidR="002C17E7">
        <w:t>long been</w:t>
      </w:r>
      <w:r>
        <w:t xml:space="preserve"> </w:t>
      </w:r>
      <w:r w:rsidR="00BF0759">
        <w:t xml:space="preserve">important </w:t>
      </w:r>
      <w:r>
        <w:t>arena</w:t>
      </w:r>
      <w:r w:rsidR="00BF0759">
        <w:t>s</w:t>
      </w:r>
      <w:r>
        <w:t xml:space="preserve"> </w:t>
      </w:r>
      <w:r w:rsidR="0039453B">
        <w:t>in which</w:t>
      </w:r>
      <w:r>
        <w:t xml:space="preserve"> local elites </w:t>
      </w:r>
      <w:r w:rsidR="0039453B">
        <w:t xml:space="preserve">could </w:t>
      </w:r>
      <w:r>
        <w:t>commemorat</w:t>
      </w:r>
      <w:r w:rsidR="0039453B">
        <w:t>e</w:t>
      </w:r>
      <w:r>
        <w:t xml:space="preserve"> civic improvements and </w:t>
      </w:r>
      <w:r w:rsidR="000A594C">
        <w:t xml:space="preserve">ecclesiastical </w:t>
      </w:r>
      <w:r>
        <w:t>donations.</w:t>
      </w:r>
      <w:r w:rsidR="00791A5E">
        <w:rPr>
          <w:rStyle w:val="FootnoteReference"/>
        </w:rPr>
        <w:footnoteReference w:id="241"/>
      </w:r>
      <w:r>
        <w:t xml:space="preserve"> With </w:t>
      </w:r>
      <w:r w:rsidR="00AB6F9E">
        <w:t xml:space="preserve">the gentry possessing </w:t>
      </w:r>
      <w:r>
        <w:t>rights to patronage in their local area, Thomas Tolley has argued that the</w:t>
      </w:r>
      <w:r w:rsidR="00AB6F9E">
        <w:t>y</w:t>
      </w:r>
      <w:r>
        <w:t xml:space="preserve"> conceived of parish churches as their natural ‘spiritual homes’, where</w:t>
      </w:r>
      <w:r w:rsidR="00A43A53">
        <w:t xml:space="preserve"> their</w:t>
      </w:r>
      <w:r>
        <w:t xml:space="preserve"> tombs constituted important statements of belonging and ownership.</w:t>
      </w:r>
      <w:r>
        <w:rPr>
          <w:rStyle w:val="FootnoteReference"/>
        </w:rPr>
        <w:footnoteReference w:id="242"/>
      </w:r>
      <w:r>
        <w:t xml:space="preserve"> </w:t>
      </w:r>
      <w:r w:rsidR="00105130">
        <w:t>Alongside</w:t>
      </w:r>
      <w:r w:rsidR="0098691E">
        <w:t xml:space="preserve"> </w:t>
      </w:r>
      <w:r w:rsidR="00F86FD9">
        <w:t xml:space="preserve">these </w:t>
      </w:r>
      <w:r w:rsidR="0098691E">
        <w:t>monumental</w:t>
      </w:r>
      <w:r w:rsidR="004E6968">
        <w:t xml:space="preserve"> epitaphs</w:t>
      </w:r>
      <w:r w:rsidR="00A43A53">
        <w:t>,</w:t>
      </w:r>
      <w:r w:rsidR="00105130">
        <w:t xml:space="preserve"> c</w:t>
      </w:r>
      <w:r w:rsidR="00437EA8">
        <w:t>hurch interior</w:t>
      </w:r>
      <w:r w:rsidR="00105130">
        <w:t>s</w:t>
      </w:r>
      <w:r w:rsidR="00437EA8">
        <w:t xml:space="preserve"> were replete with inscribed text</w:t>
      </w:r>
      <w:r w:rsidR="00A43A53">
        <w:t>, including</w:t>
      </w:r>
      <w:r w:rsidR="00EE69B4">
        <w:t xml:space="preserve"> a wealth of newly-added </w:t>
      </w:r>
      <w:r w:rsidR="00691D0A">
        <w:t>scripture</w:t>
      </w:r>
      <w:r w:rsidR="00EE69B4">
        <w:t>.</w:t>
      </w:r>
      <w:r w:rsidR="000E6DE5">
        <w:t xml:space="preserve"> </w:t>
      </w:r>
      <w:r w:rsidR="006228DA">
        <w:t xml:space="preserve">Robert Whiting has </w:t>
      </w:r>
      <w:r w:rsidR="00DC292E">
        <w:t>posited</w:t>
      </w:r>
      <w:r w:rsidR="006228DA">
        <w:t xml:space="preserve"> </w:t>
      </w:r>
      <w:r w:rsidR="00F07A8B">
        <w:t xml:space="preserve">that </w:t>
      </w:r>
      <w:r w:rsidR="009018B4">
        <w:t>the replacement of Catholic images of saints with ‘the Protestant word is dramatically evident’</w:t>
      </w:r>
      <w:r w:rsidR="00CD061C">
        <w:t xml:space="preserve"> </w:t>
      </w:r>
      <w:r w:rsidR="00EE69B4">
        <w:t>throughout early modern England</w:t>
      </w:r>
      <w:r w:rsidR="009018B4">
        <w:t>.</w:t>
      </w:r>
      <w:r w:rsidR="009018B4">
        <w:rPr>
          <w:rStyle w:val="FootnoteReference"/>
        </w:rPr>
        <w:footnoteReference w:id="243"/>
      </w:r>
      <w:r w:rsidR="00DE1766">
        <w:t xml:space="preserve"> A decree made </w:t>
      </w:r>
      <w:r w:rsidR="00233DDA">
        <w:t xml:space="preserve">by </w:t>
      </w:r>
      <w:r w:rsidR="00DE1766">
        <w:t xml:space="preserve">Elizabeth I </w:t>
      </w:r>
      <w:r w:rsidR="00CD061C">
        <w:t>enforced</w:t>
      </w:r>
      <w:r w:rsidR="0066476A">
        <w:t xml:space="preserve"> the display of</w:t>
      </w:r>
      <w:r w:rsidR="00DE1766">
        <w:t xml:space="preserve"> the </w:t>
      </w:r>
      <w:r w:rsidR="00E35CC2">
        <w:t>D</w:t>
      </w:r>
      <w:r w:rsidR="00DE1766">
        <w:t xml:space="preserve">ecalogue </w:t>
      </w:r>
      <w:r w:rsidR="0066476A">
        <w:t>in every parish church</w:t>
      </w:r>
      <w:r w:rsidR="0077263C">
        <w:t xml:space="preserve">, </w:t>
      </w:r>
      <w:r w:rsidR="00DC292E">
        <w:t>and</w:t>
      </w:r>
      <w:r w:rsidR="00DA50DE">
        <w:t xml:space="preserve"> Jonathan Willis has </w:t>
      </w:r>
      <w:r w:rsidR="00874C6B">
        <w:t>shown</w:t>
      </w:r>
      <w:r w:rsidR="00DA50DE">
        <w:t xml:space="preserve"> </w:t>
      </w:r>
      <w:r w:rsidR="00874C6B">
        <w:t>how the</w:t>
      </w:r>
      <w:r w:rsidR="006642F1">
        <w:t xml:space="preserve"> </w:t>
      </w:r>
      <w:r w:rsidR="00AA3EBE">
        <w:t xml:space="preserve">Ten </w:t>
      </w:r>
      <w:r w:rsidR="006642F1">
        <w:t>Commandments</w:t>
      </w:r>
      <w:r w:rsidR="00874C6B">
        <w:t xml:space="preserve"> we</w:t>
      </w:r>
      <w:r w:rsidR="00DA50DE">
        <w:t xml:space="preserve">re consistently inscribed upon large boards </w:t>
      </w:r>
      <w:r w:rsidR="00B15681">
        <w:t xml:space="preserve">or directly upon the wall </w:t>
      </w:r>
      <w:r w:rsidR="00DA50DE">
        <w:t>in decorative text</w:t>
      </w:r>
      <w:r w:rsidR="00CD061C">
        <w:t>, s</w:t>
      </w:r>
      <w:r w:rsidR="00DA50DE">
        <w:t>ometimes very lavishly illustrated</w:t>
      </w:r>
      <w:r w:rsidR="00CD061C">
        <w:t>.</w:t>
      </w:r>
      <w:r w:rsidR="00DA50DE">
        <w:rPr>
          <w:rStyle w:val="FootnoteReference"/>
        </w:rPr>
        <w:footnoteReference w:id="244"/>
      </w:r>
      <w:r w:rsidR="00AA3EBE">
        <w:t xml:space="preserve"> </w:t>
      </w:r>
      <w:r w:rsidR="00AB64BA">
        <w:t>Textual inscriptions were central to both monumental and devotional cultures</w:t>
      </w:r>
      <w:r w:rsidR="00657944">
        <w:t>.</w:t>
      </w:r>
    </w:p>
    <w:p w14:paraId="2642B580" w14:textId="793DBA75" w:rsidR="00E973D7" w:rsidRDefault="0094546C" w:rsidP="000E6DE5">
      <w:pPr>
        <w:spacing w:after="0" w:line="480" w:lineRule="auto"/>
        <w:ind w:firstLine="720"/>
        <w:jc w:val="both"/>
      </w:pPr>
      <w:r>
        <w:lastRenderedPageBreak/>
        <w:t xml:space="preserve"> </w:t>
      </w:r>
      <w:r w:rsidR="004407B6">
        <w:t xml:space="preserve">Writing in the second half of the seventeenth century, Nonconformist minister John Wells asserted the value of the Decalogue through reference to </w:t>
      </w:r>
      <w:r w:rsidR="00AF0B7B">
        <w:t xml:space="preserve">its materiality, emphasising that God’s Word was </w:t>
      </w:r>
      <w:r w:rsidR="00AF0B7B" w:rsidRPr="00AF0B7B">
        <w:t xml:space="preserve">‘written and </w:t>
      </w:r>
      <w:proofErr w:type="spellStart"/>
      <w:r w:rsidR="00AF0B7B" w:rsidRPr="00AF0B7B">
        <w:t>engraven</w:t>
      </w:r>
      <w:proofErr w:type="spellEnd"/>
      <w:r w:rsidR="00AF0B7B" w:rsidRPr="00AF0B7B">
        <w:t xml:space="preserve"> upon </w:t>
      </w:r>
      <w:r w:rsidR="00AF0B7B" w:rsidRPr="00AF0B7B">
        <w:rPr>
          <w:i/>
          <w:iCs/>
        </w:rPr>
        <w:t xml:space="preserve">Tables of stone, </w:t>
      </w:r>
      <w:r w:rsidR="00AF0B7B" w:rsidRPr="00AF0B7B">
        <w:t xml:space="preserve">not on leaves </w:t>
      </w:r>
      <w:r w:rsidR="00AF0B7B" w:rsidRPr="00AF0B7B">
        <w:rPr>
          <w:i/>
          <w:iCs/>
        </w:rPr>
        <w:t xml:space="preserve">of paper, </w:t>
      </w:r>
      <w:r w:rsidR="00AF0B7B" w:rsidRPr="00AF0B7B">
        <w:t xml:space="preserve">not on sheets </w:t>
      </w:r>
      <w:r w:rsidR="00AF0B7B" w:rsidRPr="00AF0B7B">
        <w:rPr>
          <w:i/>
          <w:iCs/>
        </w:rPr>
        <w:t xml:space="preserve">of parchment, </w:t>
      </w:r>
      <w:r w:rsidR="00AF0B7B" w:rsidRPr="00AF0B7B">
        <w:t xml:space="preserve">but on Tables </w:t>
      </w:r>
      <w:r w:rsidR="00AF0B7B" w:rsidRPr="00AF0B7B">
        <w:rPr>
          <w:i/>
          <w:iCs/>
        </w:rPr>
        <w:t>of stone</w:t>
      </w:r>
      <w:r w:rsidR="00AF0B7B" w:rsidRPr="00AF0B7B">
        <w:t>’.</w:t>
      </w:r>
      <w:r w:rsidR="00AF0B7B" w:rsidRPr="00AF0B7B">
        <w:rPr>
          <w:vertAlign w:val="superscript"/>
        </w:rPr>
        <w:footnoteReference w:id="245"/>
      </w:r>
      <w:r w:rsidR="00AF0B7B">
        <w:t xml:space="preserve"> </w:t>
      </w:r>
      <w:r w:rsidR="005B76D9">
        <w:t xml:space="preserve">Wells </w:t>
      </w:r>
      <w:r w:rsidR="00401DA5">
        <w:t>used inscription as a by-word for permanence</w:t>
      </w:r>
      <w:r w:rsidR="006C6CDB">
        <w:t>, just as many of the authors discussed above had done</w:t>
      </w:r>
      <w:r w:rsidR="00401DA5">
        <w:t>.</w:t>
      </w:r>
      <w:r w:rsidR="008924C9">
        <w:t xml:space="preserve"> </w:t>
      </w:r>
      <w:r w:rsidR="00CD18CC">
        <w:t xml:space="preserve">In describing the effects of preaching, Wells asserted that ‘a </w:t>
      </w:r>
      <w:r w:rsidR="00CD18CC">
        <w:rPr>
          <w:i/>
          <w:iCs/>
        </w:rPr>
        <w:t xml:space="preserve">repeated Law </w:t>
      </w:r>
      <w:r w:rsidR="00CD18CC" w:rsidRPr="00CD18CC">
        <w:t>to their</w:t>
      </w:r>
      <w:r w:rsidR="00CD18CC">
        <w:rPr>
          <w:i/>
          <w:iCs/>
        </w:rPr>
        <w:t xml:space="preserve"> </w:t>
      </w:r>
      <w:r w:rsidR="00CD18CC">
        <w:t xml:space="preserve">Ears, might be a </w:t>
      </w:r>
      <w:r w:rsidR="00CD18CC">
        <w:rPr>
          <w:i/>
          <w:iCs/>
        </w:rPr>
        <w:t>rivetted Law</w:t>
      </w:r>
      <w:r w:rsidR="00CD18CC">
        <w:t xml:space="preserve"> in their hearts’, again </w:t>
      </w:r>
      <w:r w:rsidR="007718C2">
        <w:t xml:space="preserve">underscoring the </w:t>
      </w:r>
      <w:r w:rsidR="008341B0">
        <w:t>corporeal</w:t>
      </w:r>
      <w:r w:rsidR="00CD18CC">
        <w:t xml:space="preserve"> </w:t>
      </w:r>
      <w:r w:rsidR="008341B0">
        <w:t>power</w:t>
      </w:r>
      <w:r w:rsidR="00CD18CC">
        <w:t xml:space="preserve"> of religious instruction</w:t>
      </w:r>
      <w:r w:rsidR="000322DF">
        <w:t xml:space="preserve">, </w:t>
      </w:r>
      <w:r w:rsidR="0049598E">
        <w:t xml:space="preserve">permanently changing the </w:t>
      </w:r>
      <w:r w:rsidR="008341B0">
        <w:t>bodies and in turn the behaviours</w:t>
      </w:r>
      <w:r w:rsidR="00CD18CC">
        <w:rPr>
          <w:i/>
          <w:iCs/>
        </w:rPr>
        <w:t xml:space="preserve"> </w:t>
      </w:r>
      <w:r w:rsidR="008341B0">
        <w:t>of believers.</w:t>
      </w:r>
      <w:r w:rsidR="008341B0">
        <w:rPr>
          <w:rStyle w:val="FootnoteReference"/>
        </w:rPr>
        <w:footnoteReference w:id="246"/>
      </w:r>
      <w:r w:rsidR="008341B0">
        <w:t xml:space="preserve"> </w:t>
      </w:r>
      <w:r w:rsidR="008924C9">
        <w:t>Detailing the sites for God’s inscriptions,</w:t>
      </w:r>
      <w:r w:rsidR="00E23385">
        <w:t xml:space="preserve"> </w:t>
      </w:r>
      <w:r w:rsidR="00AF0B7B">
        <w:t xml:space="preserve">Wells </w:t>
      </w:r>
      <w:r w:rsidR="006D792E">
        <w:t xml:space="preserve">used the term </w:t>
      </w:r>
      <w:r w:rsidR="00AF0B7B">
        <w:t xml:space="preserve">‘Gods house’ </w:t>
      </w:r>
      <w:r w:rsidR="006D792E">
        <w:t>to denote</w:t>
      </w:r>
      <w:r w:rsidR="008924C9">
        <w:t xml:space="preserve"> earthly</w:t>
      </w:r>
      <w:r w:rsidR="006D792E">
        <w:t xml:space="preserve"> churches as well as the spiritual realm inhabited by God</w:t>
      </w:r>
      <w:r w:rsidR="0009437A">
        <w:t>, repeatedly equating the two.</w:t>
      </w:r>
      <w:r w:rsidR="0009437A">
        <w:rPr>
          <w:rStyle w:val="FootnoteReference"/>
        </w:rPr>
        <w:footnoteReference w:id="247"/>
      </w:r>
      <w:r w:rsidR="00E973D7">
        <w:t xml:space="preserve"> Describing </w:t>
      </w:r>
      <w:r w:rsidR="001E35DB">
        <w:t>how God had gifte</w:t>
      </w:r>
      <w:r w:rsidR="003605D9">
        <w:t>d</w:t>
      </w:r>
      <w:r w:rsidR="001E35DB">
        <w:t xml:space="preserve"> eunuchs honouring the sabbath with ‘everlasting remembrance’, Wells argued that though the</w:t>
      </w:r>
      <w:r w:rsidR="003605D9">
        <w:t>y</w:t>
      </w:r>
      <w:r w:rsidR="001E35DB">
        <w:t xml:space="preserve"> had ‘</w:t>
      </w:r>
      <w:r w:rsidR="001E35DB" w:rsidRPr="001E35DB">
        <w:t xml:space="preserve">no progeny to bear up their name, yet their name shall be </w:t>
      </w:r>
      <w:proofErr w:type="spellStart"/>
      <w:r w:rsidR="001E35DB" w:rsidRPr="001E35DB">
        <w:t>engraven</w:t>
      </w:r>
      <w:proofErr w:type="spellEnd"/>
      <w:r w:rsidR="001E35DB" w:rsidRPr="001E35DB">
        <w:t xml:space="preserve"> in Gods house, which shall </w:t>
      </w:r>
      <w:r w:rsidR="001E35DB" w:rsidRPr="001E35DB">
        <w:rPr>
          <w:i/>
          <w:iCs/>
        </w:rPr>
        <w:t xml:space="preserve">out-vie the duration </w:t>
      </w:r>
      <w:r w:rsidR="001E35DB" w:rsidRPr="001E35DB">
        <w:t xml:space="preserve">of the most </w:t>
      </w:r>
      <w:r w:rsidR="001E35DB" w:rsidRPr="001E35DB">
        <w:rPr>
          <w:i/>
          <w:iCs/>
        </w:rPr>
        <w:t xml:space="preserve">numerous </w:t>
      </w:r>
      <w:r w:rsidR="001E35DB" w:rsidRPr="001E35DB">
        <w:t>off-spring’.</w:t>
      </w:r>
      <w:r w:rsidR="001E35DB" w:rsidRPr="001E35DB">
        <w:rPr>
          <w:vertAlign w:val="superscript"/>
        </w:rPr>
        <w:footnoteReference w:id="248"/>
      </w:r>
      <w:r w:rsidR="00C7046D">
        <w:t xml:space="preserve"> </w:t>
      </w:r>
      <w:r w:rsidR="00792054">
        <w:t xml:space="preserve">With Wells describing engraving as the vessel through which God conveyed his teaching and the commemorative form favoured by </w:t>
      </w:r>
      <w:r w:rsidR="00497338">
        <w:t>H</w:t>
      </w:r>
      <w:r w:rsidR="00792054">
        <w:t xml:space="preserve">im – in </w:t>
      </w:r>
      <w:r w:rsidR="00A977E7">
        <w:t xml:space="preserve">both </w:t>
      </w:r>
      <w:r w:rsidR="00792054">
        <w:t>his immaterial</w:t>
      </w:r>
      <w:r w:rsidR="00A977E7">
        <w:t xml:space="preserve"> and earthly churches </w:t>
      </w:r>
      <w:r w:rsidR="00792054">
        <w:t xml:space="preserve">– the influence of contemporary memory cultures on Wells’ writing </w:t>
      </w:r>
      <w:r w:rsidR="00874A63">
        <w:t>is clear, with inscription deemed the primary vessel of remembrance and of material and mnemonic durability.</w:t>
      </w:r>
    </w:p>
    <w:p w14:paraId="6839AE5D" w14:textId="1D00DA3E" w:rsidR="00032C65" w:rsidRDefault="007A4D83" w:rsidP="00032C65">
      <w:pPr>
        <w:spacing w:after="0" w:line="480" w:lineRule="auto"/>
        <w:ind w:firstLine="720"/>
        <w:jc w:val="both"/>
      </w:pPr>
      <w:r>
        <w:t xml:space="preserve">Inscriptions </w:t>
      </w:r>
      <w:r w:rsidR="00227939">
        <w:t>were considered key by early modern authors writing about the history of Britain</w:t>
      </w:r>
      <w:r w:rsidR="00AE0344">
        <w:t xml:space="preserve"> and </w:t>
      </w:r>
      <w:r w:rsidR="00F75E80">
        <w:t>provided the f</w:t>
      </w:r>
      <w:r w:rsidR="00F02F2A">
        <w:t>oundation</w:t>
      </w:r>
      <w:r w:rsidR="00AE0344">
        <w:t xml:space="preserve"> o</w:t>
      </w:r>
      <w:r w:rsidR="00DC0E89">
        <w:t>f</w:t>
      </w:r>
      <w:r w:rsidR="00F02F2A">
        <w:t xml:space="preserve"> </w:t>
      </w:r>
      <w:r w:rsidR="00F75E80">
        <w:t xml:space="preserve">many </w:t>
      </w:r>
      <w:r w:rsidR="00AE0344">
        <w:t>antiquarian</w:t>
      </w:r>
      <w:r w:rsidR="00F02F2A">
        <w:t xml:space="preserve"> texts</w:t>
      </w:r>
      <w:r w:rsidR="00227939">
        <w:t>.</w:t>
      </w:r>
      <w:r w:rsidR="007D73D3">
        <w:rPr>
          <w:rStyle w:val="FootnoteReference"/>
        </w:rPr>
        <w:footnoteReference w:id="249"/>
      </w:r>
      <w:r w:rsidR="00227939">
        <w:t xml:space="preserve"> </w:t>
      </w:r>
      <w:r w:rsidR="00D30F49">
        <w:t xml:space="preserve">Authored by William Camden, </w:t>
      </w:r>
      <w:r w:rsidR="00D30F49">
        <w:rPr>
          <w:i/>
          <w:iCs/>
        </w:rPr>
        <w:t xml:space="preserve">Britannia </w:t>
      </w:r>
      <w:r w:rsidR="00D235A2">
        <w:t xml:space="preserve">(1586) </w:t>
      </w:r>
      <w:r w:rsidR="00D30F49">
        <w:t xml:space="preserve">comprised a survey of England, Wales, Scotland and Ireland. </w:t>
      </w:r>
      <w:r w:rsidR="000E4191">
        <w:t xml:space="preserve">It </w:t>
      </w:r>
      <w:r w:rsidR="00D30F49">
        <w:lastRenderedPageBreak/>
        <w:t xml:space="preserve">relied heavily on inscriptions, which functioned as direct links between </w:t>
      </w:r>
      <w:r w:rsidR="00FD53CF">
        <w:t xml:space="preserve">the Britain </w:t>
      </w:r>
      <w:r w:rsidR="00D30F49">
        <w:t>Camden</w:t>
      </w:r>
      <w:r w:rsidR="00FD53CF">
        <w:t xml:space="preserve"> knew and that of</w:t>
      </w:r>
      <w:r w:rsidR="00D30F49">
        <w:t xml:space="preserve"> the ancient past.</w:t>
      </w:r>
      <w:r w:rsidR="00F02B15">
        <w:rPr>
          <w:rStyle w:val="FootnoteReference"/>
        </w:rPr>
        <w:footnoteReference w:id="250"/>
      </w:r>
      <w:r w:rsidR="005E4928">
        <w:t xml:space="preserve"> </w:t>
      </w:r>
      <w:r w:rsidR="00EF6F83">
        <w:t xml:space="preserve">Paralleling the potency attributed to </w:t>
      </w:r>
      <w:r w:rsidR="00B66D73">
        <w:t xml:space="preserve">inscribed words by early modern religious scholars, </w:t>
      </w:r>
      <w:r w:rsidR="00B25CDD">
        <w:t xml:space="preserve">Angus Vine has </w:t>
      </w:r>
      <w:r w:rsidR="00C76386">
        <w:t>shown how</w:t>
      </w:r>
      <w:r w:rsidR="00B66D73">
        <w:t>,</w:t>
      </w:r>
      <w:r w:rsidR="00C76386">
        <w:t xml:space="preserve"> </w:t>
      </w:r>
      <w:r w:rsidR="00B66D73">
        <w:t>f</w:t>
      </w:r>
      <w:r w:rsidR="005E4928">
        <w:t xml:space="preserve">or Camden, </w:t>
      </w:r>
      <w:r w:rsidR="00C74C62">
        <w:t>linguistic traces present in inscriptions constitut</w:t>
      </w:r>
      <w:r w:rsidR="00774B77">
        <w:t>ed</w:t>
      </w:r>
      <w:r w:rsidR="00C74C62">
        <w:t xml:space="preserve"> a ‘powerful historical tool’ through which he </w:t>
      </w:r>
      <w:r w:rsidR="001F3186">
        <w:t xml:space="preserve">might better </w:t>
      </w:r>
      <w:r w:rsidR="008058F6">
        <w:t xml:space="preserve">understand </w:t>
      </w:r>
      <w:r w:rsidR="00931A42">
        <w:t>names, ancestral bloodlines and peoples</w:t>
      </w:r>
      <w:r w:rsidR="00543D4B">
        <w:t>, restoring and mastering knowledge of the past</w:t>
      </w:r>
      <w:r w:rsidR="00794B09">
        <w:t>.</w:t>
      </w:r>
      <w:r w:rsidR="00794B09">
        <w:rPr>
          <w:rStyle w:val="FootnoteReference"/>
        </w:rPr>
        <w:footnoteReference w:id="251"/>
      </w:r>
      <w:r w:rsidR="00E659EC">
        <w:t xml:space="preserve"> According to Camden, the origins of ‘Britain’ itself</w:t>
      </w:r>
      <w:r w:rsidR="000E1092">
        <w:t xml:space="preserve"> lay</w:t>
      </w:r>
      <w:r w:rsidR="00E659EC">
        <w:t xml:space="preserve"> in Roman poetry and inscriptions </w:t>
      </w:r>
      <w:r w:rsidR="00565AAB">
        <w:t xml:space="preserve">via </w:t>
      </w:r>
      <w:r w:rsidR="00565AAB" w:rsidRPr="00565AAB">
        <w:t xml:space="preserve">‘the </w:t>
      </w:r>
      <w:proofErr w:type="spellStart"/>
      <w:r w:rsidR="00565AAB" w:rsidRPr="00565AAB">
        <w:t>authoritie</w:t>
      </w:r>
      <w:proofErr w:type="spellEnd"/>
      <w:r w:rsidR="00565AAB" w:rsidRPr="00565AAB">
        <w:t xml:space="preserve"> of Martial, Juvenal and Ausonius. Procopius also, who </w:t>
      </w:r>
      <w:proofErr w:type="spellStart"/>
      <w:r w:rsidR="00565AAB" w:rsidRPr="00565AAB">
        <w:t>nameth</w:t>
      </w:r>
      <w:proofErr w:type="spellEnd"/>
      <w:r w:rsidR="00565AAB" w:rsidRPr="00565AAB">
        <w:t xml:space="preserve"> this Isle BRITTA. In like manner the old Inscriptions set up by the </w:t>
      </w:r>
      <w:proofErr w:type="spellStart"/>
      <w:r w:rsidR="00565AAB" w:rsidRPr="00565AAB">
        <w:t>Britaines</w:t>
      </w:r>
      <w:proofErr w:type="spellEnd"/>
      <w:r w:rsidR="00565AAB" w:rsidRPr="00565AAB">
        <w:t xml:space="preserve"> themselves, wherein are read, BRITO, BRITONES, BRITTUS</w:t>
      </w:r>
      <w:r w:rsidR="00790B9E">
        <w:t>.</w:t>
      </w:r>
      <w:r w:rsidR="00565AAB" w:rsidRPr="00565AAB">
        <w:t>’</w:t>
      </w:r>
      <w:r w:rsidR="00565AAB" w:rsidRPr="00565AAB">
        <w:rPr>
          <w:vertAlign w:val="superscript"/>
        </w:rPr>
        <w:footnoteReference w:id="252"/>
      </w:r>
      <w:r w:rsidR="00994346" w:rsidRPr="00994346">
        <w:t xml:space="preserve"> </w:t>
      </w:r>
      <w:r w:rsidR="000E1092">
        <w:t xml:space="preserve">Drawn from </w:t>
      </w:r>
      <w:r w:rsidR="00994346" w:rsidRPr="00994346">
        <w:t>Phil</w:t>
      </w:r>
      <w:r w:rsidR="005F5E67">
        <w:t>e</w:t>
      </w:r>
      <w:r w:rsidR="00994346" w:rsidRPr="00994346">
        <w:t>mon Holland’s English translation of</w:t>
      </w:r>
      <w:r w:rsidR="00994346">
        <w:t xml:space="preserve"> </w:t>
      </w:r>
      <w:r w:rsidR="00994346">
        <w:rPr>
          <w:i/>
          <w:iCs/>
        </w:rPr>
        <w:t xml:space="preserve">Britannia </w:t>
      </w:r>
      <w:r w:rsidR="00994346">
        <w:t>(</w:t>
      </w:r>
      <w:r w:rsidR="00305CD8">
        <w:t xml:space="preserve">Camden wrote the </w:t>
      </w:r>
      <w:r w:rsidR="00994346" w:rsidRPr="00994346">
        <w:t>origina</w:t>
      </w:r>
      <w:r w:rsidR="00305CD8">
        <w:t xml:space="preserve">l in </w:t>
      </w:r>
      <w:r w:rsidR="00994346" w:rsidRPr="00994346">
        <w:t>Latin</w:t>
      </w:r>
      <w:r w:rsidR="00994346">
        <w:t>)</w:t>
      </w:r>
      <w:r w:rsidR="00994346" w:rsidRPr="00994346">
        <w:t xml:space="preserve"> </w:t>
      </w:r>
      <w:r w:rsidR="000E1092">
        <w:t xml:space="preserve">this </w:t>
      </w:r>
      <w:r w:rsidR="00AA3434">
        <w:t xml:space="preserve">passage includes the first of more than 160 uses of the word </w:t>
      </w:r>
      <w:r w:rsidR="00682F29">
        <w:t>‘inscription’</w:t>
      </w:r>
      <w:r w:rsidR="00173BD6">
        <w:t xml:space="preserve">, </w:t>
      </w:r>
      <w:r w:rsidR="00883EBB">
        <w:t xml:space="preserve">with inscriptions on the built environment </w:t>
      </w:r>
      <w:r w:rsidR="00173BD6">
        <w:t>central to the text</w:t>
      </w:r>
      <w:r w:rsidR="00994346" w:rsidRPr="00994346">
        <w:t>.</w:t>
      </w:r>
      <w:r w:rsidR="00994346" w:rsidRPr="00994346">
        <w:rPr>
          <w:vertAlign w:val="superscript"/>
        </w:rPr>
        <w:footnoteReference w:id="253"/>
      </w:r>
    </w:p>
    <w:p w14:paraId="07E30ED7" w14:textId="77777777" w:rsidR="001F4F1E" w:rsidRDefault="00824B33" w:rsidP="001F4F1E">
      <w:pPr>
        <w:spacing w:after="0" w:line="480" w:lineRule="auto"/>
        <w:ind w:firstLine="720"/>
        <w:jc w:val="both"/>
      </w:pPr>
      <w:proofErr w:type="spellStart"/>
      <w:r>
        <w:t>Newstok</w:t>
      </w:r>
      <w:proofErr w:type="spellEnd"/>
      <w:r w:rsidR="008022F7">
        <w:t xml:space="preserve"> has </w:t>
      </w:r>
      <w:r w:rsidR="009A54A0">
        <w:t xml:space="preserve">described Camden as motivated by an ‘anxious </w:t>
      </w:r>
      <w:r w:rsidR="00554A60">
        <w:t xml:space="preserve">sense of </w:t>
      </w:r>
      <w:r w:rsidR="009A54A0">
        <w:t>mission’, aware that inscriptions – though lasting for hundreds of years – were vulnerable to decay and loss.</w:t>
      </w:r>
      <w:r w:rsidR="009A54A0">
        <w:rPr>
          <w:rStyle w:val="FootnoteReference"/>
        </w:rPr>
        <w:footnoteReference w:id="254"/>
      </w:r>
      <w:r w:rsidR="009A54A0">
        <w:t xml:space="preserve"> </w:t>
      </w:r>
      <w:r w:rsidR="00C70593">
        <w:t xml:space="preserve">Camden </w:t>
      </w:r>
      <w:r w:rsidR="009A54A0">
        <w:t>w</w:t>
      </w:r>
      <w:r w:rsidR="008D458A">
        <w:t xml:space="preserve">as </w:t>
      </w:r>
      <w:r w:rsidR="009A54A0">
        <w:t>therefore keen to preserve them in print</w:t>
      </w:r>
      <w:r w:rsidR="000A670C">
        <w:t>.</w:t>
      </w:r>
      <w:r w:rsidR="00554A60">
        <w:t xml:space="preserve"> </w:t>
      </w:r>
      <w:r w:rsidR="00D769ED">
        <w:t xml:space="preserve">Notably, as much as the knowledge transmitted by inscriptions was of key concern, Camden clearly valued </w:t>
      </w:r>
      <w:r w:rsidR="00BB0691">
        <w:t xml:space="preserve">the </w:t>
      </w:r>
      <w:r w:rsidR="00D769ED">
        <w:t>inscriptions</w:t>
      </w:r>
      <w:r w:rsidR="009422EE">
        <w:t xml:space="preserve"> </w:t>
      </w:r>
      <w:proofErr w:type="gramStart"/>
      <w:r w:rsidR="009422EE">
        <w:t>themselves</w:t>
      </w:r>
      <w:r w:rsidR="00BB0691">
        <w:t>, and</w:t>
      </w:r>
      <w:proofErr w:type="gramEnd"/>
      <w:r w:rsidR="009422EE">
        <w:t xml:space="preserve"> </w:t>
      </w:r>
      <w:r w:rsidR="00CC0800">
        <w:t xml:space="preserve">cited them in full </w:t>
      </w:r>
      <w:r w:rsidR="009422EE">
        <w:t>even where they did not survive.</w:t>
      </w:r>
      <w:r w:rsidR="009813AD">
        <w:t xml:space="preserve"> On </w:t>
      </w:r>
      <w:r w:rsidR="001F4F1E">
        <w:t>one occasion</w:t>
      </w:r>
      <w:r w:rsidR="00BB0691">
        <w:t>,</w:t>
      </w:r>
      <w:r w:rsidR="001F4F1E">
        <w:t xml:space="preserve"> Camden </w:t>
      </w:r>
      <w:r w:rsidR="001F4F1E">
        <w:lastRenderedPageBreak/>
        <w:t>mentions an inscription featur</w:t>
      </w:r>
      <w:r w:rsidR="00BB0691">
        <w:t>ed</w:t>
      </w:r>
      <w:r w:rsidR="001F4F1E">
        <w:t xml:space="preserve"> in the writings of twelfth-century historian William of </w:t>
      </w:r>
      <w:proofErr w:type="spellStart"/>
      <w:r w:rsidR="001F4F1E">
        <w:t>Malmesbury</w:t>
      </w:r>
      <w:proofErr w:type="spellEnd"/>
      <w:r w:rsidR="001F4F1E">
        <w:t>, explaining how</w:t>
      </w:r>
    </w:p>
    <w:p w14:paraId="2CBCF48C" w14:textId="77777777" w:rsidR="001F4F1E" w:rsidRDefault="001F4F1E" w:rsidP="001F4F1E">
      <w:pPr>
        <w:spacing w:after="0" w:line="480" w:lineRule="auto"/>
        <w:ind w:left="720"/>
        <w:jc w:val="both"/>
      </w:pPr>
      <w:r>
        <w:t>‘</w:t>
      </w:r>
      <w:proofErr w:type="gramStart"/>
      <w:r>
        <w:t>i</w:t>
      </w:r>
      <w:r w:rsidRPr="00473F4A">
        <w:t>n</w:t>
      </w:r>
      <w:proofErr w:type="gramEnd"/>
      <w:r w:rsidRPr="00473F4A">
        <w:t xml:space="preserve"> his </w:t>
      </w:r>
      <w:proofErr w:type="spellStart"/>
      <w:r w:rsidRPr="00473F4A">
        <w:t>daies</w:t>
      </w:r>
      <w:proofErr w:type="spellEnd"/>
      <w:r w:rsidRPr="00473F4A">
        <w:t xml:space="preserve"> there was an old stone translated from the </w:t>
      </w:r>
      <w:proofErr w:type="spellStart"/>
      <w:r w:rsidRPr="00473F4A">
        <w:t>ruines</w:t>
      </w:r>
      <w:proofErr w:type="spellEnd"/>
      <w:r w:rsidRPr="00473F4A">
        <w:t xml:space="preserve"> of the wall into the Chapter house of the Names, which had this Inscription: ANNO DOMINICAE INCARNATIONIS AELFREDVS REX FECIT HANC VRBEM. DCCC.LXXX. REGNI SVI VIII.</w:t>
      </w:r>
      <w:r w:rsidRPr="00473F4A">
        <w:rPr>
          <w:i/>
          <w:iCs/>
        </w:rPr>
        <w:t> That is</w:t>
      </w:r>
      <w:r w:rsidRPr="00473F4A">
        <w:t xml:space="preserve">, In the </w:t>
      </w:r>
      <w:proofErr w:type="spellStart"/>
      <w:r w:rsidRPr="00473F4A">
        <w:t>yeare</w:t>
      </w:r>
      <w:proofErr w:type="spellEnd"/>
      <w:r w:rsidRPr="00473F4A">
        <w:t xml:space="preserve"> of the incarnation of our Lord, King Aelfred built this </w:t>
      </w:r>
      <w:proofErr w:type="spellStart"/>
      <w:r w:rsidRPr="00473F4A">
        <w:t>Citie</w:t>
      </w:r>
      <w:proofErr w:type="spellEnd"/>
      <w:r w:rsidRPr="00473F4A">
        <w:t>,</w:t>
      </w:r>
      <w:r w:rsidRPr="00473F4A">
        <w:rPr>
          <w:i/>
          <w:iCs/>
        </w:rPr>
        <w:t xml:space="preserve"> 880. of his </w:t>
      </w:r>
      <w:proofErr w:type="spellStart"/>
      <w:r w:rsidRPr="00473F4A">
        <w:rPr>
          <w:i/>
          <w:iCs/>
        </w:rPr>
        <w:t>raigne</w:t>
      </w:r>
      <w:proofErr w:type="spellEnd"/>
      <w:r w:rsidRPr="00473F4A">
        <w:rPr>
          <w:i/>
          <w:iCs/>
        </w:rPr>
        <w:t xml:space="preserve"> the eighth</w:t>
      </w:r>
      <w:r>
        <w:t>’</w:t>
      </w:r>
      <w:r w:rsidRPr="00473F4A">
        <w:t>.</w:t>
      </w:r>
      <w:r>
        <w:rPr>
          <w:rStyle w:val="FootnoteReference"/>
        </w:rPr>
        <w:footnoteReference w:id="255"/>
      </w:r>
    </w:p>
    <w:p w14:paraId="67FE594D" w14:textId="4F2E53C3" w:rsidR="00A90691" w:rsidRPr="00DF7D07" w:rsidRDefault="00DF7D07" w:rsidP="00A90691">
      <w:pPr>
        <w:spacing w:after="0" w:line="480" w:lineRule="auto"/>
        <w:jc w:val="both"/>
      </w:pPr>
      <w:r w:rsidRPr="00DF7D07">
        <w:t xml:space="preserve">Early modern scholars like Camden perceived inscriptions as </w:t>
      </w:r>
      <w:r w:rsidR="00DB122C">
        <w:t xml:space="preserve">historical witnesses </w:t>
      </w:r>
      <w:r w:rsidRPr="00DF7D07">
        <w:t>charting and expounding evidence of the past</w:t>
      </w:r>
      <w:r w:rsidR="00DB122C">
        <w:t xml:space="preserve">. </w:t>
      </w:r>
      <w:r w:rsidR="00E157AE">
        <w:t>Camden</w:t>
      </w:r>
      <w:r w:rsidRPr="00DF7D07">
        <w:t xml:space="preserve"> saw it as </w:t>
      </w:r>
      <w:r w:rsidR="00E157AE">
        <w:t xml:space="preserve">his </w:t>
      </w:r>
      <w:r w:rsidRPr="00DF7D07">
        <w:t>responsibility to compile and preserve this textual evidence</w:t>
      </w:r>
      <w:r w:rsidR="00AD0ADD">
        <w:t xml:space="preserve"> </w:t>
      </w:r>
      <w:r w:rsidR="00F80D1D">
        <w:t>in print</w:t>
      </w:r>
      <w:r w:rsidR="00F500AD">
        <w:t xml:space="preserve">, </w:t>
      </w:r>
      <w:r w:rsidR="00A90691" w:rsidRPr="00A90691">
        <w:t>and in doing so faithfully, providing exact copies as far as possible, Camden highlighted the contemporary significance afforded to inscriptions as a form, striving not to dilute their value.</w:t>
      </w:r>
      <w:r w:rsidR="00A90691">
        <w:t xml:space="preserve"> </w:t>
      </w:r>
      <w:r w:rsidR="00A90691" w:rsidRPr="00DF7D07">
        <w:t>Where</w:t>
      </w:r>
      <w:r w:rsidR="00B07865">
        <w:t>ver</w:t>
      </w:r>
      <w:r w:rsidR="00A90691" w:rsidRPr="00DF7D07">
        <w:t xml:space="preserve"> antiquarians wrote about the importance of inscriptions in understanding Britain and its past, they highlighted the way in which inscriptions were perceived in the present, </w:t>
      </w:r>
      <w:r w:rsidR="000D7B77">
        <w:t xml:space="preserve">intending to </w:t>
      </w:r>
      <w:r w:rsidR="00A90691">
        <w:t>project contemporary society</w:t>
      </w:r>
      <w:r w:rsidR="00A90691" w:rsidRPr="00DF7D07">
        <w:t xml:space="preserve"> </w:t>
      </w:r>
      <w:r w:rsidR="00A90691">
        <w:t>into the distant future.</w:t>
      </w:r>
    </w:p>
    <w:p w14:paraId="23B4D2E4" w14:textId="77777777" w:rsidR="00874A63" w:rsidRDefault="00D2453A" w:rsidP="00DF7D07">
      <w:pPr>
        <w:spacing w:after="0" w:line="480" w:lineRule="auto"/>
        <w:ind w:firstLine="720"/>
        <w:jc w:val="both"/>
      </w:pPr>
      <w:r w:rsidRPr="00D2453A">
        <w:t xml:space="preserve">Inscriptions were equally central to </w:t>
      </w:r>
      <w:r w:rsidR="00924D9D">
        <w:t>antiquarian</w:t>
      </w:r>
      <w:r w:rsidRPr="00D2453A">
        <w:t xml:space="preserve"> John Stow and appear </w:t>
      </w:r>
      <w:r w:rsidR="00924D9D">
        <w:t>consistently</w:t>
      </w:r>
      <w:r w:rsidRPr="00D2453A">
        <w:t xml:space="preserve"> </w:t>
      </w:r>
      <w:r w:rsidR="00924D9D">
        <w:t>throughout</w:t>
      </w:r>
      <w:r w:rsidRPr="00D2453A">
        <w:t xml:space="preserve"> his p</w:t>
      </w:r>
      <w:r w:rsidR="00D669B1">
        <w:t>ublished works</w:t>
      </w:r>
      <w:r w:rsidRPr="00D2453A">
        <w:t xml:space="preserve">. </w:t>
      </w:r>
      <w:r w:rsidR="000A638C" w:rsidRPr="000A638C">
        <w:t xml:space="preserve">In </w:t>
      </w:r>
      <w:r w:rsidR="000A638C" w:rsidRPr="000A638C">
        <w:rPr>
          <w:i/>
          <w:iCs/>
        </w:rPr>
        <w:t xml:space="preserve">A Survey of London </w:t>
      </w:r>
      <w:r w:rsidR="000A638C" w:rsidRPr="000A638C">
        <w:t>(1598)</w:t>
      </w:r>
      <w:r w:rsidR="000A638C">
        <w:t xml:space="preserve">, </w:t>
      </w:r>
      <w:r w:rsidR="004B4EAF">
        <w:t>Stow undertook a</w:t>
      </w:r>
      <w:r w:rsidR="00D669B1">
        <w:t xml:space="preserve"> similar</w:t>
      </w:r>
      <w:r w:rsidR="004B4EAF">
        <w:t xml:space="preserve"> task to Camden, </w:t>
      </w:r>
      <w:r w:rsidR="00B3401F">
        <w:t>committing</w:t>
      </w:r>
      <w:r w:rsidR="00123F75">
        <w:t xml:space="preserve"> inscriptions</w:t>
      </w:r>
      <w:r w:rsidR="005650B8">
        <w:t xml:space="preserve"> </w:t>
      </w:r>
      <w:r w:rsidR="005E0BAD">
        <w:t>made upon</w:t>
      </w:r>
      <w:r w:rsidR="00123F75">
        <w:t xml:space="preserve"> the built environment</w:t>
      </w:r>
      <w:r w:rsidR="00B3401F">
        <w:t xml:space="preserve"> to print</w:t>
      </w:r>
      <w:r w:rsidR="00123F75">
        <w:t xml:space="preserve">. </w:t>
      </w:r>
      <w:r w:rsidR="009443C6">
        <w:t xml:space="preserve">His description of </w:t>
      </w:r>
      <w:r w:rsidR="004D508C">
        <w:t>‘</w:t>
      </w:r>
      <w:proofErr w:type="spellStart"/>
      <w:r w:rsidR="004D508C" w:rsidRPr="004D508C">
        <w:t>Towerstreet</w:t>
      </w:r>
      <w:proofErr w:type="spellEnd"/>
      <w:r w:rsidR="004D508C" w:rsidRPr="004D508C">
        <w:t xml:space="preserve"> </w:t>
      </w:r>
      <w:proofErr w:type="spellStart"/>
      <w:r w:rsidR="004D508C" w:rsidRPr="004D508C">
        <w:t>warde</w:t>
      </w:r>
      <w:proofErr w:type="spellEnd"/>
      <w:r w:rsidR="004D508C" w:rsidRPr="004D508C">
        <w:t>’</w:t>
      </w:r>
      <w:r w:rsidR="004D508C">
        <w:t xml:space="preserve"> </w:t>
      </w:r>
      <w:r w:rsidR="00B3401F">
        <w:t>lists</w:t>
      </w:r>
      <w:r w:rsidR="004D508C" w:rsidRPr="004D508C">
        <w:t xml:space="preserve"> </w:t>
      </w:r>
      <w:r w:rsidR="00B3401F">
        <w:t>all</w:t>
      </w:r>
      <w:r w:rsidR="00D60231">
        <w:t xml:space="preserve"> </w:t>
      </w:r>
      <w:r w:rsidR="009A19A8">
        <w:t>thos</w:t>
      </w:r>
      <w:r w:rsidR="00D60231">
        <w:t>e commemorated with</w:t>
      </w:r>
      <w:r w:rsidR="003F357C">
        <w:t xml:space="preserve"> </w:t>
      </w:r>
      <w:r w:rsidR="004D508C" w:rsidRPr="004D508C">
        <w:t>monument</w:t>
      </w:r>
      <w:r w:rsidR="00B3401F">
        <w:t>s</w:t>
      </w:r>
      <w:r w:rsidR="004D508C" w:rsidRPr="004D508C">
        <w:t xml:space="preserve"> </w:t>
      </w:r>
      <w:r w:rsidR="00A1104E">
        <w:t>in</w:t>
      </w:r>
      <w:r w:rsidR="003F357C">
        <w:t xml:space="preserve"> the church of</w:t>
      </w:r>
      <w:r w:rsidR="004D508C" w:rsidRPr="004D508C">
        <w:t xml:space="preserve"> ‘Saint Dunstone in the East’</w:t>
      </w:r>
      <w:r w:rsidR="008C23B7">
        <w:t>,</w:t>
      </w:r>
      <w:r w:rsidR="003F357C">
        <w:t xml:space="preserve"> end</w:t>
      </w:r>
      <w:r w:rsidR="008C23B7">
        <w:t>ing</w:t>
      </w:r>
      <w:r w:rsidR="003F357C">
        <w:t xml:space="preserve"> </w:t>
      </w:r>
      <w:r w:rsidR="009D347B">
        <w:t xml:space="preserve">‘and many other </w:t>
      </w:r>
      <w:proofErr w:type="spellStart"/>
      <w:r w:rsidR="009D347B">
        <w:t>worshipfull</w:t>
      </w:r>
      <w:proofErr w:type="spellEnd"/>
      <w:r w:rsidR="009D347B">
        <w:t xml:space="preserve"> personages besides, whose monuments are altogether defaced’.</w:t>
      </w:r>
      <w:r w:rsidR="009D347B">
        <w:rPr>
          <w:rStyle w:val="FootnoteReference"/>
        </w:rPr>
        <w:footnoteReference w:id="256"/>
      </w:r>
      <w:r w:rsidR="009D347B">
        <w:t xml:space="preserve"> </w:t>
      </w:r>
      <w:r w:rsidR="008C23B7">
        <w:t>Record</w:t>
      </w:r>
      <w:r w:rsidR="009D347B">
        <w:t xml:space="preserve">ing all monuments at </w:t>
      </w:r>
      <w:r w:rsidR="00C80E30" w:rsidRPr="00C80E30">
        <w:lastRenderedPageBreak/>
        <w:t>‘</w:t>
      </w:r>
      <w:proofErr w:type="spellStart"/>
      <w:r w:rsidR="00C80E30" w:rsidRPr="00C80E30">
        <w:t>Alhallowes</w:t>
      </w:r>
      <w:proofErr w:type="spellEnd"/>
      <w:r w:rsidR="00C80E30" w:rsidRPr="00C80E30">
        <w:t xml:space="preserve"> Barking’</w:t>
      </w:r>
      <w:r w:rsidR="00C80E30">
        <w:t>, Stow</w:t>
      </w:r>
      <w:r w:rsidR="00C80E30" w:rsidRPr="00C80E30">
        <w:t xml:space="preserve"> again name</w:t>
      </w:r>
      <w:r w:rsidR="00ED6DFD">
        <w:t>d</w:t>
      </w:r>
      <w:r w:rsidR="00C80E30" w:rsidRPr="00C80E30">
        <w:t xml:space="preserve"> every individual whose tomb </w:t>
      </w:r>
      <w:r w:rsidR="005353CA">
        <w:t>was</w:t>
      </w:r>
      <w:r w:rsidR="00C80E30" w:rsidRPr="00C80E30">
        <w:t xml:space="preserve"> ‘not defaced’</w:t>
      </w:r>
      <w:r w:rsidR="00C80E30">
        <w:t xml:space="preserve">, providing </w:t>
      </w:r>
      <w:r w:rsidR="00C80E30" w:rsidRPr="00C80E30">
        <w:t>their occupation</w:t>
      </w:r>
      <w:r w:rsidR="00C80E30">
        <w:t>s</w:t>
      </w:r>
      <w:r w:rsidR="00C80E30" w:rsidRPr="00C80E30">
        <w:t xml:space="preserve"> and date</w:t>
      </w:r>
      <w:r w:rsidR="00C80E30">
        <w:t>s</w:t>
      </w:r>
      <w:r w:rsidR="00C80E30" w:rsidRPr="00C80E30">
        <w:t xml:space="preserve"> of death</w:t>
      </w:r>
      <w:r w:rsidR="00534DAD">
        <w:t xml:space="preserve"> as well as noting</w:t>
      </w:r>
      <w:r w:rsidR="00C2244B">
        <w:t xml:space="preserve"> </w:t>
      </w:r>
      <w:r w:rsidR="001F37BE">
        <w:t xml:space="preserve">the presence of </w:t>
      </w:r>
      <w:r w:rsidR="00C2244B">
        <w:t xml:space="preserve">many other </w:t>
      </w:r>
      <w:r w:rsidR="001F37BE">
        <w:t>‘</w:t>
      </w:r>
      <w:proofErr w:type="spellStart"/>
      <w:r w:rsidR="001F37BE">
        <w:t>diuers</w:t>
      </w:r>
      <w:proofErr w:type="spellEnd"/>
      <w:r w:rsidR="001F37BE">
        <w:t xml:space="preserve"> </w:t>
      </w:r>
      <w:proofErr w:type="spellStart"/>
      <w:r w:rsidR="001F37BE">
        <w:t>Tombes</w:t>
      </w:r>
      <w:proofErr w:type="spellEnd"/>
      <w:r w:rsidR="001F37BE">
        <w:t xml:space="preserve"> without inscription’.</w:t>
      </w:r>
      <w:r w:rsidR="001F37BE">
        <w:rPr>
          <w:rStyle w:val="FootnoteReference"/>
        </w:rPr>
        <w:footnoteReference w:id="257"/>
      </w:r>
      <w:r w:rsidR="005F02FA">
        <w:t xml:space="preserve"> </w:t>
      </w:r>
      <w:r w:rsidR="00440C05">
        <w:t xml:space="preserve">Philip Schwyzer has demonstrated </w:t>
      </w:r>
      <w:r w:rsidR="00ED6DFD">
        <w:t xml:space="preserve">how, </w:t>
      </w:r>
      <w:r w:rsidR="00440C05">
        <w:t xml:space="preserve">in the wake of the Reformation, creating memorials to (often lost) memorials offered a means of repairing perceived ruptures in cultural memory </w:t>
      </w:r>
      <w:r w:rsidR="008F0CEE">
        <w:t>enacted by iconoclasm and</w:t>
      </w:r>
      <w:r w:rsidR="00117D5F">
        <w:t xml:space="preserve"> immense</w:t>
      </w:r>
      <w:r w:rsidR="008F0CEE">
        <w:t xml:space="preserve"> social upheaval</w:t>
      </w:r>
      <w:r w:rsidR="00440C05">
        <w:t>.</w:t>
      </w:r>
      <w:r w:rsidR="00440C05">
        <w:rPr>
          <w:rStyle w:val="FootnoteReference"/>
        </w:rPr>
        <w:footnoteReference w:id="258"/>
      </w:r>
      <w:r w:rsidR="00440C05">
        <w:t xml:space="preserve"> </w:t>
      </w:r>
      <w:r w:rsidR="00033BFA" w:rsidRPr="00CB48C0">
        <w:t xml:space="preserve">Sherlock has argued </w:t>
      </w:r>
      <w:r w:rsidR="00033BFA">
        <w:t>that f</w:t>
      </w:r>
      <w:r w:rsidR="00CB48C0" w:rsidRPr="00CB48C0">
        <w:t xml:space="preserve">or fellow antiquarian John </w:t>
      </w:r>
      <w:proofErr w:type="spellStart"/>
      <w:r w:rsidR="00CB48C0" w:rsidRPr="00CB48C0">
        <w:t>We</w:t>
      </w:r>
      <w:r w:rsidR="00B13772">
        <w:t>e</w:t>
      </w:r>
      <w:r w:rsidR="00CB48C0" w:rsidRPr="00CB48C0">
        <w:t>ver</w:t>
      </w:r>
      <w:proofErr w:type="spellEnd"/>
      <w:r w:rsidR="00CB48C0" w:rsidRPr="00CB48C0">
        <w:t xml:space="preserve">, iconoclasm was a </w:t>
      </w:r>
      <w:r w:rsidR="00B13772">
        <w:t>‘</w:t>
      </w:r>
      <w:r w:rsidR="00CB48C0" w:rsidRPr="00CB48C0">
        <w:t>practical and not a theological problem</w:t>
      </w:r>
      <w:r w:rsidR="00B13772">
        <w:t>’</w:t>
      </w:r>
      <w:r w:rsidR="00CB48C0" w:rsidRPr="00CB48C0">
        <w:t xml:space="preserve">, </w:t>
      </w:r>
      <w:r w:rsidR="00033BFA">
        <w:t xml:space="preserve">concerned </w:t>
      </w:r>
      <w:r w:rsidR="00977074">
        <w:t>with the des</w:t>
      </w:r>
      <w:r w:rsidR="00E614F1">
        <w:t>truction of</w:t>
      </w:r>
      <w:r w:rsidR="00977074">
        <w:t xml:space="preserve"> the </w:t>
      </w:r>
      <w:r w:rsidR="00600769">
        <w:t xml:space="preserve">past </w:t>
      </w:r>
      <w:r w:rsidR="00CB48C0" w:rsidRPr="00CB48C0">
        <w:t xml:space="preserve">by </w:t>
      </w:r>
      <w:r w:rsidR="00B13772">
        <w:t>‘era</w:t>
      </w:r>
      <w:r w:rsidR="00CB48C0" w:rsidRPr="00CB48C0">
        <w:t>sing word</w:t>
      </w:r>
      <w:r w:rsidR="00B13772">
        <w:t>s’</w:t>
      </w:r>
      <w:r w:rsidR="00E614F1">
        <w:t xml:space="preserve"> rather than </w:t>
      </w:r>
      <w:r w:rsidR="001E122D">
        <w:t>destroying images</w:t>
      </w:r>
      <w:r w:rsidR="00B13772">
        <w:t>.</w:t>
      </w:r>
      <w:r w:rsidR="00B13772">
        <w:rPr>
          <w:rStyle w:val="FootnoteReference"/>
        </w:rPr>
        <w:footnoteReference w:id="259"/>
      </w:r>
      <w:r w:rsidR="00B13772">
        <w:t xml:space="preserve"> </w:t>
      </w:r>
      <w:proofErr w:type="spellStart"/>
      <w:r w:rsidR="000A670C" w:rsidRPr="000A670C">
        <w:t>We</w:t>
      </w:r>
      <w:r w:rsidR="000A670C">
        <w:t>e</w:t>
      </w:r>
      <w:r w:rsidR="000A670C" w:rsidRPr="000A670C">
        <w:t>ver</w:t>
      </w:r>
      <w:proofErr w:type="spellEnd"/>
      <w:r w:rsidR="000A670C" w:rsidRPr="000A670C">
        <w:t xml:space="preserve"> recorded epitaphs extensively and urged others to do the same,</w:t>
      </w:r>
      <w:r w:rsidR="000A670C">
        <w:t xml:space="preserve"> </w:t>
      </w:r>
      <w:r w:rsidR="000A670C" w:rsidRPr="000A670C">
        <w:t>criticis</w:t>
      </w:r>
      <w:r w:rsidR="000A670C">
        <w:t>ing</w:t>
      </w:r>
      <w:r w:rsidR="000A670C" w:rsidRPr="000A670C">
        <w:t xml:space="preserve"> London tomb-makers for carving inscriptions without producing printed copies.</w:t>
      </w:r>
      <w:r w:rsidR="000A670C" w:rsidRPr="000A670C">
        <w:rPr>
          <w:vertAlign w:val="superscript"/>
        </w:rPr>
        <w:footnoteReference w:id="260"/>
      </w:r>
      <w:r w:rsidR="000A670C">
        <w:t xml:space="preserve"> </w:t>
      </w:r>
      <w:r w:rsidR="007779E3">
        <w:t>In a cult</w:t>
      </w:r>
      <w:r w:rsidR="00C8208B" w:rsidRPr="00C8208B">
        <w:t>ure that p</w:t>
      </w:r>
      <w:r w:rsidR="007779E3">
        <w:t>la</w:t>
      </w:r>
      <w:r w:rsidR="00C8208B" w:rsidRPr="00C8208B">
        <w:t>ced so much emphasis on the power of the written word, text formed a key connection to both past and future. In the context of recent destruction, inscriptions were both a threat</w:t>
      </w:r>
      <w:r w:rsidR="00AD77D5">
        <w:t>ened</w:t>
      </w:r>
      <w:r w:rsidR="00C8208B" w:rsidRPr="00C8208B">
        <w:t xml:space="preserve"> art form and a crucial repository of </w:t>
      </w:r>
      <w:proofErr w:type="gramStart"/>
      <w:r w:rsidR="00C8208B" w:rsidRPr="00C8208B">
        <w:t>memory, and</w:t>
      </w:r>
      <w:proofErr w:type="gramEnd"/>
      <w:r w:rsidR="00C8208B" w:rsidRPr="00C8208B">
        <w:t xml:space="preserve"> continued to flourish. Early modern authors on monumental commemoration ascribed primacy to words over images, with heraldry occupying a middle ground between the two</w:t>
      </w:r>
      <w:r w:rsidR="00D2649F">
        <w:t>.</w:t>
      </w:r>
      <w:r w:rsidR="00D2649F">
        <w:rPr>
          <w:rStyle w:val="FootnoteReference"/>
        </w:rPr>
        <w:footnoteReference w:id="261"/>
      </w:r>
      <w:r w:rsidR="00D2649F">
        <w:t xml:space="preserve"> C</w:t>
      </w:r>
      <w:r w:rsidR="00D2649F" w:rsidRPr="00D2649F">
        <w:t>opied into print, the</w:t>
      </w:r>
      <w:r w:rsidR="00D2649F">
        <w:t xml:space="preserve"> potential</w:t>
      </w:r>
      <w:r w:rsidR="00D2649F" w:rsidRPr="00D2649F">
        <w:t xml:space="preserve"> fragility </w:t>
      </w:r>
      <w:r w:rsidR="00D2649F">
        <w:t xml:space="preserve">of inscriptions </w:t>
      </w:r>
      <w:r w:rsidR="00D2649F" w:rsidRPr="00D2649F">
        <w:t>was acknowledged</w:t>
      </w:r>
      <w:r w:rsidR="00D2649F">
        <w:t>,</w:t>
      </w:r>
      <w:r w:rsidR="00D2649F" w:rsidRPr="00D2649F">
        <w:t xml:space="preserve"> but their value ultimately reinforced</w:t>
      </w:r>
      <w:r w:rsidR="00D2649F">
        <w:t>.</w:t>
      </w:r>
    </w:p>
    <w:p w14:paraId="6B0B283A" w14:textId="77777777" w:rsidR="00CE5B30" w:rsidRPr="00CE5B30" w:rsidRDefault="00CE5B30" w:rsidP="00CE5B30">
      <w:pPr>
        <w:spacing w:after="0" w:line="480" w:lineRule="auto"/>
        <w:ind w:firstLine="720"/>
        <w:jc w:val="both"/>
      </w:pPr>
      <w:r w:rsidRPr="00CE5B30">
        <w:t xml:space="preserve">Among Stow’s central concerns was the preservation of civic histories, keen to record individuals responsible for funding and commissioning the London he described. In doing so, inscriptions provided direct bridges to the past and – even where unable to access them – Stow’s writing hinged on their existence. Describing the ‘Bridges of the </w:t>
      </w:r>
      <w:proofErr w:type="spellStart"/>
      <w:r w:rsidRPr="00CE5B30">
        <w:t>citie</w:t>
      </w:r>
      <w:proofErr w:type="spellEnd"/>
      <w:r w:rsidRPr="00CE5B30">
        <w:t>’, he wrote</w:t>
      </w:r>
    </w:p>
    <w:p w14:paraId="26132A24" w14:textId="77777777" w:rsidR="00CE5B30" w:rsidRPr="00CE5B30" w:rsidRDefault="00CE5B30" w:rsidP="00095670">
      <w:pPr>
        <w:spacing w:after="0" w:line="480" w:lineRule="auto"/>
        <w:ind w:left="720" w:right="720"/>
        <w:jc w:val="both"/>
      </w:pPr>
      <w:r w:rsidRPr="00CE5B30">
        <w:lastRenderedPageBreak/>
        <w:t xml:space="preserve">‘many charitable men gave lands, tenements, or </w:t>
      </w:r>
      <w:proofErr w:type="spellStart"/>
      <w:r w:rsidRPr="00CE5B30">
        <w:t>summes</w:t>
      </w:r>
      <w:proofErr w:type="spellEnd"/>
      <w:r w:rsidRPr="00CE5B30">
        <w:t xml:space="preserve"> of money towards maintenance thereof, all which was sometimes noted, and in a table fayre written for posterity, </w:t>
      </w:r>
      <w:proofErr w:type="spellStart"/>
      <w:r w:rsidRPr="00CE5B30">
        <w:t>remayning</w:t>
      </w:r>
      <w:proofErr w:type="spellEnd"/>
      <w:r w:rsidRPr="00CE5B30">
        <w:t xml:space="preserve"> in the Chapple, </w:t>
      </w:r>
      <w:proofErr w:type="spellStart"/>
      <w:r w:rsidRPr="00CE5B30">
        <w:t>til</w:t>
      </w:r>
      <w:proofErr w:type="spellEnd"/>
      <w:r w:rsidRPr="00CE5B30">
        <w:t xml:space="preserve"> the same Chapple was turned to a dwelling house, and then </w:t>
      </w:r>
      <w:proofErr w:type="spellStart"/>
      <w:r w:rsidRPr="00CE5B30">
        <w:t>remoued</w:t>
      </w:r>
      <w:proofErr w:type="spellEnd"/>
      <w:r w:rsidRPr="00CE5B30">
        <w:t xml:space="preserve"> to the Bridge house: the effect of which Table I was willing to </w:t>
      </w:r>
      <w:proofErr w:type="spellStart"/>
      <w:r w:rsidRPr="00CE5B30">
        <w:t>haue</w:t>
      </w:r>
      <w:proofErr w:type="spellEnd"/>
      <w:r w:rsidRPr="00CE5B30">
        <w:t xml:space="preserve"> published in this </w:t>
      </w:r>
      <w:proofErr w:type="spellStart"/>
      <w:r w:rsidRPr="00CE5B30">
        <w:t>booke</w:t>
      </w:r>
      <w:proofErr w:type="spellEnd"/>
      <w:r w:rsidRPr="00CE5B30">
        <w:t xml:space="preserve">, if I could </w:t>
      </w:r>
      <w:proofErr w:type="spellStart"/>
      <w:r w:rsidRPr="00CE5B30">
        <w:t>haue</w:t>
      </w:r>
      <w:proofErr w:type="spellEnd"/>
      <w:r w:rsidRPr="00CE5B30">
        <w:t xml:space="preserve"> obtained the sight thereof’.</w:t>
      </w:r>
      <w:r w:rsidRPr="00CE5B30">
        <w:rPr>
          <w:vertAlign w:val="superscript"/>
        </w:rPr>
        <w:footnoteReference w:id="262"/>
      </w:r>
    </w:p>
    <w:p w14:paraId="48445E4D" w14:textId="642C756F" w:rsidR="00CE5B30" w:rsidRPr="00CE5B30" w:rsidRDefault="00CE5B30" w:rsidP="00095670">
      <w:pPr>
        <w:spacing w:after="0" w:line="480" w:lineRule="auto"/>
        <w:jc w:val="both"/>
      </w:pPr>
      <w:r w:rsidRPr="00CE5B30">
        <w:t>Barrett Beer has emphasised the extent to which Stow’s civic background influenced his outlook and played out in his work.</w:t>
      </w:r>
      <w:r w:rsidRPr="00CE5B30">
        <w:rPr>
          <w:vertAlign w:val="superscript"/>
        </w:rPr>
        <w:footnoteReference w:id="263"/>
      </w:r>
      <w:r w:rsidRPr="00CE5B30">
        <w:t xml:space="preserve"> Inscriptions played a key role in</w:t>
      </w:r>
      <w:r w:rsidR="00B7036D">
        <w:t xml:space="preserve"> the</w:t>
      </w:r>
      <w:r w:rsidRPr="00CE5B30">
        <w:t xml:space="preserve"> guild settings</w:t>
      </w:r>
      <w:r w:rsidR="00B7036D">
        <w:t xml:space="preserve"> Stow was familiar with:</w:t>
      </w:r>
      <w:r w:rsidRPr="00CE5B30">
        <w:t xml:space="preserve"> Jasmine Kilburn-Topping has highlighted the significance of inscribed goods in guild rituals, with engraved donations like gilt cups and plate commemorating individual guild members.</w:t>
      </w:r>
      <w:r w:rsidRPr="00CE5B30">
        <w:rPr>
          <w:vertAlign w:val="superscript"/>
        </w:rPr>
        <w:footnoteReference w:id="264"/>
      </w:r>
      <w:r w:rsidRPr="00CE5B30">
        <w:t xml:space="preserve"> As well as </w:t>
      </w:r>
      <w:r w:rsidR="00A8476D">
        <w:t xml:space="preserve">memorialising </w:t>
      </w:r>
      <w:r w:rsidR="00A17DEF">
        <w:t xml:space="preserve">specific </w:t>
      </w:r>
      <w:r w:rsidR="00A8476D">
        <w:t>individual</w:t>
      </w:r>
      <w:r w:rsidR="00F46D94">
        <w:t>s</w:t>
      </w:r>
      <w:r w:rsidR="000E06FB">
        <w:t xml:space="preserve"> and evoking power</w:t>
      </w:r>
      <w:r w:rsidRPr="00CE5B30">
        <w:t xml:space="preserve">, inscribed goods </w:t>
      </w:r>
      <w:r w:rsidR="00A17DEF">
        <w:t>gave material form to the</w:t>
      </w:r>
      <w:r w:rsidR="00F46D94">
        <w:t xml:space="preserve"> concept of the </w:t>
      </w:r>
      <w:r w:rsidR="00A17DEF">
        <w:t>guild</w:t>
      </w:r>
      <w:r w:rsidR="0081645D">
        <w:t>,</w:t>
      </w:r>
      <w:r w:rsidR="0059753F">
        <w:t xml:space="preserve"> </w:t>
      </w:r>
      <w:r w:rsidRPr="00CE5B30">
        <w:t>engender</w:t>
      </w:r>
      <w:r w:rsidR="0081645D">
        <w:t>ing</w:t>
      </w:r>
      <w:r w:rsidRPr="00CE5B30">
        <w:t xml:space="preserve"> a symbolic community of guildsmen </w:t>
      </w:r>
      <w:r w:rsidR="00C43058">
        <w:t xml:space="preserve">that </w:t>
      </w:r>
      <w:r w:rsidRPr="00CE5B30">
        <w:t>extend</w:t>
      </w:r>
      <w:r w:rsidR="00C43058">
        <w:t>ed into the past</w:t>
      </w:r>
      <w:r w:rsidRPr="00CE5B30">
        <w:t>.</w:t>
      </w:r>
      <w:r w:rsidRPr="00CE5B30">
        <w:rPr>
          <w:vertAlign w:val="superscript"/>
        </w:rPr>
        <w:footnoteReference w:id="265"/>
      </w:r>
      <w:r w:rsidRPr="00CE5B30">
        <w:t xml:space="preserve"> For Stow, inscriptions underlined the importance of guilds in the fashioning of London</w:t>
      </w:r>
      <w:r w:rsidR="00C43058">
        <w:t xml:space="preserve"> and allowed him to </w:t>
      </w:r>
      <w:r w:rsidR="00D44FED">
        <w:t>generate and celebrate a</w:t>
      </w:r>
      <w:r w:rsidRPr="00CE5B30">
        <w:t xml:space="preserve"> </w:t>
      </w:r>
      <w:r w:rsidR="00D44FED">
        <w:t>network</w:t>
      </w:r>
      <w:r w:rsidRPr="00CE5B30">
        <w:t xml:space="preserve"> of virtuous donors, office holders and statesmen, bolstering the conceptual London produced in his work.</w:t>
      </w:r>
    </w:p>
    <w:p w14:paraId="01E284CC" w14:textId="77777777" w:rsidR="006A0B2C" w:rsidRPr="006A0B2C" w:rsidRDefault="006A0B2C" w:rsidP="006A0B2C">
      <w:pPr>
        <w:spacing w:after="0" w:line="480" w:lineRule="auto"/>
        <w:ind w:firstLine="720"/>
        <w:jc w:val="both"/>
      </w:pPr>
      <w:r w:rsidRPr="006A0B2C">
        <w:t xml:space="preserve">Stow made it clear that in preserving inscriptions he sought to communicate directly with officeholders. His ‘Epistle </w:t>
      </w:r>
      <w:proofErr w:type="spellStart"/>
      <w:r w:rsidRPr="006A0B2C">
        <w:t>Dedicatorie</w:t>
      </w:r>
      <w:proofErr w:type="spellEnd"/>
      <w:r w:rsidRPr="006A0B2C">
        <w:t xml:space="preserve"> (to the Lord Mayor and Aldermen)’ – which prefaced the 1604 edition of the </w:t>
      </w:r>
      <w:r w:rsidRPr="006A0B2C">
        <w:rPr>
          <w:i/>
          <w:iCs/>
        </w:rPr>
        <w:t>Survey</w:t>
      </w:r>
      <w:r w:rsidRPr="006A0B2C">
        <w:t xml:space="preserve"> – explained how he included ‘examples of men </w:t>
      </w:r>
      <w:proofErr w:type="spellStart"/>
      <w:r w:rsidRPr="006A0B2C">
        <w:t>deseruing</w:t>
      </w:r>
      <w:proofErr w:type="spellEnd"/>
      <w:r w:rsidRPr="006A0B2C">
        <w:t xml:space="preserve"> </w:t>
      </w:r>
      <w:proofErr w:type="spellStart"/>
      <w:r w:rsidRPr="006A0B2C">
        <w:t>immortalitie</w:t>
      </w:r>
      <w:proofErr w:type="spellEnd"/>
      <w:r w:rsidRPr="006A0B2C">
        <w:t xml:space="preserve"> … of virtuous </w:t>
      </w:r>
      <w:proofErr w:type="spellStart"/>
      <w:r w:rsidRPr="006A0B2C">
        <w:t>liuing</w:t>
      </w:r>
      <w:proofErr w:type="spellEnd"/>
      <w:r w:rsidRPr="006A0B2C">
        <w:t xml:space="preserve"> … diligently to be marked, and aptly to </w:t>
      </w:r>
      <w:proofErr w:type="spellStart"/>
      <w:r w:rsidRPr="006A0B2C">
        <w:t>bee</w:t>
      </w:r>
      <w:proofErr w:type="spellEnd"/>
      <w:r w:rsidRPr="006A0B2C">
        <w:t xml:space="preserve"> </w:t>
      </w:r>
      <w:r w:rsidRPr="006A0B2C">
        <w:lastRenderedPageBreak/>
        <w:t>applied’.</w:t>
      </w:r>
      <w:r w:rsidRPr="006A0B2C">
        <w:rPr>
          <w:vertAlign w:val="superscript"/>
        </w:rPr>
        <w:footnoteReference w:id="266"/>
      </w:r>
      <w:r w:rsidRPr="006A0B2C">
        <w:t xml:space="preserve"> The inscriptions and commemorations he documented were intended as a ‘</w:t>
      </w:r>
      <w:proofErr w:type="spellStart"/>
      <w:r w:rsidRPr="006A0B2C">
        <w:t>perswasion</w:t>
      </w:r>
      <w:proofErr w:type="spellEnd"/>
      <w:r w:rsidRPr="006A0B2C">
        <w:t xml:space="preserve"> to </w:t>
      </w:r>
      <w:proofErr w:type="spellStart"/>
      <w:r w:rsidRPr="006A0B2C">
        <w:t>honestie</w:t>
      </w:r>
      <w:proofErr w:type="spellEnd"/>
      <w:r w:rsidRPr="006A0B2C">
        <w:t xml:space="preserve">, </w:t>
      </w:r>
      <w:proofErr w:type="spellStart"/>
      <w:r w:rsidRPr="006A0B2C">
        <w:t>godlinesse</w:t>
      </w:r>
      <w:proofErr w:type="spellEnd"/>
      <w:r w:rsidRPr="006A0B2C">
        <w:t xml:space="preserve"> &amp; virtue of all sorts’, allowing readers to absorb ‘some colour of </w:t>
      </w:r>
      <w:proofErr w:type="spellStart"/>
      <w:r w:rsidRPr="006A0B2C">
        <w:t>wisdome</w:t>
      </w:r>
      <w:proofErr w:type="spellEnd"/>
      <w:r w:rsidRPr="006A0B2C">
        <w:t xml:space="preserve">, </w:t>
      </w:r>
      <w:proofErr w:type="spellStart"/>
      <w:r w:rsidRPr="006A0B2C">
        <w:t>inuitements</w:t>
      </w:r>
      <w:proofErr w:type="spellEnd"/>
      <w:r w:rsidRPr="006A0B2C">
        <w:t xml:space="preserve"> to virtue’ and a ‘loathing of </w:t>
      </w:r>
      <w:proofErr w:type="spellStart"/>
      <w:r w:rsidRPr="006A0B2C">
        <w:t>naughtie</w:t>
      </w:r>
      <w:proofErr w:type="spellEnd"/>
      <w:r w:rsidRPr="006A0B2C">
        <w:t xml:space="preserve"> </w:t>
      </w:r>
      <w:proofErr w:type="spellStart"/>
      <w:r w:rsidRPr="006A0B2C">
        <w:t>factes</w:t>
      </w:r>
      <w:proofErr w:type="spellEnd"/>
      <w:r w:rsidRPr="006A0B2C">
        <w:t>’.</w:t>
      </w:r>
      <w:r w:rsidRPr="006A0B2C">
        <w:rPr>
          <w:vertAlign w:val="superscript"/>
        </w:rPr>
        <w:footnoteReference w:id="267"/>
      </w:r>
      <w:r w:rsidRPr="006A0B2C">
        <w:t xml:space="preserve"> For Stow and many of his contemporaries, inscriptions commemorating the past had key functions in the present. Writing in 1618, poet Richard Brathwaite argued that owing to ‘</w:t>
      </w:r>
      <w:proofErr w:type="spellStart"/>
      <w:r w:rsidRPr="006A0B2C">
        <w:t>morall</w:t>
      </w:r>
      <w:proofErr w:type="spellEnd"/>
      <w:r w:rsidRPr="006A0B2C">
        <w:t xml:space="preserve"> Epitaphs … some </w:t>
      </w:r>
      <w:proofErr w:type="spellStart"/>
      <w:r w:rsidRPr="006A0B2C">
        <w:t>haue</w:t>
      </w:r>
      <w:proofErr w:type="spellEnd"/>
      <w:r w:rsidRPr="006A0B2C">
        <w:t xml:space="preserve"> been </w:t>
      </w:r>
      <w:proofErr w:type="spellStart"/>
      <w:r w:rsidRPr="006A0B2C">
        <w:t>moued</w:t>
      </w:r>
      <w:proofErr w:type="spellEnd"/>
      <w:r w:rsidRPr="006A0B2C">
        <w:t xml:space="preserve"> to imitate their memorable </w:t>
      </w:r>
      <w:proofErr w:type="spellStart"/>
      <w:r w:rsidRPr="006A0B2C">
        <w:t>liues</w:t>
      </w:r>
      <w:proofErr w:type="spellEnd"/>
      <w:r w:rsidRPr="006A0B2C">
        <w:t xml:space="preserve"> in actions and attempts of like nature’.</w:t>
      </w:r>
      <w:r w:rsidRPr="006A0B2C">
        <w:rPr>
          <w:vertAlign w:val="superscript"/>
        </w:rPr>
        <w:footnoteReference w:id="268"/>
      </w:r>
      <w:r w:rsidRPr="006A0B2C">
        <w:t xml:space="preserve"> The example of ancient Rome loomed large in the minds of early modern authors, and contemporary social, political and intellectual thought was consistently influenced by Roman precepts.</w:t>
      </w:r>
      <w:r w:rsidRPr="006A0B2C">
        <w:rPr>
          <w:vertAlign w:val="superscript"/>
        </w:rPr>
        <w:footnoteReference w:id="269"/>
      </w:r>
      <w:r w:rsidRPr="006A0B2C">
        <w:t xml:space="preserve"> Reproducing inscriptions made to the ‘</w:t>
      </w:r>
      <w:proofErr w:type="spellStart"/>
      <w:r w:rsidRPr="006A0B2C">
        <w:t>foure</w:t>
      </w:r>
      <w:proofErr w:type="spellEnd"/>
      <w:r w:rsidRPr="006A0B2C">
        <w:t xml:space="preserve"> ancient families in Rome’, Brathwaite stated that ‘By these memorable Impresses, were their successors ennobled, and to their imitation more ardently excited’.</w:t>
      </w:r>
      <w:r w:rsidRPr="006A0B2C">
        <w:rPr>
          <w:vertAlign w:val="superscript"/>
        </w:rPr>
        <w:footnoteReference w:id="270"/>
      </w:r>
      <w:r w:rsidRPr="006A0B2C">
        <w:t xml:space="preserve"> Brathwaite cited the role of Roman inscriptions in encouraging noble actions across multiple generations, perpetuating the honour and integrity his contemporaries coveted. In praising the social value of inscriptions – and in Stow’s case, in transcribing and disseminating them – Brathwaite and Stow positioned inscription as a tool for improving society and its leaders.</w:t>
      </w:r>
    </w:p>
    <w:p w14:paraId="6A0D2AE6" w14:textId="33C0CCFF" w:rsidR="006A0B2C" w:rsidRPr="006A0B2C" w:rsidRDefault="006A0B2C" w:rsidP="006A0B2C">
      <w:pPr>
        <w:spacing w:after="0" w:line="480" w:lineRule="auto"/>
        <w:ind w:firstLine="720"/>
        <w:jc w:val="both"/>
      </w:pPr>
      <w:r w:rsidRPr="006A0B2C">
        <w:t>Camden used inscriptions in a parallel manner. Describing Roman roads constructed across Britain</w:t>
      </w:r>
      <w:r w:rsidRPr="006A0B2C">
        <w:rPr>
          <w:i/>
          <w:iCs/>
        </w:rPr>
        <w:t xml:space="preserve">, </w:t>
      </w:r>
      <w:r w:rsidRPr="006A0B2C">
        <w:t>he argued that they were key for exercising ‘</w:t>
      </w:r>
      <w:proofErr w:type="spellStart"/>
      <w:r w:rsidRPr="006A0B2C">
        <w:t>souldiers</w:t>
      </w:r>
      <w:proofErr w:type="spellEnd"/>
      <w:r w:rsidRPr="006A0B2C">
        <w:t>, and the common multitude, lest being idle, they should grow factious’.</w:t>
      </w:r>
      <w:r w:rsidRPr="006A0B2C">
        <w:rPr>
          <w:vertAlign w:val="superscript"/>
        </w:rPr>
        <w:footnoteReference w:id="271"/>
      </w:r>
      <w:r w:rsidRPr="006A0B2C">
        <w:t xml:space="preserve"> Camden styled the roads as a tool for moral betterment, with inscription playing a key role: the ‘high </w:t>
      </w:r>
      <w:proofErr w:type="spellStart"/>
      <w:r w:rsidRPr="006A0B2C">
        <w:t>waies</w:t>
      </w:r>
      <w:proofErr w:type="spellEnd"/>
      <w:r w:rsidRPr="006A0B2C">
        <w:t xml:space="preserve">’ were punctuated by </w:t>
      </w:r>
      <w:r w:rsidRPr="006A0B2C">
        <w:lastRenderedPageBreak/>
        <w:t xml:space="preserve">pillars carved with way-marks and ‘Caesars name’, and were shouldered by ‘Tombs and </w:t>
      </w:r>
      <w:proofErr w:type="spellStart"/>
      <w:r w:rsidRPr="006A0B2C">
        <w:t>Sepulchers</w:t>
      </w:r>
      <w:proofErr w:type="spellEnd"/>
      <w:r w:rsidRPr="006A0B2C">
        <w:t xml:space="preserve">, with Inscriptions graved upon them in </w:t>
      </w:r>
      <w:proofErr w:type="spellStart"/>
      <w:r w:rsidRPr="006A0B2C">
        <w:t>memoriall</w:t>
      </w:r>
      <w:proofErr w:type="spellEnd"/>
      <w:r w:rsidRPr="006A0B2C">
        <w:t xml:space="preserve"> of brave and noble men, that the passengers by, might be put in mind, that as those sometimes were </w:t>
      </w:r>
      <w:proofErr w:type="spellStart"/>
      <w:r w:rsidRPr="006A0B2C">
        <w:t>mortall</w:t>
      </w:r>
      <w:proofErr w:type="spellEnd"/>
      <w:r w:rsidRPr="006A0B2C">
        <w:t xml:space="preserve"> men, so themselves are now’.</w:t>
      </w:r>
      <w:r w:rsidRPr="006A0B2C">
        <w:rPr>
          <w:vertAlign w:val="superscript"/>
        </w:rPr>
        <w:footnoteReference w:id="272"/>
      </w:r>
      <w:r w:rsidRPr="006A0B2C">
        <w:t xml:space="preserve"> While functioning as a reminder of mortality, once again inscriptions were framed as stimuli to action, highlighting that the ‘brave and noble’ accolades commemorated among the dead </w:t>
      </w:r>
      <w:r w:rsidR="008A6EA3">
        <w:t>ought to</w:t>
      </w:r>
      <w:r w:rsidRPr="006A0B2C">
        <w:t xml:space="preserve"> be emulated by the living. The inscribed highways Camden described mirrored the triumphal arches constructed along the processional routes taken by Stuart monarchs James I and VI and Charles II at their coronations, when entering London. Christine Stevenson has emphasised how the Restoration arches were heavily influenced by Roman prototypes.</w:t>
      </w:r>
      <w:r w:rsidRPr="006A0B2C">
        <w:rPr>
          <w:vertAlign w:val="superscript"/>
        </w:rPr>
        <w:footnoteReference w:id="273"/>
      </w:r>
      <w:r w:rsidRPr="006A0B2C">
        <w:t xml:space="preserve"> Alongside speeches, poems and lyrics, inscriptions upon them encouraged virtuous conduct from the king himself, using </w:t>
      </w:r>
      <w:proofErr w:type="spellStart"/>
      <w:r w:rsidRPr="006A0B2C">
        <w:rPr>
          <w:i/>
          <w:iCs/>
        </w:rPr>
        <w:t>laudando</w:t>
      </w:r>
      <w:proofErr w:type="spellEnd"/>
      <w:r w:rsidRPr="006A0B2C">
        <w:rPr>
          <w:i/>
          <w:iCs/>
        </w:rPr>
        <w:t xml:space="preserve"> </w:t>
      </w:r>
      <w:proofErr w:type="spellStart"/>
      <w:r w:rsidRPr="006A0B2C">
        <w:rPr>
          <w:i/>
          <w:iCs/>
        </w:rPr>
        <w:t>praecipere</w:t>
      </w:r>
      <w:proofErr w:type="spellEnd"/>
      <w:r w:rsidRPr="006A0B2C">
        <w:rPr>
          <w:i/>
          <w:iCs/>
        </w:rPr>
        <w:t xml:space="preserve"> </w:t>
      </w:r>
      <w:r w:rsidRPr="006A0B2C">
        <w:t>(‘exhorting while celebrating’) to praise Charles while counselling him to adopt appropriate policies and maintain civil peace.</w:t>
      </w:r>
      <w:r w:rsidRPr="006A0B2C">
        <w:rPr>
          <w:vertAlign w:val="superscript"/>
        </w:rPr>
        <w:footnoteReference w:id="274"/>
      </w:r>
      <w:r w:rsidRPr="006A0B2C">
        <w:t xml:space="preserve"> Key to Camden’s discussions of the past were understandings of inscriptions in the present. Rather than passive backdrops, they were perceived as active participants in society, fixing acts and deeds in stone and bequeathing them to contemporaries and future generations to emulate.</w:t>
      </w:r>
    </w:p>
    <w:p w14:paraId="16339A84" w14:textId="39A9E84D" w:rsidR="006A0B2C" w:rsidRPr="006A0B2C" w:rsidRDefault="006A0B2C" w:rsidP="006A0B2C">
      <w:pPr>
        <w:spacing w:after="0" w:line="480" w:lineRule="auto"/>
        <w:ind w:firstLine="720"/>
        <w:jc w:val="both"/>
      </w:pPr>
      <w:r w:rsidRPr="006A0B2C">
        <w:t xml:space="preserve">Inscriptions upon buildings were widely understood both as a means of memorialisation and of influencing conduct within inscribed spaces. A 1641 petition levelled against controversial and divisive figure Bishop Richard Montagu used textual inscription as a metaphor in calling for the restoration of parliamentary unity. The ministers responsible for the petition sought to reconcile the higher and lower houses with one </w:t>
      </w:r>
      <w:r w:rsidR="008A6EA3">
        <w:t>an</w:t>
      </w:r>
      <w:r w:rsidRPr="006A0B2C">
        <w:t xml:space="preserve">other and with the </w:t>
      </w:r>
      <w:r w:rsidRPr="006A0B2C">
        <w:lastRenderedPageBreak/>
        <w:t xml:space="preserve">king, so that ‘matters now much </w:t>
      </w:r>
      <w:proofErr w:type="spellStart"/>
      <w:r w:rsidRPr="006A0B2C">
        <w:t>amisse</w:t>
      </w:r>
      <w:proofErr w:type="spellEnd"/>
      <w:r w:rsidRPr="006A0B2C">
        <w:t xml:space="preserve"> in Church and Common-wealth may </w:t>
      </w:r>
      <w:proofErr w:type="spellStart"/>
      <w:r w:rsidRPr="006A0B2C">
        <w:t>bee</w:t>
      </w:r>
      <w:proofErr w:type="spellEnd"/>
      <w:r w:rsidRPr="006A0B2C">
        <w:t xml:space="preserve"> so Reformed’.</w:t>
      </w:r>
      <w:r w:rsidRPr="006A0B2C">
        <w:rPr>
          <w:vertAlign w:val="superscript"/>
        </w:rPr>
        <w:footnoteReference w:id="275"/>
      </w:r>
      <w:r w:rsidRPr="006A0B2C">
        <w:t xml:space="preserve"> If this was achieved, the writers proclaimed that ‘this YEERE may be accompted Annus Aureus, and … may </w:t>
      </w:r>
      <w:proofErr w:type="spellStart"/>
      <w:r w:rsidRPr="006A0B2C">
        <w:t>bee</w:t>
      </w:r>
      <w:proofErr w:type="spellEnd"/>
      <w:r w:rsidRPr="006A0B2C">
        <w:t xml:space="preserve"> Inscribed and </w:t>
      </w:r>
      <w:proofErr w:type="spellStart"/>
      <w:r w:rsidRPr="006A0B2C">
        <w:t>engraven</w:t>
      </w:r>
      <w:proofErr w:type="spellEnd"/>
      <w:r w:rsidRPr="006A0B2C">
        <w:t xml:space="preserve"> in Marble affixed to the House, in Letters of Gold, SACRED TO MEMORIE AND TO POSTERITIE, THE (LONG EXPECTED) HAPPIE PARLAMENT’.</w:t>
      </w:r>
      <w:r w:rsidRPr="006A0B2C">
        <w:rPr>
          <w:vertAlign w:val="superscript"/>
        </w:rPr>
        <w:footnoteReference w:id="276"/>
      </w:r>
      <w:r w:rsidRPr="006A0B2C">
        <w:t xml:space="preserve"> The petition framed commemorative inscription as a collective future goal. </w:t>
      </w:r>
      <w:proofErr w:type="gramStart"/>
      <w:r w:rsidRPr="006A0B2C">
        <w:t>Making allusions</w:t>
      </w:r>
      <w:proofErr w:type="gramEnd"/>
      <w:r w:rsidRPr="006A0B2C">
        <w:t xml:space="preserve"> to marble and gold, it evoked the grandiose monuments seen in contemporary churches that dominated elite architectural remembrance cultures.</w:t>
      </w:r>
      <w:r w:rsidRPr="006A0B2C">
        <w:rPr>
          <w:vertAlign w:val="superscript"/>
        </w:rPr>
        <w:footnoteReference w:id="277"/>
      </w:r>
      <w:r w:rsidRPr="006A0B2C">
        <w:t xml:space="preserve"> Unity once achieved and inscription made, the words would speak in parliament for years to come, attempting to secure continuing parliamentary peace.</w:t>
      </w:r>
    </w:p>
    <w:p w14:paraId="54BB8614" w14:textId="508C122B" w:rsidR="006A0B2C" w:rsidRDefault="006A0B2C" w:rsidP="006A0B2C">
      <w:pPr>
        <w:spacing w:after="0" w:line="480" w:lineRule="auto"/>
        <w:ind w:firstLine="720"/>
        <w:jc w:val="both"/>
        <w:rPr>
          <w:iCs/>
        </w:rPr>
      </w:pPr>
      <w:r w:rsidRPr="006A0B2C">
        <w:t xml:space="preserve">A similar image appeared in pamphleteer William Prynne’s </w:t>
      </w:r>
      <w:r w:rsidRPr="006A0B2C">
        <w:rPr>
          <w:i/>
        </w:rPr>
        <w:t xml:space="preserve">A Counterplea to the Cowards </w:t>
      </w:r>
      <w:proofErr w:type="spellStart"/>
      <w:r w:rsidRPr="006A0B2C">
        <w:rPr>
          <w:i/>
        </w:rPr>
        <w:t>Apologie</w:t>
      </w:r>
      <w:proofErr w:type="spellEnd"/>
      <w:r w:rsidRPr="006A0B2C">
        <w:rPr>
          <w:i/>
        </w:rPr>
        <w:t xml:space="preserve"> </w:t>
      </w:r>
      <w:r w:rsidRPr="006A0B2C">
        <w:rPr>
          <w:iCs/>
        </w:rPr>
        <w:t xml:space="preserve">(1647). Also concerned with behaviour in parliament, Prynne praised a call made in the House of Commons centuries earlier, stating that the entreaty for unimpeded decision-making was ‘worthy to be </w:t>
      </w:r>
      <w:proofErr w:type="spellStart"/>
      <w:r w:rsidRPr="006A0B2C">
        <w:rPr>
          <w:iCs/>
        </w:rPr>
        <w:t>engraven</w:t>
      </w:r>
      <w:proofErr w:type="spellEnd"/>
      <w:r w:rsidRPr="006A0B2C">
        <w:rPr>
          <w:iCs/>
        </w:rPr>
        <w:t xml:space="preserve"> on the walls of both Houses in Letters of Gold’.</w:t>
      </w:r>
      <w:r w:rsidRPr="006A0B2C">
        <w:rPr>
          <w:iCs/>
          <w:vertAlign w:val="superscript"/>
        </w:rPr>
        <w:footnoteReference w:id="278"/>
      </w:r>
      <w:r w:rsidRPr="006A0B2C">
        <w:rPr>
          <w:iCs/>
        </w:rPr>
        <w:t xml:space="preserve"> Both the </w:t>
      </w:r>
      <w:proofErr w:type="spellStart"/>
      <w:r w:rsidRPr="006A0B2C">
        <w:rPr>
          <w:i/>
        </w:rPr>
        <w:t>Appeale</w:t>
      </w:r>
      <w:proofErr w:type="spellEnd"/>
      <w:r w:rsidRPr="006A0B2C">
        <w:rPr>
          <w:i/>
        </w:rPr>
        <w:t xml:space="preserve"> </w:t>
      </w:r>
      <w:r w:rsidRPr="006A0B2C">
        <w:rPr>
          <w:iCs/>
        </w:rPr>
        <w:t xml:space="preserve">and the </w:t>
      </w:r>
      <w:r w:rsidRPr="006A0B2C">
        <w:rPr>
          <w:i/>
        </w:rPr>
        <w:t xml:space="preserve">Counterplea </w:t>
      </w:r>
      <w:r w:rsidRPr="006A0B2C">
        <w:rPr>
          <w:iCs/>
        </w:rPr>
        <w:t xml:space="preserve">deployed mural inscriptions as figurative </w:t>
      </w:r>
      <w:proofErr w:type="spellStart"/>
      <w:r w:rsidRPr="006A0B2C">
        <w:rPr>
          <w:iCs/>
        </w:rPr>
        <w:t>memorialisations</w:t>
      </w:r>
      <w:proofErr w:type="spellEnd"/>
      <w:r w:rsidRPr="006A0B2C">
        <w:rPr>
          <w:iCs/>
        </w:rPr>
        <w:t>, showing them acting like many early modern memorials – as Sherlock has shown – with ‘an intention to change the present and secure a better future’, influencing current events.</w:t>
      </w:r>
      <w:r w:rsidRPr="006A0B2C">
        <w:rPr>
          <w:iCs/>
          <w:vertAlign w:val="superscript"/>
        </w:rPr>
        <w:footnoteReference w:id="279"/>
      </w:r>
      <w:r w:rsidRPr="006A0B2C">
        <w:rPr>
          <w:iCs/>
        </w:rPr>
        <w:t xml:space="preserve"> Texts inscribed upon walls were understood by contemporaries as actively involved in social interaction, shaping conduct within and beyond their vicinity. A sermon </w:t>
      </w:r>
      <w:r w:rsidRPr="006A0B2C">
        <w:rPr>
          <w:iCs/>
        </w:rPr>
        <w:lastRenderedPageBreak/>
        <w:t>made in 1644 by Protestant minister Henry Wilkinson explicitly stated the connection between inscribed spaces, virtuous conduct and the body – echoing the pronouncements of other religious authorities discussed in the previous section of this chapter.</w:t>
      </w:r>
      <w:r w:rsidR="006F689C">
        <w:rPr>
          <w:rStyle w:val="FootnoteReference"/>
          <w:iCs/>
        </w:rPr>
        <w:footnoteReference w:id="280"/>
      </w:r>
      <w:r w:rsidRPr="006A0B2C">
        <w:rPr>
          <w:iCs/>
        </w:rPr>
        <w:t xml:space="preserve"> Wilkinson offered an extensive quote in Latin, calling for all members of parliament to rid themselves of anger, hatred, friendship and flattery upon entry</w:t>
      </w:r>
      <w:r w:rsidR="00C40885">
        <w:rPr>
          <w:iCs/>
        </w:rPr>
        <w:t>, remaining level-headed and just</w:t>
      </w:r>
      <w:r w:rsidRPr="006A0B2C">
        <w:rPr>
          <w:iCs/>
        </w:rPr>
        <w:t xml:space="preserve">. He formulated the principles he listed as ‘an inscription not so fit to </w:t>
      </w:r>
      <w:proofErr w:type="spellStart"/>
      <w:r w:rsidRPr="006A0B2C">
        <w:rPr>
          <w:iCs/>
        </w:rPr>
        <w:t>bee</w:t>
      </w:r>
      <w:proofErr w:type="spellEnd"/>
      <w:r w:rsidRPr="006A0B2C">
        <w:rPr>
          <w:iCs/>
        </w:rPr>
        <w:t xml:space="preserve"> written on a Parliament house </w:t>
      </w:r>
      <w:proofErr w:type="spellStart"/>
      <w:r w:rsidRPr="006A0B2C">
        <w:rPr>
          <w:iCs/>
        </w:rPr>
        <w:t>doore</w:t>
      </w:r>
      <w:proofErr w:type="spellEnd"/>
      <w:r w:rsidRPr="006A0B2C">
        <w:rPr>
          <w:iCs/>
        </w:rPr>
        <w:t xml:space="preserve">, as on every Parliament </w:t>
      </w:r>
      <w:proofErr w:type="spellStart"/>
      <w:proofErr w:type="gramStart"/>
      <w:r w:rsidRPr="006A0B2C">
        <w:rPr>
          <w:iCs/>
        </w:rPr>
        <w:t>mans</w:t>
      </w:r>
      <w:proofErr w:type="spellEnd"/>
      <w:proofErr w:type="gramEnd"/>
      <w:r w:rsidRPr="006A0B2C">
        <w:rPr>
          <w:iCs/>
        </w:rPr>
        <w:t xml:space="preserve"> heart’.</w:t>
      </w:r>
      <w:r w:rsidRPr="006A0B2C">
        <w:rPr>
          <w:iCs/>
          <w:vertAlign w:val="superscript"/>
        </w:rPr>
        <w:footnoteReference w:id="281"/>
      </w:r>
      <w:r w:rsidRPr="006A0B2C">
        <w:rPr>
          <w:iCs/>
        </w:rPr>
        <w:t xml:space="preserve"> Wilkinson repeated the imagery used by many other religious authors in describing God’s teachings, applying it to a civic setting. He privileged inscriptions within the body as the source of moral action and thought while reinforcing the role of inscriptions on buildings as conduits for improved behaviour. Mural inscriptions were positioned once again as a means of affecting individual and social change, linked with religious ideas that framed them as presented externally to be subsequently internalised.</w:t>
      </w:r>
    </w:p>
    <w:p w14:paraId="7A4DED1F" w14:textId="091C60A3" w:rsidR="00A75786" w:rsidRDefault="00A75786" w:rsidP="00A75786">
      <w:pPr>
        <w:spacing w:after="0" w:line="480" w:lineRule="auto"/>
        <w:ind w:firstLine="720"/>
        <w:jc w:val="both"/>
      </w:pPr>
      <w:r>
        <w:t xml:space="preserve">Like many religious authors, Wilkinson described inscriptions on the built environment as closely related to the body, in terms of physicality, belief and behaviour. Wilkinson appealed to the idea of the doorway as a key entryway, with inscriptions there informing the behaviour and events that would take place inside, acting upon those entering and leaving the space. </w:t>
      </w:r>
      <w:r w:rsidR="00526B35">
        <w:t xml:space="preserve">While </w:t>
      </w:r>
      <w:r>
        <w:t xml:space="preserve">Wilkinson referred to ‘a Parliament house </w:t>
      </w:r>
      <w:proofErr w:type="spellStart"/>
      <w:r>
        <w:t>doore</w:t>
      </w:r>
      <w:proofErr w:type="spellEnd"/>
      <w:r>
        <w:t>’</w:t>
      </w:r>
      <w:r w:rsidR="00526B35">
        <w:t>,</w:t>
      </w:r>
      <w:r>
        <w:t xml:space="preserve"> the same logic is evident in descriptions of words </w:t>
      </w:r>
      <w:r w:rsidR="007972ED">
        <w:t>carved upon</w:t>
      </w:r>
      <w:r>
        <w:t xml:space="preserve"> domestic doorways</w:t>
      </w:r>
      <w:r w:rsidR="00F24095">
        <w:t>, offering a more direct insight into the kinds of inscriptions surviving in great numbers in Bolton-le-Sands and Prestbury</w:t>
      </w:r>
      <w:r>
        <w:t>. In a book published in 1673,</w:t>
      </w:r>
      <w:r w:rsidRPr="00540575">
        <w:rPr>
          <w:i/>
        </w:rPr>
        <w:t xml:space="preserve"> </w:t>
      </w:r>
      <w:r>
        <w:rPr>
          <w:i/>
        </w:rPr>
        <w:t xml:space="preserve">The wonders of the little world, </w:t>
      </w:r>
      <w:r>
        <w:rPr>
          <w:iCs/>
        </w:rPr>
        <w:t xml:space="preserve">Church of England clergyman </w:t>
      </w:r>
      <w:r>
        <w:lastRenderedPageBreak/>
        <w:t xml:space="preserve">Nathaniel </w:t>
      </w:r>
      <w:proofErr w:type="spellStart"/>
      <w:r>
        <w:t>Wanley</w:t>
      </w:r>
      <w:proofErr w:type="spellEnd"/>
      <w:r>
        <w:t xml:space="preserve"> portrayed the allegorical figure ‘Doris the Athenian’.</w:t>
      </w:r>
      <w:r>
        <w:rPr>
          <w:rStyle w:val="FootnoteReference"/>
        </w:rPr>
        <w:footnoteReference w:id="282"/>
      </w:r>
      <w:r>
        <w:t xml:space="preserve"> Following a thirty-six year career in governance, Doris retreated to the countryside and became a husbandman, where ‘Upon the Frontispiece of his House these words were </w:t>
      </w:r>
      <w:proofErr w:type="spellStart"/>
      <w:r>
        <w:t>engraven</w:t>
      </w:r>
      <w:proofErr w:type="spellEnd"/>
      <w:r>
        <w:t>, Fortune and Hope adieu to you both, seeing I have found the true entrance to Rest and Contentment’.</w:t>
      </w:r>
      <w:r>
        <w:rPr>
          <w:rStyle w:val="FootnoteReference"/>
        </w:rPr>
        <w:footnoteReference w:id="283"/>
      </w:r>
      <w:r>
        <w:t xml:space="preserve"> Retiring from society to the privacy of his new rural home, Doris inscribed the threshold as a means of defining the boundary of his property and announcing what would and would not take place within it.</w:t>
      </w:r>
    </w:p>
    <w:p w14:paraId="1A8EB7DF" w14:textId="0C248746" w:rsidR="00A75786" w:rsidRPr="005D05EA" w:rsidRDefault="00A75786" w:rsidP="00A75786">
      <w:pPr>
        <w:spacing w:after="0" w:line="480" w:lineRule="auto"/>
        <w:ind w:firstLine="720"/>
        <w:jc w:val="both"/>
      </w:pPr>
      <w:r>
        <w:t xml:space="preserve">For Doris, engraving text on the façade of his house allowed him to determine the tenor of his new of life and communicate his intended way of living with others, expressing a decision </w:t>
      </w:r>
      <w:r w:rsidR="00674B09">
        <w:t xml:space="preserve">aligned with his </w:t>
      </w:r>
      <w:r w:rsidR="00F97FA0">
        <w:t>core principles</w:t>
      </w:r>
      <w:r>
        <w:t xml:space="preserve">. A similar </w:t>
      </w:r>
      <w:r w:rsidR="004C7793">
        <w:t>outlook</w:t>
      </w:r>
      <w:r>
        <w:t xml:space="preserve"> is </w:t>
      </w:r>
      <w:r w:rsidR="004C7793">
        <w:t>perceptible</w:t>
      </w:r>
      <w:r>
        <w:t xml:space="preserve"> in the writings of French Catholic theologian Pierre Charron, who also cast frontispiece inscriptions as an externalisation of deeply held beliefs. A 1697 translation of Charron’s </w:t>
      </w:r>
      <w:r>
        <w:rPr>
          <w:i/>
          <w:iCs/>
        </w:rPr>
        <w:t xml:space="preserve">De la Sagesse (Of Wisdom) </w:t>
      </w:r>
      <w:r>
        <w:t>confronts the difficulty</w:t>
      </w:r>
      <w:r w:rsidRPr="006464AF">
        <w:rPr>
          <w:rFonts w:eastAsiaTheme="minorEastAsia"/>
        </w:rPr>
        <w:t xml:space="preserve"> </w:t>
      </w:r>
      <w:r w:rsidRPr="006464AF">
        <w:t>of ever knowing one’s own mind.</w:t>
      </w:r>
      <w:r w:rsidR="00F24095">
        <w:rPr>
          <w:rStyle w:val="FootnoteReference"/>
        </w:rPr>
        <w:footnoteReference w:id="284"/>
      </w:r>
      <w:r>
        <w:t xml:space="preserve"> Charron describes his frustrations with the hubris of those who fail to see ‘there is a sort of Ignorance and Doubt, more Learned, more Generous’ than the conceit of one’s own convictions.</w:t>
      </w:r>
      <w:r>
        <w:rPr>
          <w:rStyle w:val="FootnoteReference"/>
        </w:rPr>
        <w:footnoteReference w:id="285"/>
      </w:r>
      <w:r>
        <w:t xml:space="preserve"> Charron cites ‘the Psalmist’ in stating ‘The Lord </w:t>
      </w:r>
      <w:proofErr w:type="spellStart"/>
      <w:r>
        <w:t>knoweth</w:t>
      </w:r>
      <w:proofErr w:type="spellEnd"/>
      <w:r>
        <w:t xml:space="preserve"> the Thoughts of Man, that they are but in vain’, and asserts that he is ‘so fully </w:t>
      </w:r>
      <w:proofErr w:type="spellStart"/>
      <w:r>
        <w:t>possess’d</w:t>
      </w:r>
      <w:proofErr w:type="spellEnd"/>
      <w:r>
        <w:t xml:space="preserve"> of this Truth, that I have </w:t>
      </w:r>
      <w:proofErr w:type="spellStart"/>
      <w:r>
        <w:t>order’d</w:t>
      </w:r>
      <w:proofErr w:type="spellEnd"/>
      <w:r>
        <w:t xml:space="preserve"> this Motto, I know not; </w:t>
      </w:r>
      <w:r>
        <w:rPr>
          <w:i/>
        </w:rPr>
        <w:t xml:space="preserve">Je ne </w:t>
      </w:r>
      <w:proofErr w:type="spellStart"/>
      <w:r>
        <w:rPr>
          <w:i/>
        </w:rPr>
        <w:t>scay</w:t>
      </w:r>
      <w:proofErr w:type="spellEnd"/>
      <w:r>
        <w:rPr>
          <w:i/>
        </w:rPr>
        <w:t xml:space="preserve">; </w:t>
      </w:r>
      <w:r>
        <w:t>to be engraved over the Gate of my little house’.</w:t>
      </w:r>
      <w:r w:rsidR="00B87C01">
        <w:rPr>
          <w:rStyle w:val="FootnoteReference"/>
        </w:rPr>
        <w:footnoteReference w:id="286"/>
      </w:r>
      <w:r>
        <w:t xml:space="preserve"> In so doing, Charron rendered the exterior of his house a reflection of his internal experiences. In visually expressing something he believed God already knew, he attempted to overcome the false </w:t>
      </w:r>
      <w:r>
        <w:lastRenderedPageBreak/>
        <w:t>certainties of those he deplored, whose exteriors ‘boasted Science and Certainty’ without acknowledging ‘the Defects and Poverty of our own Understanding’ when faced with</w:t>
      </w:r>
      <w:r w:rsidR="00534A8E">
        <w:t xml:space="preserve"> an</w:t>
      </w:r>
      <w:r>
        <w:t xml:space="preserve"> omniscie</w:t>
      </w:r>
      <w:r w:rsidR="00534A8E">
        <w:t>nt C</w:t>
      </w:r>
      <w:r>
        <w:t>hristian God.</w:t>
      </w:r>
      <w:r>
        <w:rPr>
          <w:rStyle w:val="FootnoteReference"/>
        </w:rPr>
        <w:footnoteReference w:id="287"/>
      </w:r>
      <w:r>
        <w:t xml:space="preserve"> </w:t>
      </w:r>
    </w:p>
    <w:p w14:paraId="1FCEEB49" w14:textId="43592B2C" w:rsidR="00A75786" w:rsidRDefault="00A75786" w:rsidP="006A0B2C">
      <w:pPr>
        <w:spacing w:after="0" w:line="480" w:lineRule="auto"/>
        <w:ind w:firstLine="720"/>
        <w:jc w:val="both"/>
      </w:pPr>
      <w:r>
        <w:t xml:space="preserve">It is notable that George Stanhope, the translator responsible for reworking Charron’s text into English, used the phrase ‘fully </w:t>
      </w:r>
      <w:proofErr w:type="spellStart"/>
      <w:r>
        <w:t>possess’d</w:t>
      </w:r>
      <w:proofErr w:type="spellEnd"/>
      <w:r>
        <w:t xml:space="preserve">’. Charron inscribed words summarising his beliefs upon his most important possession: his home. The engraved text brought Charron’s outer environment in line with his inner world, externalising his convictions while professing ownership both </w:t>
      </w:r>
      <w:r w:rsidRPr="00D82065">
        <w:t>of</w:t>
      </w:r>
      <w:r>
        <w:t xml:space="preserve"> those convictions and of his property. The seventeenth</w:t>
      </w:r>
      <w:r w:rsidR="00ED10E2">
        <w:t>-</w:t>
      </w:r>
      <w:r>
        <w:t xml:space="preserve"> and eighteenth-century inscriptions still extant in Bolton-le-Sands and Prestbury mostly comprise initials. This form of inscription does not appear </w:t>
      </w:r>
      <w:r w:rsidR="0048560E">
        <w:t xml:space="preserve">to have been explicitly discussed </w:t>
      </w:r>
      <w:r>
        <w:t xml:space="preserve">in any contemporary printed texts, absent from all books examined here and from architectural guides and manuals that </w:t>
      </w:r>
      <w:r w:rsidR="00BF6B38">
        <w:t xml:space="preserve">therefore </w:t>
      </w:r>
      <w:r>
        <w:t xml:space="preserve">have not </w:t>
      </w:r>
      <w:r w:rsidR="00BF6B38">
        <w:t>featured in this chapter</w:t>
      </w:r>
      <w:r>
        <w:t xml:space="preserve">. </w:t>
      </w:r>
      <w:proofErr w:type="gramStart"/>
      <w:r>
        <w:t>In spite of</w:t>
      </w:r>
      <w:proofErr w:type="gramEnd"/>
      <w:r>
        <w:t xml:space="preserve"> this, published references to threshold inscriptions consistently reveal a close conflation between the doorway to the home and its inhabitants’ core beliefs, </w:t>
      </w:r>
      <w:r w:rsidR="00BF6B38">
        <w:t>drawing attention to a perspective which will</w:t>
      </w:r>
      <w:r>
        <w:t xml:space="preserve"> inform analysis of </w:t>
      </w:r>
      <w:r w:rsidR="00F678B8">
        <w:t xml:space="preserve">inscribed </w:t>
      </w:r>
      <w:r>
        <w:t xml:space="preserve">initials </w:t>
      </w:r>
      <w:r w:rsidR="00F678B8">
        <w:t xml:space="preserve">in </w:t>
      </w:r>
      <w:r>
        <w:t>Bolton-le-Sands and Prestbury parishes</w:t>
      </w:r>
      <w:r w:rsidR="00F678B8">
        <w:t xml:space="preserve"> in later chapters</w:t>
      </w:r>
      <w:r>
        <w:t>.</w:t>
      </w:r>
    </w:p>
    <w:p w14:paraId="39139C16" w14:textId="605D7000" w:rsidR="006A0B2C" w:rsidRPr="006A0B2C" w:rsidRDefault="00721B4F" w:rsidP="006A0B2C">
      <w:pPr>
        <w:spacing w:after="0" w:line="480" w:lineRule="auto"/>
        <w:ind w:firstLine="720"/>
        <w:jc w:val="both"/>
      </w:pPr>
      <w:r>
        <w:t xml:space="preserve">The writings of </w:t>
      </w:r>
      <w:r w:rsidR="006A0B2C" w:rsidRPr="006A0B2C">
        <w:t>Wilkinson</w:t>
      </w:r>
      <w:r>
        <w:t xml:space="preserve">, </w:t>
      </w:r>
      <w:proofErr w:type="spellStart"/>
      <w:r>
        <w:t>Wanley</w:t>
      </w:r>
      <w:proofErr w:type="spellEnd"/>
      <w:r>
        <w:t xml:space="preserve"> and Charron </w:t>
      </w:r>
      <w:r w:rsidR="006A0B2C" w:rsidRPr="006A0B2C">
        <w:t>– like many religious authors – highlight that inscriptions upon the built environment were understood as closely tied with the body</w:t>
      </w:r>
      <w:r w:rsidR="00DF1782">
        <w:t>, mind and soul</w:t>
      </w:r>
      <w:r w:rsidR="006A0B2C" w:rsidRPr="006A0B2C">
        <w:t xml:space="preserve">. Regardless of the content of inscriptions, whether memorialising events, deeds or individuals, </w:t>
      </w:r>
      <w:r w:rsidR="006E594D">
        <w:t xml:space="preserve">externalising beliefs and core principles, or </w:t>
      </w:r>
      <w:r w:rsidR="006E594D" w:rsidRPr="006A0B2C">
        <w:t xml:space="preserve">displaying </w:t>
      </w:r>
      <w:r w:rsidR="006A0B2C" w:rsidRPr="006A0B2C">
        <w:t xml:space="preserve">biblical passages or religious exhortations, they were intended to act upon the body, taken in by those reading them and reconfigured as actions, meditations or thoughts. So close was the connection between inscriptions and the body in early modern England that memory itself </w:t>
      </w:r>
      <w:r w:rsidR="006A0B2C" w:rsidRPr="006A0B2C">
        <w:lastRenderedPageBreak/>
        <w:t xml:space="preserve">was understood by some as an inscriptive practice. Originally written in the 1610s, John Willis’ </w:t>
      </w:r>
      <w:r w:rsidR="006A0B2C" w:rsidRPr="006A0B2C">
        <w:rPr>
          <w:i/>
          <w:iCs/>
        </w:rPr>
        <w:t xml:space="preserve">Mnemonica </w:t>
      </w:r>
      <w:r w:rsidR="006A0B2C" w:rsidRPr="006A0B2C">
        <w:t>was fully translated into English in 1661.</w:t>
      </w:r>
      <w:r w:rsidR="000B2548">
        <w:rPr>
          <w:rStyle w:val="FootnoteReference"/>
        </w:rPr>
        <w:footnoteReference w:id="288"/>
      </w:r>
      <w:r w:rsidR="006A0B2C" w:rsidRPr="006A0B2C">
        <w:t xml:space="preserve"> It advanced wall-writing as a memory tool, but the walls Willis discussed were entirely cognitive, existing solely within the mind – which Willis theorised as a ‘repository’.</w:t>
      </w:r>
      <w:r w:rsidR="006A0B2C" w:rsidRPr="006A0B2C">
        <w:rPr>
          <w:vertAlign w:val="superscript"/>
        </w:rPr>
        <w:footnoteReference w:id="289"/>
      </w:r>
      <w:r w:rsidR="006A0B2C" w:rsidRPr="006A0B2C">
        <w:t xml:space="preserve"> Willis gave this cerebral ‘repository’ architectural form, framing it as ‘an imaginary fabric, fancied Artificially, built of </w:t>
      </w:r>
      <w:proofErr w:type="spellStart"/>
      <w:r w:rsidR="006A0B2C" w:rsidRPr="006A0B2C">
        <w:t>hewen</w:t>
      </w:r>
      <w:proofErr w:type="spellEnd"/>
      <w:r w:rsidR="006A0B2C" w:rsidRPr="006A0B2C">
        <w:t xml:space="preserve"> stone, in form of a </w:t>
      </w:r>
      <w:proofErr w:type="spellStart"/>
      <w:r w:rsidR="006A0B2C" w:rsidRPr="006A0B2C">
        <w:rPr>
          <w:i/>
          <w:iCs/>
        </w:rPr>
        <w:t>Theater</w:t>
      </w:r>
      <w:proofErr w:type="spellEnd"/>
      <w:r w:rsidR="006A0B2C" w:rsidRPr="006A0B2C">
        <w:t>’.</w:t>
      </w:r>
      <w:r w:rsidR="006A0B2C" w:rsidRPr="006A0B2C">
        <w:rPr>
          <w:vertAlign w:val="superscript"/>
        </w:rPr>
        <w:footnoteReference w:id="290"/>
      </w:r>
      <w:r w:rsidR="006A0B2C" w:rsidRPr="006A0B2C">
        <w:t xml:space="preserve"> Willis’ ‘repository’ had precise dimensions, too. It was twelve yards long, six yards wide, and seven yards high; it had a flat leaded roof; and it was open on one side, where the reader was to mentally position themselves. The repository was divided into rooms and was intended ‘to be represented before the eyes of our </w:t>
      </w:r>
      <w:proofErr w:type="spellStart"/>
      <w:r w:rsidR="006A0B2C" w:rsidRPr="006A0B2C">
        <w:t>minde</w:t>
      </w:r>
      <w:proofErr w:type="spellEnd"/>
      <w:r w:rsidR="006A0B2C" w:rsidRPr="006A0B2C">
        <w:t>, wheresoever we are’.</w:t>
      </w:r>
      <w:r w:rsidR="006A0B2C" w:rsidRPr="006A0B2C">
        <w:rPr>
          <w:vertAlign w:val="superscript"/>
        </w:rPr>
        <w:footnoteReference w:id="291"/>
      </w:r>
    </w:p>
    <w:p w14:paraId="4057C445" w14:textId="77777777" w:rsidR="006A0B2C" w:rsidRDefault="006A0B2C" w:rsidP="006A0B2C">
      <w:pPr>
        <w:spacing w:after="0" w:line="480" w:lineRule="auto"/>
        <w:ind w:firstLine="720"/>
        <w:jc w:val="both"/>
      </w:pPr>
      <w:r w:rsidRPr="006A0B2C">
        <w:t xml:space="preserve">Willis’ formulation of the ‘repository’ was accompanied by numerous methods for recollection. All of these methods were highly visual and textual: Willis proposed that ideas were ‘a visible representation of things to be </w:t>
      </w:r>
      <w:proofErr w:type="spellStart"/>
      <w:r w:rsidRPr="006A0B2C">
        <w:rPr>
          <w:i/>
          <w:iCs/>
        </w:rPr>
        <w:t>remembred</w:t>
      </w:r>
      <w:proofErr w:type="spellEnd"/>
      <w:r w:rsidRPr="006A0B2C">
        <w:rPr>
          <w:i/>
          <w:iCs/>
        </w:rPr>
        <w:t>’</w:t>
      </w:r>
      <w:r w:rsidRPr="006A0B2C">
        <w:t>, arguing that – in order to more easily recall them – ‘</w:t>
      </w:r>
      <w:proofErr w:type="spellStart"/>
      <w:r w:rsidRPr="006A0B2C">
        <w:rPr>
          <w:i/>
          <w:iCs/>
        </w:rPr>
        <w:t>Idea’s</w:t>
      </w:r>
      <w:proofErr w:type="spellEnd"/>
      <w:r w:rsidRPr="006A0B2C">
        <w:rPr>
          <w:i/>
          <w:iCs/>
        </w:rPr>
        <w:t xml:space="preserve"> </w:t>
      </w:r>
      <w:r w:rsidRPr="006A0B2C">
        <w:t xml:space="preserve">are to be vested with their proper circumstances … for like as </w:t>
      </w:r>
      <w:r w:rsidRPr="006A0B2C">
        <w:rPr>
          <w:i/>
          <w:iCs/>
        </w:rPr>
        <w:t>Writings</w:t>
      </w:r>
      <w:r w:rsidRPr="006A0B2C">
        <w:t xml:space="preserve">, the fairer they are, are more </w:t>
      </w:r>
      <w:proofErr w:type="spellStart"/>
      <w:r w:rsidRPr="006A0B2C">
        <w:t>facilly</w:t>
      </w:r>
      <w:proofErr w:type="spellEnd"/>
      <w:r w:rsidRPr="006A0B2C">
        <w:t xml:space="preserve"> read’.</w:t>
      </w:r>
      <w:r w:rsidRPr="006A0B2C">
        <w:rPr>
          <w:vertAlign w:val="superscript"/>
        </w:rPr>
        <w:footnoteReference w:id="292"/>
      </w:r>
      <w:r w:rsidRPr="006A0B2C">
        <w:t xml:space="preserve"> Willis’ </w:t>
      </w:r>
      <w:r w:rsidRPr="006A0B2C">
        <w:rPr>
          <w:i/>
          <w:iCs/>
        </w:rPr>
        <w:t xml:space="preserve">Mnemonica </w:t>
      </w:r>
      <w:r w:rsidRPr="006A0B2C">
        <w:t>formulated the mind as a tangible, interior room adorned with pictures, objects, wall-writing and inscriptions.</w:t>
      </w:r>
      <w:r w:rsidRPr="006A0B2C">
        <w:rPr>
          <w:vertAlign w:val="superscript"/>
        </w:rPr>
        <w:footnoteReference w:id="293"/>
      </w:r>
      <w:r w:rsidRPr="006A0B2C">
        <w:t xml:space="preserve"> In chapter ten, which explicitly discussed representing ideas as text, Willis argued that an idea ought to be ‘imagined to be written with black letters in a plain white Table, four foot square, hanging against the opposite wall of the </w:t>
      </w:r>
      <w:r w:rsidRPr="006A0B2C">
        <w:rPr>
          <w:i/>
          <w:iCs/>
        </w:rPr>
        <w:t>Repository</w:t>
      </w:r>
      <w:r w:rsidRPr="006A0B2C">
        <w:t>’.</w:t>
      </w:r>
      <w:r w:rsidRPr="006A0B2C">
        <w:rPr>
          <w:vertAlign w:val="superscript"/>
        </w:rPr>
        <w:footnoteReference w:id="294"/>
      </w:r>
      <w:r w:rsidRPr="006A0B2C">
        <w:t xml:space="preserve"> Willis concluded that the letters must be ‘of such magnitude, that they may be plainly read by one standing somewhat remote’ so </w:t>
      </w:r>
      <w:r w:rsidRPr="006A0B2C">
        <w:lastRenderedPageBreak/>
        <w:t xml:space="preserve">as to be ‘easily attracted by the visual faculty, and transferred to </w:t>
      </w:r>
      <w:r w:rsidRPr="006A0B2C">
        <w:rPr>
          <w:i/>
          <w:iCs/>
        </w:rPr>
        <w:t>Memory</w:t>
      </w:r>
      <w:r w:rsidRPr="006A0B2C">
        <w:t>, such like writings and inscriptions are frequently seen in walls of Churches and houses’.</w:t>
      </w:r>
      <w:r w:rsidRPr="006A0B2C">
        <w:rPr>
          <w:vertAlign w:val="superscript"/>
        </w:rPr>
        <w:footnoteReference w:id="295"/>
      </w:r>
      <w:r w:rsidRPr="006A0B2C">
        <w:t xml:space="preserve"> Acknowledging the role and presence of inscriptions in wider society, Willis’ repository was evidently governed by his experiences of the material world. Produced in response to existing inscriptions, Willis’ </w:t>
      </w:r>
      <w:r w:rsidRPr="006A0B2C">
        <w:rPr>
          <w:i/>
          <w:iCs/>
        </w:rPr>
        <w:t xml:space="preserve">Mnemonica </w:t>
      </w:r>
      <w:r w:rsidRPr="006A0B2C">
        <w:t>reinforced the intentions with which contemporary inscriptions were made, presented externally to be taken into the body. Simultaneously, in conceiving of the mind as a space ripe for inscription, and framing inscription upon the inner surfaces of the body as a process of writing upon walls, contemporary connections between inscribing cultures of remembrance on the built environment and upon the body can be fully appreciated, comprehended as mutually constitutive.</w:t>
      </w:r>
    </w:p>
    <w:p w14:paraId="02116176" w14:textId="3FAF8E2F" w:rsidR="006C3836" w:rsidRDefault="008705B8" w:rsidP="00634746">
      <w:pPr>
        <w:spacing w:after="0" w:line="480" w:lineRule="auto"/>
        <w:ind w:firstLine="720"/>
        <w:jc w:val="both"/>
      </w:pPr>
      <w:r w:rsidRPr="008705B8">
        <w:t xml:space="preserve">This section </w:t>
      </w:r>
      <w:r w:rsidR="00A56707">
        <w:t xml:space="preserve">has </w:t>
      </w:r>
      <w:r w:rsidRPr="008705B8">
        <w:t>built on earlier discussions of romantic and spiritual love</w:t>
      </w:r>
      <w:r w:rsidR="00A56707">
        <w:t>. It has</w:t>
      </w:r>
      <w:r w:rsidR="00CA4E0A" w:rsidRPr="00CA4E0A">
        <w:t xml:space="preserve"> moved from metaphor into material</w:t>
      </w:r>
      <w:r w:rsidR="004A71DF">
        <w:t>ity</w:t>
      </w:r>
      <w:r w:rsidR="009D568B">
        <w:t xml:space="preserve"> and explored</w:t>
      </w:r>
      <w:r w:rsidR="00CA4E0A" w:rsidRPr="00CA4E0A">
        <w:t xml:space="preserve"> the perceived role of inscriptions upon the wider built environment. It </w:t>
      </w:r>
      <w:r w:rsidR="00A56707">
        <w:t xml:space="preserve">has </w:t>
      </w:r>
      <w:r w:rsidR="00CA4E0A" w:rsidRPr="00CA4E0A">
        <w:t>demonstrated that inscriptions were understood as the centre</w:t>
      </w:r>
      <w:r w:rsidR="004A71DF">
        <w:t>-</w:t>
      </w:r>
      <w:r w:rsidR="00CA4E0A" w:rsidRPr="00CA4E0A">
        <w:t>point between past and future</w:t>
      </w:r>
      <w:r w:rsidR="006F301D">
        <w:t xml:space="preserve">, </w:t>
      </w:r>
      <w:r w:rsidR="00CA4E0A" w:rsidRPr="00CA4E0A">
        <w:t>used by antiquarians to understand historical Britain and Ireland and</w:t>
      </w:r>
      <w:r w:rsidR="006F301D">
        <w:t xml:space="preserve"> perceived as</w:t>
      </w:r>
      <w:r w:rsidR="00CA4E0A" w:rsidRPr="00CA4E0A">
        <w:t xml:space="preserve"> channels for them to bolster their visions of contemporary society, emphasising the centrality of g</w:t>
      </w:r>
      <w:r w:rsidR="004A71DF">
        <w:t>ui</w:t>
      </w:r>
      <w:r w:rsidR="00CA4E0A" w:rsidRPr="00CA4E0A">
        <w:t>lds and the glory of the Roman past.</w:t>
      </w:r>
      <w:r w:rsidR="006C75D0" w:rsidRPr="006C75D0">
        <w:t xml:space="preserve"> Inscriptions were also framed as a means of shaping subsequent generations, promoting virtuous conduct and attempting to hold authorities to account. Where earlier sections established the centrality of text in understandings of love, faith, the body and the home, this section</w:t>
      </w:r>
      <w:r w:rsidR="004E1A7E">
        <w:t xml:space="preserve"> has shown</w:t>
      </w:r>
      <w:r w:rsidR="006C75D0" w:rsidRPr="006C75D0">
        <w:t xml:space="preserve"> </w:t>
      </w:r>
      <w:r w:rsidR="00CB2967">
        <w:t>how</w:t>
      </w:r>
      <w:r w:rsidR="006C75D0" w:rsidRPr="006C75D0">
        <w:t xml:space="preserve"> this centrality extended to </w:t>
      </w:r>
      <w:r w:rsidR="00CB2967">
        <w:t>co</w:t>
      </w:r>
      <w:r w:rsidR="00FE23D8">
        <w:t>mprehensions</w:t>
      </w:r>
      <w:r w:rsidR="00CB2967">
        <w:t xml:space="preserve"> of </w:t>
      </w:r>
      <w:r w:rsidR="006C75D0" w:rsidRPr="006C75D0">
        <w:t>other architectural spaces, key in memorialising their construction.</w:t>
      </w:r>
      <w:r w:rsidR="004A71DF" w:rsidRPr="004A71DF">
        <w:t xml:space="preserve"> Just as text was understood as the form taken by love when inscribed within the flesh</w:t>
      </w:r>
      <w:r w:rsidR="00634746">
        <w:t xml:space="preserve"> and</w:t>
      </w:r>
      <w:r w:rsidR="004A71DF" w:rsidRPr="004A71DF">
        <w:t xml:space="preserve"> the vessel through which God's teachings were permanently </w:t>
      </w:r>
      <w:r w:rsidR="004A71DF" w:rsidRPr="004A71DF">
        <w:lastRenderedPageBreak/>
        <w:t>placed within the heart, text w</w:t>
      </w:r>
      <w:r w:rsidR="00634746">
        <w:t xml:space="preserve">as </w:t>
      </w:r>
      <w:r w:rsidR="004A71DF" w:rsidRPr="004A71DF">
        <w:t xml:space="preserve">key in </w:t>
      </w:r>
      <w:r w:rsidR="00634746">
        <w:t>commemoration</w:t>
      </w:r>
      <w:r w:rsidR="004A71DF" w:rsidRPr="004A71DF">
        <w:t xml:space="preserve">. </w:t>
      </w:r>
      <w:r w:rsidR="00CA0705">
        <w:t xml:space="preserve">With remembrance </w:t>
      </w:r>
      <w:r w:rsidR="004A71DF" w:rsidRPr="004A71DF">
        <w:t xml:space="preserve">textually </w:t>
      </w:r>
      <w:r w:rsidR="00634746">
        <w:t>in</w:t>
      </w:r>
      <w:r w:rsidR="004A71DF" w:rsidRPr="004A71DF">
        <w:t>scr</w:t>
      </w:r>
      <w:r w:rsidR="00634746">
        <w:t>i</w:t>
      </w:r>
      <w:r w:rsidR="004A71DF" w:rsidRPr="004A71DF">
        <w:t>bed upon the built environment,</w:t>
      </w:r>
      <w:r w:rsidR="004A71DF">
        <w:t xml:space="preserve"> memory </w:t>
      </w:r>
      <w:r w:rsidR="00CA0705">
        <w:t xml:space="preserve">was conceived as </w:t>
      </w:r>
      <w:r w:rsidR="000E26D4">
        <w:t>taki</w:t>
      </w:r>
      <w:r w:rsidR="00CA0705">
        <w:t xml:space="preserve">ng </w:t>
      </w:r>
      <w:r w:rsidR="004A71DF">
        <w:t>a similar textual form within the mind and body.</w:t>
      </w:r>
      <w:r w:rsidR="000E26D4">
        <w:t xml:space="preserve"> Spanning all these </w:t>
      </w:r>
      <w:r w:rsidR="001614D5">
        <w:t xml:space="preserve">domains, </w:t>
      </w:r>
      <w:r w:rsidR="004067FD">
        <w:t>inscriptions</w:t>
      </w:r>
      <w:r w:rsidR="001614D5">
        <w:t xml:space="preserve"> w</w:t>
      </w:r>
      <w:r w:rsidR="004067FD">
        <w:t>ere</w:t>
      </w:r>
      <w:r w:rsidR="001614D5">
        <w:t xml:space="preserve"> intimately connected with understandings of </w:t>
      </w:r>
      <w:r w:rsidR="004067FD">
        <w:t>objects, spaces, the self and society in early modern England.</w:t>
      </w:r>
    </w:p>
    <w:p w14:paraId="6FD4AFE6" w14:textId="77777777" w:rsidR="00FB6E95" w:rsidRDefault="00FB6E95" w:rsidP="006A0B2C">
      <w:pPr>
        <w:spacing w:after="0" w:line="480" w:lineRule="auto"/>
        <w:ind w:firstLine="720"/>
        <w:jc w:val="both"/>
      </w:pPr>
    </w:p>
    <w:p w14:paraId="4D6D0810" w14:textId="77777777" w:rsidR="00FB6E95" w:rsidRDefault="00FB6E95" w:rsidP="00FB6E95">
      <w:pPr>
        <w:spacing w:after="0" w:line="480" w:lineRule="auto"/>
        <w:jc w:val="both"/>
        <w:rPr>
          <w:b/>
          <w:bCs/>
        </w:rPr>
      </w:pPr>
      <w:r>
        <w:rPr>
          <w:b/>
          <w:bCs/>
        </w:rPr>
        <w:t>Conclusion</w:t>
      </w:r>
    </w:p>
    <w:p w14:paraId="7E326EB9" w14:textId="24C21FA7" w:rsidR="00141775" w:rsidRDefault="00F2587E" w:rsidP="009E21B8">
      <w:pPr>
        <w:spacing w:after="0" w:line="480" w:lineRule="auto"/>
        <w:ind w:firstLine="720"/>
        <w:jc w:val="both"/>
      </w:pPr>
      <w:r w:rsidRPr="00F2587E">
        <w:t>In outlining the concept of the ‘porous heart’, Katie Barclay and Bronwyn Reddan have captured the early modern sense of the organ as having the capacity to receive and contain a whole host of input, spanning religious teachings and love for God, memories, writing, and emotions.</w:t>
      </w:r>
      <w:r w:rsidRPr="00F2587E">
        <w:rPr>
          <w:vertAlign w:val="superscript"/>
        </w:rPr>
        <w:footnoteReference w:id="296"/>
      </w:r>
      <w:r w:rsidRPr="00F2587E">
        <w:t xml:space="preserve"> Where the heart was understood as permeable, inscriptions possessed the ability to penetrate the interior world of human bodies</w:t>
      </w:r>
      <w:r w:rsidR="00617717">
        <w:t xml:space="preserve"> – even if metaphorically –</w:t>
      </w:r>
      <w:r w:rsidRPr="00F2587E">
        <w:t xml:space="preserve"> influencing their internal emotions and experiences.</w:t>
      </w:r>
      <w:r w:rsidR="00831B4D">
        <w:t xml:space="preserve"> This was dependent, of course, on the attainment of some level of literacy, which will be explored in relation to Bolton-le-Sands and Prestbury in the following chapter.</w:t>
      </w:r>
      <w:r w:rsidRPr="00F2587E">
        <w:t xml:space="preserve"> </w:t>
      </w:r>
      <w:r w:rsidR="00893207">
        <w:t>However, it is significant that</w:t>
      </w:r>
      <w:r w:rsidRPr="00F2587E">
        <w:t xml:space="preserve"> exposure to text </w:t>
      </w:r>
      <w:r w:rsidR="00893207">
        <w:t xml:space="preserve">was understood as a means of placing text inside the body, metaphorically </w:t>
      </w:r>
      <w:r w:rsidRPr="00F2587E">
        <w:t xml:space="preserve">formulated as words </w:t>
      </w:r>
      <w:r w:rsidR="00A14032" w:rsidRPr="00F2587E">
        <w:t xml:space="preserve">engraved </w:t>
      </w:r>
      <w:r w:rsidRPr="00F2587E">
        <w:t>upon the heart, mind or elsewhere upon the flesh</w:t>
      </w:r>
      <w:r w:rsidR="00A14032">
        <w:t>. Consequently,</w:t>
      </w:r>
      <w:r w:rsidRPr="00F2587E">
        <w:t xml:space="preserve"> inscription translated into </w:t>
      </w:r>
      <w:r w:rsidR="00A14032">
        <w:t xml:space="preserve">both material and bodily </w:t>
      </w:r>
      <w:r w:rsidRPr="00F2587E">
        <w:t>permanence, rendering faith, emotions and recollections steadfast and immovable.</w:t>
      </w:r>
    </w:p>
    <w:p w14:paraId="6ADB21CE" w14:textId="0B45574A" w:rsidR="00F2587E" w:rsidRPr="00F2587E" w:rsidRDefault="00A14032" w:rsidP="009E21B8">
      <w:pPr>
        <w:spacing w:after="0" w:line="480" w:lineRule="auto"/>
        <w:ind w:firstLine="720"/>
        <w:jc w:val="both"/>
      </w:pPr>
      <w:r>
        <w:t>In the writings of many early modern authors, i</w:t>
      </w:r>
      <w:r w:rsidR="00F2587E" w:rsidRPr="00F2587E">
        <w:t xml:space="preserve">nscriptions exerted power over human actions and deeds, and Barclay and Reddan have highlighted how perceptions of the heart as ‘porous’ reveal a contemporary understanding of ‘the human as product of environment and </w:t>
      </w:r>
      <w:r w:rsidR="00F2587E" w:rsidRPr="00F2587E">
        <w:lastRenderedPageBreak/>
        <w:t>engagement with the world’.</w:t>
      </w:r>
      <w:r w:rsidR="00F2587E" w:rsidRPr="00F2587E">
        <w:rPr>
          <w:vertAlign w:val="superscript"/>
        </w:rPr>
        <w:footnoteReference w:id="297"/>
      </w:r>
      <w:r w:rsidR="00F2587E" w:rsidRPr="00F2587E">
        <w:t xml:space="preserve"> Early modern writers describing romantic love, Christian belief and memorials and monuments all exhibit understandings of inscriptions as intimately connected with the body, influencing it by inscribing love, faith, virtue and memories within. </w:t>
      </w:r>
      <w:r w:rsidR="009E21B8" w:rsidRPr="009E21B8">
        <w:t>Paralleling Bourdieu’s concept of the habitus as shaped by the many social practices and structures it encounters, the inscribed body depicted in early modern books thinks, feels and acts in accordance with the inscriptions upon it.</w:t>
      </w:r>
      <w:r w:rsidR="009E21B8">
        <w:t xml:space="preserve"> </w:t>
      </w:r>
      <w:r w:rsidR="00F2587E" w:rsidRPr="00F2587E">
        <w:t>Whe</w:t>
      </w:r>
      <w:r w:rsidR="00C76A4B">
        <w:t>n</w:t>
      </w:r>
      <w:r w:rsidR="00F2587E" w:rsidRPr="00F2587E">
        <w:t xml:space="preserve"> inscriptions were placed upon objects and the built environment, they </w:t>
      </w:r>
      <w:r w:rsidR="00C76A4B">
        <w:t>were intended to create and perpetuate</w:t>
      </w:r>
      <w:r w:rsidR="00F2587E" w:rsidRPr="00F2587E">
        <w:t xml:space="preserve"> these bodily connections</w:t>
      </w:r>
      <w:r w:rsidR="00986ACB">
        <w:t>, act</w:t>
      </w:r>
      <w:r w:rsidR="00C76A4B">
        <w:t>ing</w:t>
      </w:r>
      <w:r w:rsidR="00986ACB">
        <w:t xml:space="preserve"> upon those </w:t>
      </w:r>
      <w:r w:rsidR="00C76A4B">
        <w:t xml:space="preserve">reading and otherwise </w:t>
      </w:r>
      <w:r w:rsidR="00986ACB">
        <w:t>interacting with them.</w:t>
      </w:r>
    </w:p>
    <w:p w14:paraId="3E742F4A" w14:textId="77777777" w:rsidR="00655E4C" w:rsidRDefault="00F2587E" w:rsidP="00655E4C">
      <w:pPr>
        <w:spacing w:after="0" w:line="480" w:lineRule="auto"/>
        <w:ind w:firstLine="720"/>
        <w:jc w:val="both"/>
        <w:sectPr w:rsidR="00655E4C">
          <w:footnotePr>
            <w:numRestart w:val="eachSect"/>
          </w:footnotePr>
          <w:pgSz w:w="11906" w:h="16838"/>
          <w:pgMar w:top="1440" w:right="1440" w:bottom="1440" w:left="1440" w:header="720" w:footer="720" w:gutter="0"/>
          <w:cols w:space="720"/>
          <w:docGrid w:linePitch="360"/>
        </w:sectPr>
      </w:pPr>
      <w:r w:rsidRPr="00F2587E">
        <w:t xml:space="preserve">Inscriptions upon homes and household objects in </w:t>
      </w:r>
      <w:r w:rsidR="002438F7">
        <w:t>Bolton-</w:t>
      </w:r>
      <w:r w:rsidRPr="00F2587E">
        <w:t>le</w:t>
      </w:r>
      <w:r w:rsidR="002438F7">
        <w:t>-</w:t>
      </w:r>
      <w:r w:rsidRPr="00F2587E">
        <w:t xml:space="preserve">Sands and Prestbury cannot be separated from wider cultural perceptions of inscriptions and inscription practices. </w:t>
      </w:r>
      <w:r w:rsidR="00A05F76" w:rsidRPr="00A05F76">
        <w:t xml:space="preserve">Inscriptions had become increasingly significant in a Protestant culture that actively encouraged their </w:t>
      </w:r>
      <w:proofErr w:type="gramStart"/>
      <w:r w:rsidR="00A05F76" w:rsidRPr="00A05F76">
        <w:t>use, and</w:t>
      </w:r>
      <w:proofErr w:type="gramEnd"/>
      <w:r w:rsidR="00A05F76" w:rsidRPr="00A05F76">
        <w:t xml:space="preserve"> were widely understood as a tool for fashioning both the self and wider society.</w:t>
      </w:r>
      <w:r w:rsidR="00A05F76">
        <w:t xml:space="preserve"> </w:t>
      </w:r>
      <w:r w:rsidRPr="00F2587E">
        <w:t xml:space="preserve">In commemorating marriage, inscriptions </w:t>
      </w:r>
      <w:r w:rsidR="00B852C6">
        <w:t xml:space="preserve">in both parishes </w:t>
      </w:r>
      <w:r w:rsidRPr="00F2587E">
        <w:t xml:space="preserve">constituted a means of inscribing marital love upon the home and </w:t>
      </w:r>
      <w:r w:rsidR="00556C72">
        <w:t>within</w:t>
      </w:r>
      <w:r w:rsidRPr="00F2587E">
        <w:t xml:space="preserve"> the bodies of its inhabitants. In </w:t>
      </w:r>
      <w:r w:rsidR="00CC10AB">
        <w:t>being placed</w:t>
      </w:r>
      <w:r w:rsidRPr="00F2587E">
        <w:t xml:space="preserve"> at the threshold, </w:t>
      </w:r>
      <w:r w:rsidR="00CC10AB">
        <w:t>the</w:t>
      </w:r>
      <w:r w:rsidR="00556C72">
        <w:t>se inscriptions</w:t>
      </w:r>
      <w:r w:rsidRPr="00F2587E">
        <w:t xml:space="preserve"> incorporated older Christian ideas of faith as well as extra-Christian conceptions of protection. </w:t>
      </w:r>
      <w:r w:rsidR="00150256">
        <w:t xml:space="preserve">Acting within a </w:t>
      </w:r>
      <w:r w:rsidR="0022380B">
        <w:t xml:space="preserve">much larger </w:t>
      </w:r>
      <w:r w:rsidR="00150256">
        <w:t>network of</w:t>
      </w:r>
      <w:r w:rsidRPr="00F2587E">
        <w:t xml:space="preserve"> </w:t>
      </w:r>
      <w:r w:rsidR="0022380B">
        <w:t xml:space="preserve">English </w:t>
      </w:r>
      <w:r w:rsidRPr="00F2587E">
        <w:t xml:space="preserve">memorials, they </w:t>
      </w:r>
      <w:r w:rsidR="00C76A4B">
        <w:t>aggrand</w:t>
      </w:r>
      <w:r w:rsidRPr="00F2587E">
        <w:t>i</w:t>
      </w:r>
      <w:r w:rsidR="00C76A4B">
        <w:t>s</w:t>
      </w:r>
      <w:r w:rsidRPr="00F2587E">
        <w:t>ed the couples responsible for building or improving the home</w:t>
      </w:r>
      <w:r w:rsidR="00CE0A93">
        <w:t xml:space="preserve"> and monumentalised</w:t>
      </w:r>
      <w:r w:rsidRPr="00F2587E">
        <w:t xml:space="preserve"> a tangible legacy for future generations. Inscribed text was a key locus for interconnected ideas of emotion, action, belief and inheritance in early modern England. In being placed on the centre of the home, at a key site bound up with understandings of the body and the family and layered with scriptural significance, textual inscriptions </w:t>
      </w:r>
      <w:r w:rsidR="00E423A0">
        <w:t>in Bolton</w:t>
      </w:r>
      <w:r w:rsidR="00C76A4B">
        <w:t>-l</w:t>
      </w:r>
      <w:r w:rsidR="00E423A0">
        <w:t>e</w:t>
      </w:r>
      <w:r w:rsidR="00C76A4B">
        <w:t>-</w:t>
      </w:r>
      <w:r w:rsidR="00E423A0">
        <w:t>Sands and Prestbury par</w:t>
      </w:r>
      <w:r w:rsidR="000D2DC1">
        <w:t>ishes had a range</w:t>
      </w:r>
      <w:r w:rsidRPr="00F2587E">
        <w:t xml:space="preserve"> of </w:t>
      </w:r>
      <w:r w:rsidR="00D36AD8">
        <w:t xml:space="preserve">potential </w:t>
      </w:r>
      <w:r w:rsidRPr="00F2587E">
        <w:t>meanings.</w:t>
      </w:r>
    </w:p>
    <w:p w14:paraId="5904A2E6" w14:textId="1ED71E14" w:rsidR="00220A86" w:rsidRDefault="00220A86" w:rsidP="00655E4C">
      <w:pPr>
        <w:spacing w:after="0" w:line="480" w:lineRule="auto"/>
        <w:jc w:val="both"/>
        <w:rPr>
          <w:b/>
          <w:bCs/>
          <w:sz w:val="32"/>
          <w:szCs w:val="32"/>
          <w:u w:val="single"/>
        </w:rPr>
      </w:pPr>
      <w:r>
        <w:rPr>
          <w:b/>
          <w:bCs/>
          <w:sz w:val="32"/>
          <w:szCs w:val="32"/>
          <w:u w:val="single"/>
        </w:rPr>
        <w:lastRenderedPageBreak/>
        <w:t xml:space="preserve">Chapter Two: Two Local Societies: </w:t>
      </w:r>
      <w:proofErr w:type="gramStart"/>
      <w:r w:rsidR="00CE76B0">
        <w:rPr>
          <w:b/>
          <w:bCs/>
          <w:sz w:val="32"/>
          <w:szCs w:val="32"/>
          <w:u w:val="single"/>
        </w:rPr>
        <w:t>t</w:t>
      </w:r>
      <w:r w:rsidR="000E2DE6">
        <w:rPr>
          <w:b/>
          <w:bCs/>
          <w:sz w:val="32"/>
          <w:szCs w:val="32"/>
          <w:u w:val="single"/>
        </w:rPr>
        <w:t>he</w:t>
      </w:r>
      <w:proofErr w:type="gramEnd"/>
      <w:r>
        <w:rPr>
          <w:b/>
          <w:bCs/>
          <w:sz w:val="32"/>
          <w:szCs w:val="32"/>
          <w:u w:val="single"/>
        </w:rPr>
        <w:t xml:space="preserve"> Middling Sorts in Bolton-le-Sands and Prestbury Parishes</w:t>
      </w:r>
    </w:p>
    <w:p w14:paraId="21EA288C" w14:textId="77777777" w:rsidR="00220A86" w:rsidRDefault="00220A86" w:rsidP="00220A86">
      <w:pPr>
        <w:spacing w:after="0" w:line="480" w:lineRule="auto"/>
        <w:jc w:val="both"/>
        <w:rPr>
          <w:b/>
          <w:bCs/>
        </w:rPr>
      </w:pPr>
      <w:r>
        <w:rPr>
          <w:b/>
          <w:bCs/>
        </w:rPr>
        <w:t>Introduction</w:t>
      </w:r>
    </w:p>
    <w:p w14:paraId="30F054C9" w14:textId="1C9C5928" w:rsidR="009A41B6" w:rsidRDefault="00220A86" w:rsidP="00220A86">
      <w:pPr>
        <w:spacing w:after="0" w:line="480" w:lineRule="auto"/>
        <w:jc w:val="both"/>
      </w:pPr>
      <w:r>
        <w:tab/>
      </w:r>
      <w:r w:rsidR="009C60EA">
        <w:t>I</w:t>
      </w:r>
      <w:r>
        <w:t xml:space="preserve">nscriptions </w:t>
      </w:r>
      <w:r w:rsidR="009C60EA">
        <w:t xml:space="preserve">on the façades of homes </w:t>
      </w:r>
      <w:r>
        <w:t xml:space="preserve">were highly visible additions to the built environment. </w:t>
      </w:r>
      <w:r w:rsidR="00171132">
        <w:t xml:space="preserve">When inscribers </w:t>
      </w:r>
      <w:r w:rsidR="0055612B">
        <w:t xml:space="preserve">commissioned </w:t>
      </w:r>
      <w:r w:rsidR="00171132">
        <w:t>epigraphs on their propert</w:t>
      </w:r>
      <w:r w:rsidR="004520D2">
        <w:t>ies</w:t>
      </w:r>
      <w:r w:rsidR="0055612B">
        <w:t xml:space="preserve">, </w:t>
      </w:r>
      <w:r w:rsidR="00FA7A1D">
        <w:t xml:space="preserve">they did so to </w:t>
      </w:r>
      <w:r w:rsidR="00FA7A1D" w:rsidRPr="00FA7A1D">
        <w:t>shape their own self-perceptions</w:t>
      </w:r>
      <w:r w:rsidR="00FA7A1D">
        <w:t xml:space="preserve"> and </w:t>
      </w:r>
      <w:r w:rsidR="00FA7A1D" w:rsidRPr="00FA7A1D">
        <w:t>familial identit</w:t>
      </w:r>
      <w:r w:rsidR="00FA7A1D">
        <w:t>y</w:t>
      </w:r>
      <w:r w:rsidR="00FA7A1D" w:rsidRPr="00FA7A1D">
        <w:t xml:space="preserve"> (both in the present and in future) and to influence the way they were perceived by neighbours, peers and passers-by.</w:t>
      </w:r>
      <w:r w:rsidR="00400762">
        <w:t xml:space="preserve"> </w:t>
      </w:r>
      <w:r>
        <w:t xml:space="preserve">Most frontispiece inscriptions in the Bolton-le-Sands and Prestbury townships considered here </w:t>
      </w:r>
      <w:r w:rsidR="005D4176">
        <w:t>comprised</w:t>
      </w:r>
      <w:r>
        <w:t xml:space="preserve"> the initials of married couples. In his unpublished doctoral thesis and in later work, Adrian Green has connected lower marriage rates in the late</w:t>
      </w:r>
      <w:r w:rsidR="00ED10E2">
        <w:t>-</w:t>
      </w:r>
      <w:r>
        <w:t xml:space="preserve">seventeenth century with the act of placing inscriptions commemorating marriage on the outside </w:t>
      </w:r>
      <w:r w:rsidR="00627A79">
        <w:t xml:space="preserve">of </w:t>
      </w:r>
      <w:r>
        <w:t>home</w:t>
      </w:r>
      <w:r w:rsidR="00586571">
        <w:t>s</w:t>
      </w:r>
      <w:r>
        <w:t>.</w:t>
      </w:r>
      <w:r>
        <w:rPr>
          <w:rStyle w:val="FootnoteReference"/>
        </w:rPr>
        <w:footnoteReference w:id="298"/>
      </w:r>
      <w:r>
        <w:t xml:space="preserve"> </w:t>
      </w:r>
      <w:r w:rsidR="008E009F">
        <w:t>Suggest</w:t>
      </w:r>
      <w:r w:rsidR="00926169">
        <w:t>ing</w:t>
      </w:r>
      <w:r w:rsidR="008E009F">
        <w:t xml:space="preserve"> that</w:t>
      </w:r>
      <w:r w:rsidR="00972A83" w:rsidRPr="00972A83">
        <w:t xml:space="preserve"> rebuilding and inscribing a house </w:t>
      </w:r>
      <w:r w:rsidR="008E009F">
        <w:t>w</w:t>
      </w:r>
      <w:r w:rsidR="00926169">
        <w:t xml:space="preserve">as closely tied </w:t>
      </w:r>
      <w:r w:rsidR="00E6505A">
        <w:t xml:space="preserve">with </w:t>
      </w:r>
      <w:r w:rsidR="00972A83" w:rsidRPr="00972A83">
        <w:t>wealth, Green has argued that in a context where fewer couples were financially able to marry – and thereby establish an independent household, as expected in contemporary society – inscribed initials and dates ‘may well have been a marker of this achievement’.</w:t>
      </w:r>
      <w:r w:rsidR="00972A83" w:rsidRPr="00972A83">
        <w:rPr>
          <w:vertAlign w:val="superscript"/>
        </w:rPr>
        <w:footnoteReference w:id="299"/>
      </w:r>
      <w:r w:rsidR="00972A83">
        <w:t xml:space="preserve"> </w:t>
      </w:r>
      <w:r w:rsidR="00903C92">
        <w:t>Green’s primary interest lay in understanding processes of rebuilding</w:t>
      </w:r>
      <w:r w:rsidR="00AC120D">
        <w:t xml:space="preserve"> and h</w:t>
      </w:r>
      <w:r w:rsidR="00B3145F">
        <w:t>is hypothesis on</w:t>
      </w:r>
      <w:r w:rsidR="00797639">
        <w:t xml:space="preserve"> dated inscriptions was a secondary concern</w:t>
      </w:r>
      <w:r w:rsidR="00AC120D">
        <w:t>.</w:t>
      </w:r>
      <w:r w:rsidR="00582C47">
        <w:t xml:space="preserve"> However, given that rebuilding was undoubtedly expensive</w:t>
      </w:r>
      <w:r w:rsidR="00841608">
        <w:t xml:space="preserve"> and inscriptions have been interpreted as outward statements of wealth, </w:t>
      </w:r>
      <w:r w:rsidR="00841608" w:rsidRPr="00841608">
        <w:t>this chapter explore</w:t>
      </w:r>
      <w:r w:rsidR="00043E5B">
        <w:t>s</w:t>
      </w:r>
      <w:r w:rsidR="00841608" w:rsidRPr="00841608">
        <w:t xml:space="preserve"> how far affluence was a factor in their creation.</w:t>
      </w:r>
    </w:p>
    <w:p w14:paraId="53A17854" w14:textId="5F67D145" w:rsidR="00220A86" w:rsidRDefault="00220A86" w:rsidP="00220A86">
      <w:pPr>
        <w:spacing w:after="0" w:line="480" w:lineRule="auto"/>
        <w:jc w:val="both"/>
      </w:pPr>
      <w:r>
        <w:lastRenderedPageBreak/>
        <w:tab/>
      </w:r>
      <w:r w:rsidR="00FA316B">
        <w:t>While</w:t>
      </w:r>
      <w:r>
        <w:t xml:space="preserve"> </w:t>
      </w:r>
      <w:r w:rsidR="000C2460" w:rsidRPr="000C2460">
        <w:t>the previous chapter made it clear that inscription was widely used and discussed among literate groups</w:t>
      </w:r>
      <w:r w:rsidR="000C2460">
        <w:t xml:space="preserve">, </w:t>
      </w:r>
      <w:r w:rsidR="000C2460" w:rsidRPr="000C2460">
        <w:t>this chapter explores the local dimensions of inscription practices in Bolton-le-Sands and Prestbury.</w:t>
      </w:r>
      <w:r w:rsidR="00FE5C6A">
        <w:t xml:space="preserve"> It explores wealth in both areas as well as</w:t>
      </w:r>
      <w:r w:rsidR="00FE5C6A" w:rsidRPr="00FE5C6A">
        <w:t xml:space="preserve"> a range of other metrics including population, work, social status, literacy, land ownership and bequeathing practices.</w:t>
      </w:r>
      <w:r w:rsidR="00B55BCF">
        <w:t xml:space="preserve"> </w:t>
      </w:r>
      <w:r>
        <w:t>It examines the social circumstances inhabited by the middling sort couples and individuals who commissioned inscriptions upon their homes and compares them with their peers living nearby. In the process, this chapter shows that there was no clear-cut connection between inscription and wealth. Inscribers were not the wealthiest in their communities as might be expected, and although they shared many characteristics with their neighbours, they possessed higher levels of literacy and exhibited stronger preferences for bequeathing their possessions within their immediate families. Together these findings suggest that meanings other than wealth were closely tied to domestic use</w:t>
      </w:r>
      <w:r w:rsidR="00023AC7">
        <w:t>s</w:t>
      </w:r>
      <w:r>
        <w:t xml:space="preserve"> of inscription in early modern England.</w:t>
      </w:r>
    </w:p>
    <w:p w14:paraId="749214DD" w14:textId="71FC5808" w:rsidR="00220A86" w:rsidRDefault="00220A86" w:rsidP="00220A86">
      <w:pPr>
        <w:spacing w:after="0" w:line="480" w:lineRule="auto"/>
        <w:ind w:firstLine="720"/>
        <w:jc w:val="both"/>
      </w:pPr>
      <w:r>
        <w:t>This chapter performs two kinds of cultural and socio-economic comparison. It compares the middling sorts in Bolton-le-Sands and Prestbury with each other and with those commissioning inscriptions upon their homes. In doing so, this chapter utilises two different datasets. The first</w:t>
      </w:r>
      <w:r w:rsidR="00C34535">
        <w:t>,</w:t>
      </w:r>
      <w:r>
        <w:t xml:space="preserve"> </w:t>
      </w:r>
      <w:r w:rsidR="00391E61">
        <w:t>labelled</w:t>
      </w:r>
      <w:r>
        <w:t xml:space="preserve"> the ‘wider survey’ throughout, represent</w:t>
      </w:r>
      <w:r w:rsidR="00C34535">
        <w:t>s</w:t>
      </w:r>
      <w:r>
        <w:t xml:space="preserve"> a broad pool of middling sort residents from each parish. </w:t>
      </w:r>
      <w:r w:rsidR="007871F2">
        <w:t>T</w:t>
      </w:r>
      <w:r>
        <w:t>he second</w:t>
      </w:r>
      <w:r w:rsidR="007871F2">
        <w:t>,</w:t>
      </w:r>
      <w:r>
        <w:t xml:space="preserve"> </w:t>
      </w:r>
      <w:r w:rsidR="007871F2">
        <w:t xml:space="preserve">referred to </w:t>
      </w:r>
      <w:r>
        <w:t>as the ‘core sample’, consist</w:t>
      </w:r>
      <w:r w:rsidR="007871F2">
        <w:t>s</w:t>
      </w:r>
      <w:r>
        <w:t xml:space="preserve"> only of people who inscribed their homes. The wider survey contains 198 people: 99 from Bolton-le-Sands and 99 from Prestbury. Each person included made a will prior to death and had their moveable goods recorded and valued in an inventory thereafter. As a result, discussions involving the wider survey are informed by 198 will and inventory pairs, encompassing 396 documents in total. In Bolton-le-Sands, all individuals in the </w:t>
      </w:r>
      <w:r w:rsidRPr="00C36F12">
        <w:t xml:space="preserve">wider survey </w:t>
      </w:r>
      <w:r>
        <w:lastRenderedPageBreak/>
        <w:t>lived within the townships of Bolton-le-Sands itself, Slyne-with-Hest, Nether Kellet and Over Kellet. In Prestbury, those surveyed lived in Butley, Sutton and Wildboarclough townships.</w:t>
      </w:r>
    </w:p>
    <w:p w14:paraId="23376723" w14:textId="59A14009" w:rsidR="00220A86" w:rsidRDefault="00220A86" w:rsidP="00220A86">
      <w:pPr>
        <w:spacing w:after="0" w:line="480" w:lineRule="auto"/>
        <w:ind w:firstLine="720"/>
        <w:jc w:val="both"/>
      </w:pPr>
      <w:r>
        <w:t>It was originally anticipated that the wider survey would contain 100 inhabitants from each area. Documentary survival for Prestbury acted as a limiting factor, however, as just 99 will and inventory pairs dated 1650-1750 survive for the townships considered here. Considerably more probate materials survive for Bolton-le-Sands parish townships, necessitating further sampling of available sources to create a dataset of equal size for each area.</w:t>
      </w:r>
      <w:r>
        <w:rPr>
          <w:rStyle w:val="FootnoteReference"/>
        </w:rPr>
        <w:footnoteReference w:id="300"/>
      </w:r>
      <w:r>
        <w:t xml:space="preserve"> While selecting as close to ten document pairs per decade would have produced as representative a sample as possible, surviving documents were unevenly distributed. Table 1 </w:t>
      </w:r>
      <w:r w:rsidR="0054733A">
        <w:t>(p.</w:t>
      </w:r>
      <w:r w:rsidR="009E5F5A">
        <w:t>395</w:t>
      </w:r>
      <w:r w:rsidR="0054733A">
        <w:t xml:space="preserve">) </w:t>
      </w:r>
      <w:r>
        <w:t xml:space="preserve">demonstrates how </w:t>
      </w:r>
      <w:r w:rsidRPr="001F2F8B">
        <w:t xml:space="preserve">some decades were necessarily over-represented </w:t>
      </w:r>
      <w:r>
        <w:t xml:space="preserve">within the sample </w:t>
      </w:r>
      <w:r w:rsidRPr="001F2F8B">
        <w:t>to balance the under-representation of others.</w:t>
      </w:r>
      <w:r>
        <w:t xml:space="preserve"> </w:t>
      </w:r>
      <w:r w:rsidRPr="00B10060">
        <w:t>Mark Overton</w:t>
      </w:r>
      <w:r w:rsidR="000B340D">
        <w:t>, Jane Whittle, Darron Dean and Andrew Hann</w:t>
      </w:r>
      <w:r w:rsidRPr="00B10060">
        <w:t xml:space="preserve"> have </w:t>
      </w:r>
      <w:r>
        <w:t xml:space="preserve">argued that inventories generally survive for those in </w:t>
      </w:r>
      <w:r w:rsidR="0081308D">
        <w:t xml:space="preserve">the </w:t>
      </w:r>
      <w:r>
        <w:t>broad social category of the middling sorts</w:t>
      </w:r>
      <w:r w:rsidRPr="00B10060">
        <w:t>.</w:t>
      </w:r>
      <w:r w:rsidRPr="00B10060">
        <w:rPr>
          <w:vertAlign w:val="superscript"/>
        </w:rPr>
        <w:footnoteReference w:id="301"/>
      </w:r>
      <w:r>
        <w:t xml:space="preserve"> Given that </w:t>
      </w:r>
      <w:proofErr w:type="gramStart"/>
      <w:r>
        <w:t>the majority of</w:t>
      </w:r>
      <w:proofErr w:type="gramEnd"/>
      <w:r>
        <w:t xml:space="preserve"> inscribers fell within this category, the wider survey will be used to understand middling sort people living in both areas.</w:t>
      </w:r>
    </w:p>
    <w:p w14:paraId="1F7C5F24" w14:textId="4E2C17B3" w:rsidR="00220A86" w:rsidRDefault="00220A86" w:rsidP="00220A86">
      <w:pPr>
        <w:spacing w:after="0" w:line="480" w:lineRule="auto"/>
        <w:ind w:firstLine="720"/>
        <w:jc w:val="both"/>
      </w:pPr>
      <w:r w:rsidRPr="00BF1D98">
        <w:t>The wider survey will be used to understand</w:t>
      </w:r>
      <w:r w:rsidR="00CC1D04">
        <w:t xml:space="preserve"> the</w:t>
      </w:r>
      <w:r w:rsidRPr="00BF1D98">
        <w:t xml:space="preserve"> </w:t>
      </w:r>
      <w:r>
        <w:t xml:space="preserve">differences between </w:t>
      </w:r>
      <w:r w:rsidR="006D36EE">
        <w:t>both par</w:t>
      </w:r>
      <w:r w:rsidRPr="00BF1D98">
        <w:t>ishes, establishing</w:t>
      </w:r>
      <w:r>
        <w:t xml:space="preserve"> the</w:t>
      </w:r>
      <w:r w:rsidRPr="00BF1D98">
        <w:t xml:space="preserve"> </w:t>
      </w:r>
      <w:r>
        <w:t>mean wealth of people within</w:t>
      </w:r>
      <w:r w:rsidRPr="00BF1D98">
        <w:t xml:space="preserve"> </w:t>
      </w:r>
      <w:r>
        <w:t>various</w:t>
      </w:r>
      <w:r w:rsidRPr="00BF1D98">
        <w:t xml:space="preserve"> categories according to sex, marital status and occupation</w:t>
      </w:r>
      <w:r>
        <w:t xml:space="preserve">. </w:t>
      </w:r>
      <w:r w:rsidRPr="00D125C6">
        <w:t>To understand inscription practi</w:t>
      </w:r>
      <w:r>
        <w:t>c</w:t>
      </w:r>
      <w:r w:rsidRPr="00D125C6">
        <w:t>es and inscribers themselves, individuals within the core sample</w:t>
      </w:r>
      <w:r w:rsidR="006D36EE">
        <w:t xml:space="preserve"> </w:t>
      </w:r>
      <w:r w:rsidRPr="00D125C6">
        <w:t xml:space="preserve">will then be </w:t>
      </w:r>
      <w:r>
        <w:t>considered alongside</w:t>
      </w:r>
      <w:r w:rsidRPr="00D125C6">
        <w:t xml:space="preserve"> those in the wider </w:t>
      </w:r>
      <w:r w:rsidRPr="00D125C6">
        <w:lastRenderedPageBreak/>
        <w:t xml:space="preserve">survey, </w:t>
      </w:r>
      <w:r>
        <w:t>investigati</w:t>
      </w:r>
      <w:r w:rsidRPr="00D125C6">
        <w:t xml:space="preserve">ng how </w:t>
      </w:r>
      <w:r>
        <w:t>inscribers’</w:t>
      </w:r>
      <w:r w:rsidRPr="00D125C6">
        <w:t xml:space="preserve"> </w:t>
      </w:r>
      <w:r>
        <w:t>w</w:t>
      </w:r>
      <w:r w:rsidRPr="00D125C6">
        <w:t>ills and inventories compare</w:t>
      </w:r>
      <w:r>
        <w:t>d</w:t>
      </w:r>
      <w:r w:rsidRPr="00D125C6">
        <w:t xml:space="preserve"> with others of comparable status within their communities</w:t>
      </w:r>
      <w:r>
        <w:t xml:space="preserve">. </w:t>
      </w:r>
      <w:r w:rsidRPr="00900F64">
        <w:t>Much smaller than the wider survey, the core sample contains</w:t>
      </w:r>
      <w:r>
        <w:t xml:space="preserve"> 38</w:t>
      </w:r>
      <w:r w:rsidRPr="00900F64">
        <w:t xml:space="preserve"> </w:t>
      </w:r>
      <w:r>
        <w:t>householder</w:t>
      </w:r>
      <w:r w:rsidRPr="00900F64">
        <w:t>s</w:t>
      </w:r>
      <w:r>
        <w:t xml:space="preserve"> (19 from Bolton-le-Sands and 19 from Prestbury). These householders are in turn connected</w:t>
      </w:r>
      <w:r w:rsidRPr="00CC1856">
        <w:t xml:space="preserve"> with</w:t>
      </w:r>
      <w:r>
        <w:t xml:space="preserve"> 20</w:t>
      </w:r>
      <w:r w:rsidRPr="00CC1856">
        <w:t xml:space="preserve"> inscribed properties, </w:t>
      </w:r>
      <w:r>
        <w:t>ten</w:t>
      </w:r>
      <w:r w:rsidRPr="00CC1856">
        <w:t xml:space="preserve"> from each area</w:t>
      </w:r>
      <w:r>
        <w:t xml:space="preserve">. </w:t>
      </w:r>
      <w:r w:rsidRPr="004B7AD3">
        <w:t>Terminology used to refer to the wider survey is consistent throughout</w:t>
      </w:r>
      <w:r>
        <w:t xml:space="preserve"> the chapter,</w:t>
      </w:r>
      <w:r w:rsidRPr="004B7AD3">
        <w:t xml:space="preserve"> but people within the core sample </w:t>
      </w:r>
      <w:r>
        <w:t>have</w:t>
      </w:r>
      <w:r w:rsidRPr="004B7AD3">
        <w:t xml:space="preserve"> </w:t>
      </w:r>
      <w:r>
        <w:t xml:space="preserve">often </w:t>
      </w:r>
      <w:r w:rsidRPr="004B7AD3">
        <w:t xml:space="preserve">also </w:t>
      </w:r>
      <w:r>
        <w:t xml:space="preserve">been described </w:t>
      </w:r>
      <w:r w:rsidRPr="004B7AD3">
        <w:t>as</w:t>
      </w:r>
      <w:r>
        <w:t xml:space="preserve"> ‘inscribers’.</w:t>
      </w:r>
      <w:r>
        <w:rPr>
          <w:rStyle w:val="FootnoteReference"/>
        </w:rPr>
        <w:footnoteReference w:id="302"/>
      </w:r>
    </w:p>
    <w:p w14:paraId="015AAF1D" w14:textId="57D1D4ED" w:rsidR="00220A86" w:rsidRDefault="00220A86" w:rsidP="00220A86">
      <w:pPr>
        <w:spacing w:after="0" w:line="480" w:lineRule="auto"/>
        <w:ind w:firstLine="720"/>
        <w:jc w:val="both"/>
      </w:pPr>
      <w:r>
        <w:t xml:space="preserve">Beyond the core sample of 20 inscribed homes, </w:t>
      </w:r>
      <w:r w:rsidRPr="009448A9">
        <w:t>many more</w:t>
      </w:r>
      <w:r>
        <w:t xml:space="preserve"> inscribed properties survive</w:t>
      </w:r>
      <w:r w:rsidRPr="009448A9">
        <w:t xml:space="preserve"> in both areas</w:t>
      </w:r>
      <w:r>
        <w:t>. There is no way of reliably ascertaining original numbers of such properties, but considerably more remain standing in northern Lancashire than in east Cheshire. The Bolton-le-Sands townships are home to at least 54 inscribed properties in total, while at least 36 are present within the Prestbury case study area.</w:t>
      </w:r>
      <w:r w:rsidRPr="009448A9">
        <w:t xml:space="preserve"> </w:t>
      </w:r>
      <w:r>
        <w:t>Some of these</w:t>
      </w:r>
      <w:r w:rsidRPr="009448A9">
        <w:t xml:space="preserve"> </w:t>
      </w:r>
      <w:r>
        <w:t xml:space="preserve">additional properties </w:t>
      </w:r>
      <w:r w:rsidRPr="009448A9">
        <w:t xml:space="preserve">will be </w:t>
      </w:r>
      <w:r>
        <w:t>discussed</w:t>
      </w:r>
      <w:r w:rsidRPr="009448A9">
        <w:t xml:space="preserve"> in later chapters,</w:t>
      </w:r>
      <w:r>
        <w:t xml:space="preserve"> particularly in relation to the inscribed imagery and symbols used in each parish. While many of these additional properties are of uncertain provenance, the core sample is composed only of properties where it has been possible to trace the original inscribers. Tables 2 and 3 </w:t>
      </w:r>
      <w:r w:rsidR="0054733A">
        <w:t>(page</w:t>
      </w:r>
      <w:r w:rsidR="009E5F5A">
        <w:t>s 396</w:t>
      </w:r>
      <w:r w:rsidR="0054733A">
        <w:t xml:space="preserve"> and </w:t>
      </w:r>
      <w:r w:rsidR="009E5F5A">
        <w:t>397</w:t>
      </w:r>
      <w:r w:rsidR="0054733A">
        <w:t xml:space="preserve">) </w:t>
      </w:r>
      <w:r>
        <w:t>provide details of all homes and inscribers included in the core sample, accompanied by a list of all surviving inscriptions. As can be seen,</w:t>
      </w:r>
      <w:r w:rsidRPr="00540164">
        <w:t xml:space="preserve"> wills and inventories </w:t>
      </w:r>
      <w:r>
        <w:t>exist for less than half of all inscribers,</w:t>
      </w:r>
      <w:r w:rsidRPr="00540164">
        <w:t xml:space="preserve"> with seven wills and eight inventories </w:t>
      </w:r>
      <w:r>
        <w:t>available</w:t>
      </w:r>
      <w:r w:rsidRPr="00540164">
        <w:t xml:space="preserve"> </w:t>
      </w:r>
      <w:r>
        <w:t xml:space="preserve">for inscribers in </w:t>
      </w:r>
      <w:r w:rsidRPr="00540164">
        <w:t>Bolton</w:t>
      </w:r>
      <w:r>
        <w:t>-l</w:t>
      </w:r>
      <w:r w:rsidRPr="00540164">
        <w:t>e</w:t>
      </w:r>
      <w:r>
        <w:t>-S</w:t>
      </w:r>
      <w:r w:rsidRPr="00540164">
        <w:t>ands</w:t>
      </w:r>
      <w:r>
        <w:t>,</w:t>
      </w:r>
      <w:r w:rsidRPr="00540164">
        <w:t xml:space="preserve"> and five wills and </w:t>
      </w:r>
      <w:r>
        <w:t>just</w:t>
      </w:r>
      <w:r w:rsidRPr="00540164">
        <w:t xml:space="preserve"> one inventory </w:t>
      </w:r>
      <w:r>
        <w:t>linked to</w:t>
      </w:r>
      <w:r w:rsidRPr="00540164">
        <w:t xml:space="preserve"> </w:t>
      </w:r>
      <w:r>
        <w:t xml:space="preserve">inscribers in </w:t>
      </w:r>
      <w:r w:rsidRPr="00540164">
        <w:t>Prestbury</w:t>
      </w:r>
      <w:r>
        <w:t>. In this context, data from the wider survey is also useful in mitigating documentary scarcity among the core sample, shedding light on inscribers where documents linked directly to them were not obtainable.</w:t>
      </w:r>
    </w:p>
    <w:p w14:paraId="0EFCA682" w14:textId="61B03CB0" w:rsidR="00220A86" w:rsidRDefault="00220A86" w:rsidP="00220A86">
      <w:pPr>
        <w:spacing w:after="0" w:line="480" w:lineRule="auto"/>
        <w:ind w:firstLine="720"/>
        <w:jc w:val="both"/>
      </w:pPr>
      <w:r>
        <w:lastRenderedPageBreak/>
        <w:t>This chapter is broken down into four sections: population and wealth; work; literacy; and bequeathing practices. Charting the basic composition of both case study areas, t</w:t>
      </w:r>
      <w:r w:rsidRPr="0036106C">
        <w:t xml:space="preserve">he </w:t>
      </w:r>
      <w:r>
        <w:t>first</w:t>
      </w:r>
      <w:r w:rsidRPr="0036106C">
        <w:t xml:space="preserve"> section uses hearth tax </w:t>
      </w:r>
      <w:r>
        <w:t xml:space="preserve">records </w:t>
      </w:r>
      <w:r w:rsidRPr="0036106C">
        <w:t>to estimate overall population and</w:t>
      </w:r>
      <w:r>
        <w:t xml:space="preserve"> uses</w:t>
      </w:r>
      <w:r w:rsidRPr="0036106C">
        <w:t xml:space="preserve"> inventory data to explore assessed wealth</w:t>
      </w:r>
      <w:r>
        <w:t xml:space="preserve"> in each parish. It shows</w:t>
      </w:r>
      <w:r w:rsidRPr="0036106C">
        <w:t xml:space="preserve"> that Prestbury was </w:t>
      </w:r>
      <w:r>
        <w:t xml:space="preserve">both </w:t>
      </w:r>
      <w:r w:rsidRPr="0036106C">
        <w:t>more populous</w:t>
      </w:r>
      <w:r>
        <w:t xml:space="preserve"> than Bolton-le-Sands</w:t>
      </w:r>
      <w:r w:rsidRPr="0036106C">
        <w:t xml:space="preserve"> and that the middling sorts living there were </w:t>
      </w:r>
      <w:r>
        <w:t>financially</w:t>
      </w:r>
      <w:r w:rsidRPr="0036106C">
        <w:t xml:space="preserve"> better </w:t>
      </w:r>
      <w:r>
        <w:t>off</w:t>
      </w:r>
      <w:r w:rsidRPr="0036106C">
        <w:t xml:space="preserve">. </w:t>
      </w:r>
      <w:r>
        <w:t>Crucially, this section also reveals that inscribers were not the wealthiest within their communities, with their inventories consistently showing them to be less affluent than their peers. Following on from this, t</w:t>
      </w:r>
      <w:r w:rsidRPr="000D3082">
        <w:t xml:space="preserve">he </w:t>
      </w:r>
      <w:r>
        <w:t xml:space="preserve">second </w:t>
      </w:r>
      <w:r w:rsidRPr="000D3082">
        <w:t xml:space="preserve">section </w:t>
      </w:r>
      <w:r w:rsidR="00793C47">
        <w:t xml:space="preserve">compares </w:t>
      </w:r>
      <w:r w:rsidR="00BA5DF0">
        <w:t>occupational structures in each parish, including</w:t>
      </w:r>
      <w:r>
        <w:t xml:space="preserve"> the profitability of</w:t>
      </w:r>
      <w:r w:rsidRPr="000D3082">
        <w:t xml:space="preserve"> different forms of labour undertaken. </w:t>
      </w:r>
      <w:r>
        <w:t>This section</w:t>
      </w:r>
      <w:r w:rsidRPr="000D3082">
        <w:t xml:space="preserve"> shows how arable agriculture was similarly prevalent in both communities but that there were notable differences in livestock farming, accounting for greater wealth among yeomen and husbandmen in Prestbury. </w:t>
      </w:r>
      <w:r>
        <w:t>Since most inscribers were yeomen</w:t>
      </w:r>
      <w:r w:rsidR="00130F53">
        <w:t>,</w:t>
      </w:r>
      <w:r>
        <w:t xml:space="preserve"> it is possible to conclude that inscribers living in east Cheshire were likely wealthier than in </w:t>
      </w:r>
      <w:r w:rsidRPr="007F2879">
        <w:t>Bolton-le-Sands</w:t>
      </w:r>
      <w:r>
        <w:t xml:space="preserve">, even if </w:t>
      </w:r>
      <w:r w:rsidR="00D836FA">
        <w:t>inscribers</w:t>
      </w:r>
      <w:r>
        <w:t xml:space="preserve"> living in both areas were not the wealthiest group among their neighbours.</w:t>
      </w:r>
    </w:p>
    <w:p w14:paraId="0D8C7AD5" w14:textId="64A17CDA" w:rsidR="00220A86" w:rsidRDefault="00220A86" w:rsidP="00220A86">
      <w:pPr>
        <w:spacing w:after="0" w:line="480" w:lineRule="auto"/>
        <w:ind w:firstLine="720"/>
        <w:jc w:val="both"/>
      </w:pPr>
      <w:r>
        <w:t>Building on considerations of printed material in the previous chapter, the third section examines the ability to read and write in both parishes. Using different forms of subscription marks in wills, it delineates literacy rates and investigates how widely initials carved upon homes would have been understood in both communities.</w:t>
      </w:r>
      <w:r w:rsidRPr="00A94C71">
        <w:t xml:space="preserve"> </w:t>
      </w:r>
      <w:r>
        <w:t>Although it is understandably difficult to ascertain how many people could read but not</w:t>
      </w:r>
      <w:r w:rsidR="00D836FA">
        <w:t xml:space="preserve"> necessarily</w:t>
      </w:r>
      <w:r>
        <w:t xml:space="preserve"> write, this process reveals that familiarity with text was high among the middling sorts in both areas, with most testators at least able to form and therefore recognise the alphabet. Notably, literacy was even higher among inscribers. Ultimately, this section demonstrates that inscriptions carved upon homes had a wide audience in contemporary Bolton-le-Sands and Prestbury and that they constituted an important socio-cultural language, carrying </w:t>
      </w:r>
      <w:r>
        <w:lastRenderedPageBreak/>
        <w:t>connotations of status (in addition to other meanings, which will be explored in later chapters).</w:t>
      </w:r>
    </w:p>
    <w:p w14:paraId="615105CC" w14:textId="4EEF0962" w:rsidR="00220A86" w:rsidRDefault="00220A86" w:rsidP="00220A86">
      <w:pPr>
        <w:spacing w:after="0" w:line="480" w:lineRule="auto"/>
        <w:ind w:firstLine="720"/>
        <w:jc w:val="both"/>
      </w:pPr>
      <w:r>
        <w:t xml:space="preserve">The final section works with wills to examine </w:t>
      </w:r>
      <w:r w:rsidRPr="000F256F">
        <w:t>b</w:t>
      </w:r>
      <w:r>
        <w:t>e</w:t>
      </w:r>
      <w:r w:rsidRPr="000F256F">
        <w:t>quests of land, household goods and cash in both areas. It demonstrate</w:t>
      </w:r>
      <w:r>
        <w:t>s</w:t>
      </w:r>
      <w:r w:rsidRPr="000F256F">
        <w:t xml:space="preserve"> how </w:t>
      </w:r>
      <w:r w:rsidR="004863C9">
        <w:t xml:space="preserve">the most dominant form of </w:t>
      </w:r>
      <w:r w:rsidRPr="000F256F">
        <w:t>land ownership differed</w:t>
      </w:r>
      <w:r>
        <w:t xml:space="preserve"> in both regions</w:t>
      </w:r>
      <w:r w:rsidRPr="000F256F">
        <w:t xml:space="preserve">, with complex tenancy agreements in Prestbury likely accounting for lower </w:t>
      </w:r>
      <w:r>
        <w:t xml:space="preserve">relative numbers of </w:t>
      </w:r>
      <w:r w:rsidRPr="000F256F">
        <w:t>will</w:t>
      </w:r>
      <w:r>
        <w:t>-makers among the local population</w:t>
      </w:r>
      <w:r w:rsidRPr="000F256F">
        <w:t>.</w:t>
      </w:r>
      <w:r>
        <w:t xml:space="preserve"> </w:t>
      </w:r>
      <w:r w:rsidR="00E356B2">
        <w:t>It shows</w:t>
      </w:r>
      <w:r>
        <w:t xml:space="preserve"> </w:t>
      </w:r>
      <w:r w:rsidR="002E7679">
        <w:t>that</w:t>
      </w:r>
      <w:r>
        <w:t xml:space="preserve"> Prestbury residents </w:t>
      </w:r>
      <w:r w:rsidR="002C029B">
        <w:t>had fewer freedoms</w:t>
      </w:r>
      <w:r w:rsidR="00B3229C">
        <w:t xml:space="preserve"> </w:t>
      </w:r>
      <w:r w:rsidR="00F97AB9">
        <w:t>than in Bolton-le-Sands</w:t>
      </w:r>
      <w:r>
        <w:t xml:space="preserve">, subject to restrictions in buying and selling </w:t>
      </w:r>
      <w:r w:rsidR="00510D9B">
        <w:t>property</w:t>
      </w:r>
      <w:r>
        <w:t xml:space="preserve"> and unable to raise mortgages against their land and homes.</w:t>
      </w:r>
      <w:r w:rsidRPr="000F256F">
        <w:t xml:space="preserve"> </w:t>
      </w:r>
      <w:r>
        <w:t>Examining cash bequests here also betrays customary differences between the two parishes, with testators in Prestbury more likely to disperse money widely among kin and friends than in Bolton-le-Sands. In contrast with this, a much greater tendency among inscribers to bequeath cash primarily to children and spouses suggests a heightened concern with inheritance, lineage and the maintenance of wealth within the nuclear family.</w:t>
      </w:r>
    </w:p>
    <w:p w14:paraId="0648D6F9" w14:textId="77777777" w:rsidR="006013FB" w:rsidRDefault="006013FB" w:rsidP="00220A86">
      <w:pPr>
        <w:spacing w:after="0" w:line="480" w:lineRule="auto"/>
        <w:jc w:val="both"/>
        <w:rPr>
          <w:b/>
          <w:bCs/>
        </w:rPr>
      </w:pPr>
    </w:p>
    <w:p w14:paraId="1B3E289E" w14:textId="564DEB4D" w:rsidR="00220A86" w:rsidRDefault="00220A86" w:rsidP="00220A86">
      <w:pPr>
        <w:spacing w:after="0" w:line="480" w:lineRule="auto"/>
        <w:jc w:val="both"/>
        <w:rPr>
          <w:b/>
          <w:bCs/>
        </w:rPr>
      </w:pPr>
      <w:r>
        <w:rPr>
          <w:b/>
          <w:bCs/>
        </w:rPr>
        <w:t>Population, Wealth and Status in Bolton-le-Sands and Prestbury</w:t>
      </w:r>
    </w:p>
    <w:p w14:paraId="3AA8FD2E" w14:textId="1C418E30" w:rsidR="00220A86" w:rsidRDefault="00220A86" w:rsidP="00220A86">
      <w:pPr>
        <w:spacing w:after="0" w:line="480" w:lineRule="auto"/>
        <w:jc w:val="both"/>
      </w:pPr>
      <w:r>
        <w:tab/>
        <w:t xml:space="preserve">This section begins by analysing population in </w:t>
      </w:r>
      <w:r w:rsidRPr="006D5691">
        <w:t>Bolton-le-Sands and Prestbury</w:t>
      </w:r>
      <w:r>
        <w:t xml:space="preserve"> parishes via the 1664 hearth tax. It shows that Prestbury was considerably more populous at the start of the period considered here </w:t>
      </w:r>
      <w:r w:rsidR="00D66D78">
        <w:t>and</w:t>
      </w:r>
      <w:r>
        <w:t xml:space="preserve"> that</w:t>
      </w:r>
      <w:r w:rsidR="00D66D78">
        <w:t>, based on numbers of hearths,</w:t>
      </w:r>
      <w:r>
        <w:t xml:space="preserve"> the two regions </w:t>
      </w:r>
      <w:r w:rsidR="00F34393">
        <w:t xml:space="preserve">had a similar balance of </w:t>
      </w:r>
      <w:r w:rsidR="00EC0DF2">
        <w:t>comparab</w:t>
      </w:r>
      <w:r w:rsidR="00D66D78">
        <w:t>ly sized homes</w:t>
      </w:r>
      <w:r w:rsidR="00112815">
        <w:t>.</w:t>
      </w:r>
      <w:r>
        <w:t xml:space="preserve"> This discussion is followed </w:t>
      </w:r>
      <w:r w:rsidR="00AF77D3">
        <w:t xml:space="preserve">by </w:t>
      </w:r>
      <w:r>
        <w:t xml:space="preserve">an examination of wealth. Importantly, all indices available for assessing wealth in early modern England have their limitations, and Bolton-le-Sands and Prestbury are no exception. It is incredibly rare to be able to assess prosperity over the full course of the life cycle and the inventories used here depict only a single moment, shortly after death. The information they contain suggests that middling sort residents in Prestbury were more affluent than in Bolton-le-Sands. Conversely, </w:t>
      </w:r>
      <w:r>
        <w:lastRenderedPageBreak/>
        <w:t>inscribers’ inventories consistently exhibited less wealth than the average within their status group. Combined with the absence of inscribers from many hearth tax returns and the scarcity of inventories available for many of them, this discussion reveals that wealth is a limited lens for examining inscription practices. In so doing, it highlights the necessity of examining other factors like literacy and property ownership to understand the meanings inscriptions carried, paving the way for discussions in the rest of the chapter.</w:t>
      </w:r>
    </w:p>
    <w:p w14:paraId="0005A801" w14:textId="77777777" w:rsidR="00220A86" w:rsidRDefault="00220A86" w:rsidP="00220A86">
      <w:pPr>
        <w:spacing w:after="0" w:line="480" w:lineRule="auto"/>
        <w:jc w:val="both"/>
      </w:pPr>
    </w:p>
    <w:p w14:paraId="740ADD1E" w14:textId="3FCA7CE8" w:rsidR="00220A86" w:rsidRPr="00B37207" w:rsidRDefault="00220A86" w:rsidP="00220A86">
      <w:pPr>
        <w:spacing w:after="0" w:line="480" w:lineRule="auto"/>
        <w:jc w:val="both"/>
        <w:rPr>
          <w:i/>
          <w:iCs/>
        </w:rPr>
      </w:pPr>
      <w:r>
        <w:rPr>
          <w:i/>
          <w:iCs/>
        </w:rPr>
        <w:t>Population Levels in Hearth Tax Returns from Bolton-le-Sands and Prestbury</w:t>
      </w:r>
    </w:p>
    <w:p w14:paraId="5FD1AEED" w14:textId="77777777" w:rsidR="00220A86" w:rsidRPr="00134F07" w:rsidRDefault="00220A86" w:rsidP="00220A86">
      <w:pPr>
        <w:spacing w:after="0" w:line="480" w:lineRule="auto"/>
        <w:ind w:firstLine="720"/>
        <w:jc w:val="both"/>
      </w:pPr>
      <w:r>
        <w:t xml:space="preserve">Previous studies of individual parishes have estimated overall population through combined analysis of probate documents and parish registers (as with Carmel Biggs’ study of Blakesley, Northamptonshire) or have used registers to perform ‘parish reconstitution’ (as with Tony Wrigley and Roger Schofield’s </w:t>
      </w:r>
      <w:r>
        <w:rPr>
          <w:i/>
          <w:iCs/>
        </w:rPr>
        <w:t>The Population History of England</w:t>
      </w:r>
      <w:r>
        <w:t>).</w:t>
      </w:r>
      <w:r w:rsidRPr="00877B57">
        <w:rPr>
          <w:vertAlign w:val="superscript"/>
        </w:rPr>
        <w:footnoteReference w:id="303"/>
      </w:r>
      <w:r>
        <w:t xml:space="preserve"> Neither approach is feasible here. Prestbury parish registers comprise large pieces of folded – often damaged – vellum, upon which entries for all 32 townships are </w:t>
      </w:r>
      <w:proofErr w:type="gramStart"/>
      <w:r>
        <w:t>mixed together</w:t>
      </w:r>
      <w:proofErr w:type="gramEnd"/>
      <w:r>
        <w:t xml:space="preserve">, complicating the study of individual townships. Parish registers for both case study areas are also frequently silent where key life cycle events were known to have taken place – </w:t>
      </w:r>
      <w:r w:rsidRPr="002C46B6">
        <w:t>for example, where additional documents clarify that marriages and births occurred</w:t>
      </w:r>
      <w:r>
        <w:t>,</w:t>
      </w:r>
      <w:r w:rsidRPr="002C46B6">
        <w:t xml:space="preserve"> but no traces of weddings or baptisms exist</w:t>
      </w:r>
      <w:r>
        <w:t xml:space="preserve">. For some Prestbury townships, these silences are especially prevalent. </w:t>
      </w:r>
      <w:r w:rsidRPr="00134F07">
        <w:t>R</w:t>
      </w:r>
      <w:r>
        <w:t>ecords</w:t>
      </w:r>
      <w:r w:rsidRPr="00134F07">
        <w:t xml:space="preserve"> are particularly sparse for Wildboarclough </w:t>
      </w:r>
      <w:r>
        <w:t xml:space="preserve">township, for example, </w:t>
      </w:r>
      <w:r w:rsidRPr="00134F07">
        <w:t xml:space="preserve">and it appears that, due to the size of Prestbury parish and </w:t>
      </w:r>
      <w:proofErr w:type="spellStart"/>
      <w:r w:rsidRPr="00134F07">
        <w:t>Wildboarclough’s</w:t>
      </w:r>
      <w:proofErr w:type="spellEnd"/>
      <w:r w:rsidRPr="00134F07">
        <w:t xml:space="preserve"> relative isolation within a secluded valley, inhabitants had less regular contact with the parish church,</w:t>
      </w:r>
      <w:r>
        <w:t xml:space="preserve"> which was</w:t>
      </w:r>
      <w:r w:rsidRPr="00134F07">
        <w:t xml:space="preserve"> eleven miles away by road. Nearby Forest Chapel dates to at least 1673, but a 1707 source </w:t>
      </w:r>
      <w:r w:rsidRPr="00134F07">
        <w:lastRenderedPageBreak/>
        <w:t>states that the chapel was ‘not consecrated’ with ‘no certain maintenance for a minister’, and registers there do not begin until 1759.</w:t>
      </w:r>
      <w:r w:rsidRPr="00134F07">
        <w:rPr>
          <w:vertAlign w:val="superscript"/>
        </w:rPr>
        <w:t xml:space="preserve"> </w:t>
      </w:r>
      <w:r w:rsidRPr="00134F07">
        <w:rPr>
          <w:vertAlign w:val="superscript"/>
        </w:rPr>
        <w:footnoteReference w:id="304"/>
      </w:r>
      <w:r w:rsidRPr="00134F07">
        <w:t xml:space="preserve"> In his wider analysis of </w:t>
      </w:r>
      <w:proofErr w:type="gramStart"/>
      <w:r w:rsidRPr="00134F07">
        <w:t>Cheshire county</w:t>
      </w:r>
      <w:proofErr w:type="gramEnd"/>
      <w:r w:rsidRPr="00134F07">
        <w:t>, R. B. Walker suggested that – based on 1821 attendance records – only around 20% of the population appear to have attended regular services, which Walker has attributed to Cheshire’s multiple especially large parishes, like Prestbury.</w:t>
      </w:r>
      <w:r w:rsidRPr="00134F07">
        <w:rPr>
          <w:vertAlign w:val="superscript"/>
        </w:rPr>
        <w:footnoteReference w:id="305"/>
      </w:r>
    </w:p>
    <w:p w14:paraId="0A309870" w14:textId="77777777" w:rsidR="00220A86" w:rsidRDefault="00220A86" w:rsidP="00220A86">
      <w:pPr>
        <w:spacing w:after="0" w:line="480" w:lineRule="auto"/>
        <w:jc w:val="both"/>
      </w:pPr>
      <w:r>
        <w:tab/>
        <w:t xml:space="preserve">In the face of these difficulties, the hearth tax is the most suitable tool for understanding population in both areas. </w:t>
      </w:r>
      <w:r w:rsidRPr="00A5488A">
        <w:t>Levied twice a year, at Lady Day and Michaelmas, the hearth tax ran for 27 years</w:t>
      </w:r>
      <w:r>
        <w:t xml:space="preserve"> between 1662 and 1689</w:t>
      </w:r>
      <w:r w:rsidRPr="00A5488A">
        <w:t>.</w:t>
      </w:r>
      <w:r w:rsidRPr="00A5488A">
        <w:rPr>
          <w:vertAlign w:val="superscript"/>
        </w:rPr>
        <w:footnoteReference w:id="306"/>
      </w:r>
      <w:r>
        <w:t xml:space="preserve"> Documents vary greatly in coverage and detail, and survival is inconsistent: Bolton-le-Sands townships appear in surviving tax returns for 1663-66 and 1670-73, while some of the Prestbury townships considered here appear in records from 1662-64 and 1670-74. Some returns provide lists of names, showing heads of all taxed households and the numbers of hearths within their homes, while others cite only total sums collected in each area, offering no insight into individual inhabitants. There are recurrent issues with those absent from the hearth tax too, as exemption clauses were added to the 1662 parliamentary bill which introduced it, thereby excluding all tenants of properties worth less than twenty shillings’ annual rent as well as those with estates small enough to be excused from paying rates to the church.</w:t>
      </w:r>
      <w:r>
        <w:rPr>
          <w:rStyle w:val="FootnoteReference"/>
        </w:rPr>
        <w:footnoteReference w:id="307"/>
      </w:r>
      <w:r>
        <w:t xml:space="preserve"> Exemption certificates were produced separately and are as variable in their survival as the hearth tax itself. Although those exempted were often described as paupers, Adrian Green has noted that many were </w:t>
      </w:r>
      <w:r>
        <w:lastRenderedPageBreak/>
        <w:t>not actually in receipt of poor relief, with the most marginal and transitory branches of society (‘actual paupers’) not captured by the hearth tax at all.</w:t>
      </w:r>
      <w:r w:rsidRPr="00312084">
        <w:rPr>
          <w:rStyle w:val="FootnoteReference"/>
        </w:rPr>
        <w:t xml:space="preserve"> </w:t>
      </w:r>
      <w:r>
        <w:rPr>
          <w:rStyle w:val="FootnoteReference"/>
        </w:rPr>
        <w:footnoteReference w:id="308"/>
      </w:r>
    </w:p>
    <w:p w14:paraId="0554A81B" w14:textId="77777777" w:rsidR="00220A86" w:rsidRDefault="00220A86" w:rsidP="00220A86">
      <w:pPr>
        <w:spacing w:after="0" w:line="480" w:lineRule="auto"/>
        <w:ind w:firstLine="720"/>
        <w:jc w:val="both"/>
      </w:pPr>
      <w:r>
        <w:t>In light of exemption and absence, some historians have suggested that up to a third of the population may be missing from hearth tax records.</w:t>
      </w:r>
      <w:r>
        <w:rPr>
          <w:rStyle w:val="FootnoteReference"/>
        </w:rPr>
        <w:footnoteReference w:id="309"/>
      </w:r>
      <w:r>
        <w:t xml:space="preserve"> In response, </w:t>
      </w:r>
      <w:r w:rsidRPr="00F41327">
        <w:t>Grace Wyatt has shown that two estimates of tot</w:t>
      </w:r>
      <w:r>
        <w:t>al</w:t>
      </w:r>
      <w:r w:rsidRPr="00F41327">
        <w:t xml:space="preserve"> </w:t>
      </w:r>
      <w:r>
        <w:t xml:space="preserve">English </w:t>
      </w:r>
      <w:r w:rsidRPr="00F41327">
        <w:t xml:space="preserve">population based </w:t>
      </w:r>
      <w:r>
        <w:t xml:space="preserve">solely </w:t>
      </w:r>
      <w:r w:rsidRPr="00F41327">
        <w:t>on tax</w:t>
      </w:r>
      <w:r>
        <w:t xml:space="preserve"> returns </w:t>
      </w:r>
      <w:r w:rsidRPr="00F41327">
        <w:t xml:space="preserve">produced similar figures to those of </w:t>
      </w:r>
      <w:r>
        <w:t>T</w:t>
      </w:r>
      <w:r w:rsidRPr="00F41327">
        <w:t>ony Wrigley and Roger Schofield</w:t>
      </w:r>
      <w:r>
        <w:t xml:space="preserve"> – </w:t>
      </w:r>
      <w:r w:rsidRPr="00F41327">
        <w:t>who made no use of hearth tax data.</w:t>
      </w:r>
      <w:r w:rsidRPr="00F41327">
        <w:rPr>
          <w:vertAlign w:val="superscript"/>
        </w:rPr>
        <w:footnoteReference w:id="310"/>
      </w:r>
      <w:r>
        <w:t xml:space="preserve"> Consequently, in spite of possible pitfalls, the hearth tax is the best available source for understanding population levels in Bolton-le-Sands and Prestbury. Karen O’Brien has used the 1664 hearth tax return to examine population composition and living standards within the Cheshire </w:t>
      </w:r>
      <w:proofErr w:type="spellStart"/>
      <w:r>
        <w:t>hundred</w:t>
      </w:r>
      <w:proofErr w:type="spellEnd"/>
      <w:r>
        <w:t xml:space="preserve"> of Nantwich – c.30 miles from the southern Prestbury parish boundary.</w:t>
      </w:r>
      <w:r>
        <w:rPr>
          <w:rStyle w:val="FootnoteReference"/>
        </w:rPr>
        <w:footnoteReference w:id="311"/>
      </w:r>
      <w:r>
        <w:t xml:space="preserve"> In 1664, rather than using separate exemption certificates, constables </w:t>
      </w:r>
      <w:r w:rsidRPr="002351D7">
        <w:t>listed chargeable and non-chargeable homes alongside one another</w:t>
      </w:r>
      <w:r>
        <w:t>, naming heads of both types of household within a single document</w:t>
      </w:r>
      <w:r w:rsidRPr="002351D7">
        <w:t>.</w:t>
      </w:r>
      <w:r>
        <w:rPr>
          <w:rStyle w:val="FootnoteReference"/>
        </w:rPr>
        <w:footnoteReference w:id="312"/>
      </w:r>
      <w:r>
        <w:t xml:space="preserve"> Surviving returns for 1664 for both Bolton-le-Sands and Prestbury have the same characteristics as those for Nantwich, naming individual household heads and constituting the most complete snapshot of life in both communities. </w:t>
      </w:r>
    </w:p>
    <w:p w14:paraId="1BC1B5C1" w14:textId="3F59953E" w:rsidR="00220A86" w:rsidRDefault="00220A86" w:rsidP="00220A86">
      <w:pPr>
        <w:spacing w:after="0" w:line="480" w:lineRule="auto"/>
        <w:ind w:firstLine="720"/>
        <w:jc w:val="both"/>
      </w:pPr>
      <w:r w:rsidRPr="000E49B6">
        <w:t xml:space="preserve">Table </w:t>
      </w:r>
      <w:r>
        <w:t>4</w:t>
      </w:r>
      <w:r w:rsidRPr="000E49B6">
        <w:t xml:space="preserve"> </w:t>
      </w:r>
      <w:r w:rsidR="0054733A">
        <w:t>(p.</w:t>
      </w:r>
      <w:r w:rsidR="00B717A7">
        <w:t>398</w:t>
      </w:r>
      <w:r w:rsidR="0054733A">
        <w:t xml:space="preserve">) </w:t>
      </w:r>
      <w:r w:rsidRPr="000E49B6">
        <w:t xml:space="preserve">shows the number of households listed in </w:t>
      </w:r>
      <w:r>
        <w:t>Bolton-le-Sands</w:t>
      </w:r>
      <w:r w:rsidRPr="000E49B6">
        <w:t xml:space="preserve"> and Prestbury in the</w:t>
      </w:r>
      <w:r>
        <w:t xml:space="preserve"> 1664</w:t>
      </w:r>
      <w:r w:rsidRPr="000E49B6">
        <w:t xml:space="preserve"> </w:t>
      </w:r>
      <w:r>
        <w:t>hearth tax, with more homes in Prestbury than in Bolton-le-Sands</w:t>
      </w:r>
      <w:r w:rsidRPr="000E49B6">
        <w:t>.</w:t>
      </w:r>
      <w:r>
        <w:t xml:space="preserve"> Constables collecting taxes in Lancashire listed</w:t>
      </w:r>
      <w:r w:rsidRPr="00686901">
        <w:t xml:space="preserve"> </w:t>
      </w:r>
      <w:r>
        <w:t xml:space="preserve">156 households across the townships of </w:t>
      </w:r>
      <w:r>
        <w:lastRenderedPageBreak/>
        <w:t>Bolton-le-Sands</w:t>
      </w:r>
      <w:r w:rsidRPr="00686901">
        <w:t xml:space="preserve">, </w:t>
      </w:r>
      <w:r>
        <w:t>Slyne-with-Hest</w:t>
      </w:r>
      <w:r w:rsidRPr="00686901">
        <w:t>, Nether Kellet and Over Kellet.</w:t>
      </w:r>
      <w:r>
        <w:rPr>
          <w:rStyle w:val="FootnoteReference"/>
        </w:rPr>
        <w:footnoteReference w:id="313"/>
      </w:r>
      <w:r w:rsidRPr="00686901">
        <w:t xml:space="preserve"> </w:t>
      </w:r>
      <w:r>
        <w:t>Withi</w:t>
      </w:r>
      <w:r w:rsidRPr="00686901">
        <w:t>n Prestbury parish, only</w:t>
      </w:r>
      <w:r>
        <w:t xml:space="preserve"> the case study townships of</w:t>
      </w:r>
      <w:r w:rsidRPr="00686901">
        <w:t xml:space="preserve"> Butley and Sutton </w:t>
      </w:r>
      <w:r>
        <w:t>were specified in the Cheshire hearth tax return</w:t>
      </w:r>
      <w:r w:rsidRPr="00686901">
        <w:t xml:space="preserve">, </w:t>
      </w:r>
      <w:r>
        <w:t>with no reference to</w:t>
      </w:r>
      <w:r w:rsidRPr="00686901">
        <w:t xml:space="preserve"> Wildboarclough</w:t>
      </w:r>
      <w:r>
        <w:t xml:space="preserve">. Other </w:t>
      </w:r>
      <w:r w:rsidRPr="004F6EDD">
        <w:t xml:space="preserve">returns </w:t>
      </w:r>
      <w:r>
        <w:t xml:space="preserve">also </w:t>
      </w:r>
      <w:r w:rsidRPr="004F6EDD">
        <w:t>show Sutton grouped with the small township of Wincle,</w:t>
      </w:r>
      <w:r>
        <w:t xml:space="preserve"> sometimes referred to as ‘Sutton </w:t>
      </w:r>
      <w:proofErr w:type="spellStart"/>
      <w:r>
        <w:t>downes</w:t>
      </w:r>
      <w:proofErr w:type="spellEnd"/>
      <w:r>
        <w:t xml:space="preserve"> cum </w:t>
      </w:r>
      <w:proofErr w:type="spellStart"/>
      <w:r>
        <w:t>Winkell</w:t>
      </w:r>
      <w:proofErr w:type="spellEnd"/>
      <w:r>
        <w:t>’, and though the 1664 records do not state this explicitly, similar</w:t>
      </w:r>
      <w:r w:rsidRPr="004F6EDD">
        <w:t xml:space="preserve"> numbers of Sutton households across several r</w:t>
      </w:r>
      <w:r>
        <w:t>eturns</w:t>
      </w:r>
      <w:r w:rsidRPr="004F6EDD">
        <w:t xml:space="preserve"> suggest this </w:t>
      </w:r>
      <w:r>
        <w:t xml:space="preserve">grouping </w:t>
      </w:r>
      <w:r w:rsidRPr="004F6EDD">
        <w:t>was common practice</w:t>
      </w:r>
      <w:r>
        <w:t xml:space="preserve"> among constables</w:t>
      </w:r>
      <w:r w:rsidRPr="004F6EDD">
        <w:t>.</w:t>
      </w:r>
      <w:r w:rsidRPr="004F6EDD">
        <w:rPr>
          <w:vertAlign w:val="superscript"/>
        </w:rPr>
        <w:footnoteReference w:id="314"/>
      </w:r>
      <w:r w:rsidRPr="006E2073">
        <w:t xml:space="preserve"> </w:t>
      </w:r>
      <w:r>
        <w:t xml:space="preserve">Given that wills from Kettleshulme have not been considered, the return for Kettleshulme has also not been used. Documents therefore suggest that Butley and Sutton comprised at least 241 households. Tom Arkell has suggested that </w:t>
      </w:r>
      <w:r w:rsidRPr="00AF7127">
        <w:t>an</w:t>
      </w:r>
      <w:r>
        <w:t xml:space="preserve"> </w:t>
      </w:r>
      <w:r w:rsidRPr="00AF7127">
        <w:t>average household size of 4.3</w:t>
      </w:r>
      <w:r>
        <w:t xml:space="preserve"> can be used alongside the hearth tax</w:t>
      </w:r>
      <w:r w:rsidRPr="00AF7127">
        <w:t xml:space="preserve"> to gauge total population</w:t>
      </w:r>
      <w:r>
        <w:t xml:space="preserve"> across provincial capitals, small towns and rural areas alike</w:t>
      </w:r>
      <w:r w:rsidRPr="00AF7127">
        <w:t>.</w:t>
      </w:r>
      <w:r>
        <w:rPr>
          <w:rStyle w:val="FootnoteReference"/>
        </w:rPr>
        <w:footnoteReference w:id="315"/>
      </w:r>
      <w:r>
        <w:t xml:space="preserve"> Table 5 </w:t>
      </w:r>
      <w:r w:rsidR="0054733A">
        <w:t>(p.</w:t>
      </w:r>
      <w:r w:rsidR="00B717A7">
        <w:t>399</w:t>
      </w:r>
      <w:r w:rsidR="0054733A">
        <w:t xml:space="preserve">) </w:t>
      </w:r>
      <w:r>
        <w:t>shows calculations of population in both communities using Arkell’s figure, suggesting at least 671 people lived in Bolton-le-Sands and 1036 in Butley and Sutton. As a result, even without information for Wildboarclough, population levels were</w:t>
      </w:r>
      <w:r w:rsidR="00915470">
        <w:t xml:space="preserve"> demonstrably</w:t>
      </w:r>
      <w:r>
        <w:t xml:space="preserve"> over 54% higher in Prestbury townships than in Bolton-le-Sands.</w:t>
      </w:r>
    </w:p>
    <w:p w14:paraId="71666B73" w14:textId="267E2CAA" w:rsidR="00220A86" w:rsidRDefault="00220A86" w:rsidP="00220A86">
      <w:pPr>
        <w:spacing w:after="0" w:line="480" w:lineRule="auto"/>
        <w:ind w:firstLine="720"/>
        <w:jc w:val="both"/>
      </w:pPr>
      <w:r>
        <w:t xml:space="preserve">The hearth tax also allows some consideration of living standards in early modern England. While the 1664 return shows considerable variation within Bolton-le-Sands and Prestbury across their constituent townships, it indicates that living </w:t>
      </w:r>
      <w:r w:rsidRPr="003D0532">
        <w:t xml:space="preserve">standards </w:t>
      </w:r>
      <w:r>
        <w:t xml:space="preserve">were roughly equivalent overall. O’Brien has argued that townships with a high ratio of taxed to untaxed households were relatively well-off, and </w:t>
      </w:r>
      <w:r w:rsidRPr="00151F88">
        <w:rPr>
          <w:i/>
          <w:iCs/>
        </w:rPr>
        <w:t>vice versa</w:t>
      </w:r>
      <w:r>
        <w:t>.</w:t>
      </w:r>
      <w:r>
        <w:rPr>
          <w:rStyle w:val="FootnoteReference"/>
        </w:rPr>
        <w:footnoteReference w:id="316"/>
      </w:r>
      <w:r>
        <w:t xml:space="preserve"> Looking at the entire </w:t>
      </w:r>
      <w:proofErr w:type="spellStart"/>
      <w:r>
        <w:t>hundred</w:t>
      </w:r>
      <w:proofErr w:type="spellEnd"/>
      <w:r>
        <w:t xml:space="preserve"> of </w:t>
      </w:r>
      <w:r w:rsidRPr="00CC0BA9">
        <w:lastRenderedPageBreak/>
        <w:t>Nantwich</w:t>
      </w:r>
      <w:r>
        <w:t>,</w:t>
      </w:r>
      <w:r w:rsidRPr="00CC0BA9">
        <w:t xml:space="preserve"> </w:t>
      </w:r>
      <w:r>
        <w:t>O’Brien demonstrated that 38% of households a</w:t>
      </w:r>
      <w:r w:rsidRPr="00CC0BA9">
        <w:t xml:space="preserve">cross </w:t>
      </w:r>
      <w:r>
        <w:t xml:space="preserve">all </w:t>
      </w:r>
      <w:r w:rsidRPr="00CC0BA9">
        <w:t>sixty-seven township</w:t>
      </w:r>
      <w:r>
        <w:t>s</w:t>
      </w:r>
      <w:r w:rsidRPr="00CC0BA9">
        <w:t xml:space="preserve"> </w:t>
      </w:r>
      <w:r>
        <w:t>were not charged in 1664.</w:t>
      </w:r>
      <w:r>
        <w:rPr>
          <w:rStyle w:val="FootnoteReference"/>
        </w:rPr>
        <w:footnoteReference w:id="317"/>
      </w:r>
      <w:r>
        <w:t xml:space="preserve"> </w:t>
      </w:r>
      <w:r w:rsidRPr="00D63C8C">
        <w:t xml:space="preserve">Table </w:t>
      </w:r>
      <w:r>
        <w:t>6</w:t>
      </w:r>
      <w:r w:rsidRPr="00D63C8C">
        <w:t xml:space="preserve"> </w:t>
      </w:r>
      <w:r w:rsidR="0054733A">
        <w:t>(p.</w:t>
      </w:r>
      <w:r w:rsidR="00B717A7">
        <w:t>400</w:t>
      </w:r>
      <w:r w:rsidR="0054733A">
        <w:t xml:space="preserve">) </w:t>
      </w:r>
      <w:r w:rsidRPr="00D63C8C">
        <w:t xml:space="preserve">shows </w:t>
      </w:r>
      <w:r>
        <w:t>numbers of tax</w:t>
      </w:r>
      <w:r w:rsidRPr="00D63C8C">
        <w:t xml:space="preserve">ed and </w:t>
      </w:r>
      <w:r>
        <w:t>untax</w:t>
      </w:r>
      <w:r w:rsidRPr="00D63C8C">
        <w:t xml:space="preserve">ed </w:t>
      </w:r>
      <w:r>
        <w:t>households in Bolton-le-Sands and Prestbury in the same year, with summary totals for</w:t>
      </w:r>
      <w:r w:rsidRPr="00D63C8C">
        <w:t xml:space="preserve"> each parish.</w:t>
      </w:r>
      <w:r>
        <w:t xml:space="preserve"> Considerable variation is visible across Bolton-le-Sands. While at least half of all households were exempt in Nether Kellet and Bolton-le-Sands township, proportions of non-payment in Slyne-with-Hest and Over Kellet </w:t>
      </w:r>
      <w:r w:rsidRPr="0033460B">
        <w:t>were much smaller</w:t>
      </w:r>
      <w:r>
        <w:t xml:space="preserve">, at just 17% and 18% respectively. Bolton-le-Sands and Nether Kellet were less populous, though, meaning that high numbers of untaxed households did not significantly raise the parish-wide average of 24% - considerably lower than O’Brien’s findings for Nantwich. </w:t>
      </w:r>
      <w:r w:rsidRPr="00045120">
        <w:t>Proportions were less polarised across the two Prestbury townships represented</w:t>
      </w:r>
      <w:r w:rsidR="00A8356A">
        <w:t xml:space="preserve"> here</w:t>
      </w:r>
      <w:r w:rsidRPr="00045120">
        <w:t xml:space="preserve">, </w:t>
      </w:r>
      <w:r>
        <w:t xml:space="preserve">which </w:t>
      </w:r>
      <w:r w:rsidRPr="00045120">
        <w:t>f</w:t>
      </w:r>
      <w:r>
        <w:t>ell</w:t>
      </w:r>
      <w:r w:rsidRPr="00045120">
        <w:t xml:space="preserve"> within 5% of one another</w:t>
      </w:r>
      <w:r>
        <w:t>. Overall</w:t>
      </w:r>
      <w:r w:rsidR="00E30ED8">
        <w:t>,</w:t>
      </w:r>
      <w:r>
        <w:t xml:space="preserve"> the two parishes therefore exhibited roughly equivalent rates of payment and non-payment.</w:t>
      </w:r>
    </w:p>
    <w:p w14:paraId="01351FC7" w14:textId="064140CB" w:rsidR="00220A86" w:rsidRPr="00B95FBE" w:rsidRDefault="00220A86" w:rsidP="00220A86">
      <w:pPr>
        <w:spacing w:after="0" w:line="480" w:lineRule="auto"/>
        <w:ind w:firstLine="720"/>
        <w:jc w:val="both"/>
      </w:pPr>
      <w:r>
        <w:t xml:space="preserve">Examining average numbers of hearths among homes featured in the hearth tax also provides an insight into living standards, and proportions were strikingly similar in both parishes. Table 7 </w:t>
      </w:r>
      <w:r w:rsidR="0054733A">
        <w:t>(p.</w:t>
      </w:r>
      <w:r w:rsidR="00B717A7">
        <w:t>401</w:t>
      </w:r>
      <w:r w:rsidR="0054733A">
        <w:t xml:space="preserve">) </w:t>
      </w:r>
      <w:r>
        <w:t>shows numbers of hearths per household across all Bolton-le-Sands and Prestbury townships, presenting this as a percentage of the overall housing stock in each area</w:t>
      </w:r>
      <w:r w:rsidRPr="00B95FBE">
        <w:t xml:space="preserve">. </w:t>
      </w:r>
      <w:proofErr w:type="spellStart"/>
      <w:r w:rsidRPr="00B95FBE">
        <w:t>Garthine</w:t>
      </w:r>
      <w:proofErr w:type="spellEnd"/>
      <w:r w:rsidRPr="00B95FBE">
        <w:t xml:space="preserve"> Walker has demonstrated that in Congleton – eight miles from Sutton – </w:t>
      </w:r>
      <w:r>
        <w:t>6</w:t>
      </w:r>
      <w:r w:rsidRPr="00B95FBE">
        <w:t>% of houses had t</w:t>
      </w:r>
      <w:r>
        <w:t>hree</w:t>
      </w:r>
      <w:r w:rsidRPr="00B95FBE">
        <w:t xml:space="preserve"> hearths or </w:t>
      </w:r>
      <w:r>
        <w:t>more</w:t>
      </w:r>
      <w:r w:rsidRPr="00B95FBE">
        <w:t>.</w:t>
      </w:r>
      <w:r w:rsidRPr="00B95FBE">
        <w:rPr>
          <w:vertAlign w:val="superscript"/>
        </w:rPr>
        <w:footnoteReference w:id="318"/>
      </w:r>
      <w:r w:rsidRPr="00B95FBE">
        <w:t xml:space="preserve"> Her figures closely mirror those from Prestbury townships, where </w:t>
      </w:r>
      <w:r>
        <w:t>6.2</w:t>
      </w:r>
      <w:r w:rsidRPr="00B95FBE">
        <w:t>% of houses fit this criteri</w:t>
      </w:r>
      <w:r>
        <w:t>on</w:t>
      </w:r>
      <w:r w:rsidRPr="00B95FBE">
        <w:t xml:space="preserve">. </w:t>
      </w:r>
      <w:r w:rsidRPr="0052316E">
        <w:t>Although Prestbury returns included the largest home in the tax, with ten hearths belonging to John Bancroft of Sutton, proportions of larger homes were lower overall than in Bolton-le-Sands parish</w:t>
      </w:r>
      <w:r>
        <w:t>, where</w:t>
      </w:r>
      <w:r w:rsidRPr="00B95FBE">
        <w:t xml:space="preserve"> 9</w:t>
      </w:r>
      <w:r>
        <w:t>% had more than three hearths. Nonetheless,</w:t>
      </w:r>
      <w:r w:rsidRPr="00B95FBE">
        <w:t xml:space="preserve"> circumstances were strikingly similar</w:t>
      </w:r>
      <w:r>
        <w:t xml:space="preserve"> overall</w:t>
      </w:r>
      <w:r w:rsidRPr="00B95FBE">
        <w:t xml:space="preserve">. Walker has suggested that between three and five hearths were necessary for a household to be </w:t>
      </w:r>
      <w:r w:rsidRPr="00B95FBE">
        <w:lastRenderedPageBreak/>
        <w:t>considered ‘comfortably off’ in the late</w:t>
      </w:r>
      <w:r w:rsidR="00ED10E2">
        <w:t>-</w:t>
      </w:r>
      <w:r w:rsidRPr="00B95FBE">
        <w:t>seventeenth century</w:t>
      </w:r>
      <w:r>
        <w:t>, and</w:t>
      </w:r>
      <w:r w:rsidRPr="00B95FBE">
        <w:t xml:space="preserve"> </w:t>
      </w:r>
      <w:r>
        <w:t>l</w:t>
      </w:r>
      <w:r w:rsidRPr="00B95FBE">
        <w:t xml:space="preserve">ess than 9% of householders visible in the hearth tax were living in these conditions in </w:t>
      </w:r>
      <w:r>
        <w:t>either</w:t>
      </w:r>
      <w:r w:rsidRPr="00B95FBE">
        <w:t xml:space="preserve"> communit</w:t>
      </w:r>
      <w:r>
        <w:t>y</w:t>
      </w:r>
      <w:r w:rsidRPr="00B95FBE">
        <w:t>.</w:t>
      </w:r>
      <w:r w:rsidRPr="001D2415">
        <w:rPr>
          <w:vertAlign w:val="superscript"/>
        </w:rPr>
        <w:footnoteReference w:id="319"/>
      </w:r>
    </w:p>
    <w:p w14:paraId="6E10D8A7" w14:textId="61E9D9A0" w:rsidR="00220A86" w:rsidRDefault="00220A86" w:rsidP="00220A86">
      <w:pPr>
        <w:spacing w:after="0" w:line="480" w:lineRule="auto"/>
        <w:ind w:firstLine="720"/>
        <w:jc w:val="both"/>
      </w:pPr>
      <w:r>
        <w:t>The hearth tax is less useful for understanding inscribers directly. Among the core sample of twenty initialled properties, most were inscribed after the years covered by surviving hearth tax records. Many inscribers are therefore absent from tax returns. One couple who do appear in the hearth tax inscribed Church Cottage in Bolton-le-Sands in 1672. Marking the lintel with the year and their initials, ‘I</w:t>
      </w:r>
      <w:r>
        <w:rPr>
          <w:vertAlign w:val="superscript"/>
        </w:rPr>
        <w:t>H</w:t>
      </w:r>
      <w:r>
        <w:t>I’, John and Jane Hall first appear in the return for Michaelmas in 1673, where John Hall was deemed taxable for a one-hearth property.</w:t>
      </w:r>
      <w:r>
        <w:rPr>
          <w:rStyle w:val="FootnoteReference"/>
        </w:rPr>
        <w:footnoteReference w:id="320"/>
      </w:r>
      <w:r>
        <w:t xml:space="preserve"> Scholars have noted that different numbers of hearths were linked to varying levels of personal wealth in different regions. For example, rural two-hearth households often demarcated higher relative comfort than homes of the same size within towns.</w:t>
      </w:r>
      <w:r>
        <w:rPr>
          <w:rStyle w:val="FootnoteReference"/>
        </w:rPr>
        <w:footnoteReference w:id="321"/>
      </w:r>
      <w:r>
        <w:t xml:space="preserve"> Table 8</w:t>
      </w:r>
      <w:r w:rsidR="0054733A">
        <w:t xml:space="preserve"> (p.</w:t>
      </w:r>
      <w:r w:rsidR="00B717A7">
        <w:t>402</w:t>
      </w:r>
      <w:r w:rsidR="0054733A">
        <w:t>)</w:t>
      </w:r>
      <w:r>
        <w:t xml:space="preserve"> shows numbers of hearths per household across the townships of Bolton-le-Sands, Over Kellet, Nether Kellet and Slyne-with-Hest according to the hearth tax for 1673. Compared to 1664, the overall number of households had increased by 24. The number of properties with more than one hearth had also increased, comprising almost 32% of the total – compared with 24% nine years earlier. Since a third of their contemporaries were inhabiting larger houses that had either been rebuilt or enlarged within the previous decade, the Halls do not appear to have been among the wealthiest in their community at the time that they constructed and inscribed Church Cottage.</w:t>
      </w:r>
    </w:p>
    <w:p w14:paraId="175463D3" w14:textId="325337B9" w:rsidR="00220A86" w:rsidRDefault="00220A86" w:rsidP="00220A86">
      <w:pPr>
        <w:spacing w:after="0" w:line="480" w:lineRule="auto"/>
        <w:ind w:firstLine="720"/>
        <w:jc w:val="both"/>
      </w:pPr>
      <w:r>
        <w:t>While Church C</w:t>
      </w:r>
      <w:r w:rsidRPr="00CB759B">
        <w:t>ottage appeared in only one h</w:t>
      </w:r>
      <w:r>
        <w:t>earth</w:t>
      </w:r>
      <w:r w:rsidRPr="00CB759B">
        <w:t xml:space="preserve"> tax return</w:t>
      </w:r>
      <w:r>
        <w:t>,</w:t>
      </w:r>
      <w:r w:rsidRPr="00CB759B">
        <w:t xml:space="preserve"> property owned by George </w:t>
      </w:r>
      <w:r>
        <w:t>B</w:t>
      </w:r>
      <w:r w:rsidRPr="00CB759B">
        <w:t>rocklehurst</w:t>
      </w:r>
      <w:r>
        <w:t xml:space="preserve"> –</w:t>
      </w:r>
      <w:r w:rsidRPr="00CB759B">
        <w:t xml:space="preserve"> inscriber </w:t>
      </w:r>
      <w:r>
        <w:t>of</w:t>
      </w:r>
      <w:r w:rsidRPr="00CB759B">
        <w:t xml:space="preserve"> </w:t>
      </w:r>
      <w:r>
        <w:t>G</w:t>
      </w:r>
      <w:r w:rsidRPr="00CB759B">
        <w:t xml:space="preserve">ap </w:t>
      </w:r>
      <w:r>
        <w:t>H</w:t>
      </w:r>
      <w:r w:rsidRPr="00CB759B">
        <w:t>ouse</w:t>
      </w:r>
      <w:r>
        <w:t>,</w:t>
      </w:r>
      <w:r w:rsidRPr="00CB759B">
        <w:t xml:space="preserve"> </w:t>
      </w:r>
      <w:r>
        <w:t>K</w:t>
      </w:r>
      <w:r w:rsidRPr="00CB759B">
        <w:t>ettles</w:t>
      </w:r>
      <w:r>
        <w:t>h</w:t>
      </w:r>
      <w:r w:rsidRPr="00CB759B">
        <w:t>u</w:t>
      </w:r>
      <w:r>
        <w:t>l</w:t>
      </w:r>
      <w:r w:rsidRPr="00CB759B">
        <w:t>me</w:t>
      </w:r>
      <w:r>
        <w:t xml:space="preserve"> – featured in</w:t>
      </w:r>
      <w:r w:rsidRPr="00CB759B">
        <w:t xml:space="preserve"> multiple </w:t>
      </w:r>
      <w:r>
        <w:t xml:space="preserve">hearth tax </w:t>
      </w:r>
      <w:r>
        <w:lastRenderedPageBreak/>
        <w:t>documents</w:t>
      </w:r>
      <w:r w:rsidRPr="00CB759B">
        <w:t>.</w:t>
      </w:r>
      <w:r w:rsidRPr="00D66F45">
        <w:t xml:space="preserve"> In addition to two</w:t>
      </w:r>
      <w:r>
        <w:t xml:space="preserve"> later</w:t>
      </w:r>
      <w:r w:rsidRPr="00D66F45">
        <w:t xml:space="preserve"> sets of initials dating to the 1770s, </w:t>
      </w:r>
      <w:r>
        <w:t>G</w:t>
      </w:r>
      <w:r w:rsidRPr="00D66F45">
        <w:t xml:space="preserve">ap </w:t>
      </w:r>
      <w:r>
        <w:t>H</w:t>
      </w:r>
      <w:r w:rsidRPr="00D66F45">
        <w:t>ouse has an in</w:t>
      </w:r>
      <w:r>
        <w:t>-</w:t>
      </w:r>
      <w:r w:rsidRPr="00D66F45">
        <w:t xml:space="preserve">set datestone reading </w:t>
      </w:r>
      <w:r>
        <w:t>‘</w:t>
      </w:r>
      <w:r w:rsidRPr="00D66F45">
        <w:t>GB 1662</w:t>
      </w:r>
      <w:r>
        <w:t>’</w:t>
      </w:r>
      <w:r w:rsidRPr="00D66F45">
        <w:t xml:space="preserve">. </w:t>
      </w:r>
      <w:r>
        <w:t>T</w:t>
      </w:r>
      <w:r w:rsidRPr="00014577">
        <w:t>able</w:t>
      </w:r>
      <w:r>
        <w:t xml:space="preserve"> 9</w:t>
      </w:r>
      <w:r w:rsidR="00610489">
        <w:t xml:space="preserve"> (p.</w:t>
      </w:r>
      <w:r w:rsidR="00B414B8">
        <w:t>403</w:t>
      </w:r>
      <w:r w:rsidR="00610489">
        <w:t>)</w:t>
      </w:r>
      <w:r w:rsidRPr="00014577">
        <w:t xml:space="preserve"> shows all </w:t>
      </w:r>
      <w:r>
        <w:t>taxed properties</w:t>
      </w:r>
      <w:r w:rsidRPr="00014577">
        <w:t xml:space="preserve"> included in the </w:t>
      </w:r>
      <w:r>
        <w:t>1662 and 1673/4 hearth tax returns for Kettleshulme township.</w:t>
      </w:r>
      <w:r>
        <w:rPr>
          <w:rStyle w:val="FootnoteReference"/>
        </w:rPr>
        <w:footnoteReference w:id="322"/>
      </w:r>
      <w:r>
        <w:t xml:space="preserve"> B</w:t>
      </w:r>
      <w:r w:rsidRPr="00014577">
        <w:t>rocklehurst was one of t</w:t>
      </w:r>
      <w:r>
        <w:t>hree householders taxed for two hearths in 1662</w:t>
      </w:r>
      <w:r w:rsidRPr="00014577">
        <w:t>,</w:t>
      </w:r>
      <w:r w:rsidRPr="007D499B">
        <w:t xml:space="preserve"> among the wealthiest 10% </w:t>
      </w:r>
      <w:r>
        <w:t xml:space="preserve">of Kettleshulme inhabitants </w:t>
      </w:r>
      <w:r w:rsidRPr="007D499B">
        <w:t>charged</w:t>
      </w:r>
      <w:r>
        <w:t xml:space="preserve"> in that year.</w:t>
      </w:r>
      <w:r>
        <w:rPr>
          <w:rStyle w:val="FootnoteReference"/>
        </w:rPr>
        <w:footnoteReference w:id="323"/>
      </w:r>
      <w:r w:rsidRPr="007D499B">
        <w:t xml:space="preserve"> The 1663 return </w:t>
      </w:r>
      <w:r>
        <w:t>was</w:t>
      </w:r>
      <w:r w:rsidRPr="007D499B">
        <w:t xml:space="preserve"> identical</w:t>
      </w:r>
      <w:r>
        <w:t>, so has not been included here</w:t>
      </w:r>
      <w:r w:rsidRPr="007D499B">
        <w:t>.</w:t>
      </w:r>
      <w:r>
        <w:rPr>
          <w:rStyle w:val="FootnoteReference"/>
        </w:rPr>
        <w:footnoteReference w:id="324"/>
      </w:r>
      <w:r w:rsidRPr="007D499B">
        <w:t xml:space="preserve"> Kettles</w:t>
      </w:r>
      <w:r>
        <w:t>h</w:t>
      </w:r>
      <w:r w:rsidRPr="007D499B">
        <w:t>u</w:t>
      </w:r>
      <w:r>
        <w:t>l</w:t>
      </w:r>
      <w:r w:rsidRPr="007D499B">
        <w:t>me is absent from surviving 1670 and 1671 returns</w:t>
      </w:r>
      <w:r>
        <w:t xml:space="preserve"> for Cheshire</w:t>
      </w:r>
      <w:r w:rsidRPr="007D499B">
        <w:t xml:space="preserve">, </w:t>
      </w:r>
      <w:r>
        <w:t xml:space="preserve">and documents dated </w:t>
      </w:r>
      <w:r w:rsidRPr="007D499B">
        <w:t>1672</w:t>
      </w:r>
      <w:r>
        <w:t xml:space="preserve"> or 167</w:t>
      </w:r>
      <w:r w:rsidRPr="007D499B">
        <w:t>3</w:t>
      </w:r>
      <w:r>
        <w:t xml:space="preserve"> consist only of exemptions.</w:t>
      </w:r>
      <w:r>
        <w:rPr>
          <w:rStyle w:val="FootnoteReference"/>
        </w:rPr>
        <w:footnoteReference w:id="325"/>
      </w:r>
      <w:r w:rsidRPr="007D499B">
        <w:t xml:space="preserve"> </w:t>
      </w:r>
      <w:r>
        <w:t xml:space="preserve">Records </w:t>
      </w:r>
      <w:r w:rsidRPr="007D499B">
        <w:t>from 1673</w:t>
      </w:r>
      <w:r>
        <w:t>/</w:t>
      </w:r>
      <w:r w:rsidRPr="007D499B">
        <w:t>4</w:t>
      </w:r>
      <w:r>
        <w:t xml:space="preserve"> comprise</w:t>
      </w:r>
      <w:r w:rsidRPr="007D499B">
        <w:t xml:space="preserve"> </w:t>
      </w:r>
      <w:r>
        <w:t>the only other Kettleshulme return listing taxpayers, and as seen in</w:t>
      </w:r>
      <w:r w:rsidRPr="00EC6827">
        <w:t xml:space="preserve"> </w:t>
      </w:r>
      <w:r>
        <w:t>T</w:t>
      </w:r>
      <w:r w:rsidRPr="00EC6827">
        <w:t>able</w:t>
      </w:r>
      <w:r>
        <w:t xml:space="preserve"> 9, a further seven households were chargeable in that year</w:t>
      </w:r>
      <w:r w:rsidRPr="00EC6827">
        <w:t>.</w:t>
      </w:r>
      <w:r>
        <w:rPr>
          <w:rStyle w:val="FootnoteReference"/>
        </w:rPr>
        <w:footnoteReference w:id="326"/>
      </w:r>
      <w:r w:rsidRPr="00EC6827">
        <w:t xml:space="preserve"> Having either enlarged his house or expanded his property holdings within the village, </w:t>
      </w:r>
      <w:r>
        <w:t>B</w:t>
      </w:r>
      <w:r w:rsidRPr="00EC6827">
        <w:t xml:space="preserve">rocklehurst </w:t>
      </w:r>
      <w:r>
        <w:t>w</w:t>
      </w:r>
      <w:r w:rsidRPr="00EC6827">
        <w:t>as the only</w:t>
      </w:r>
      <w:r>
        <w:t xml:space="preserve"> 1673/4</w:t>
      </w:r>
      <w:r w:rsidRPr="00EC6827">
        <w:t xml:space="preserve"> taxpayer</w:t>
      </w:r>
      <w:r>
        <w:t xml:space="preserve"> with</w:t>
      </w:r>
      <w:r w:rsidRPr="00EC6827">
        <w:t xml:space="preserve"> four hearths.</w:t>
      </w:r>
      <w:r w:rsidRPr="00E15A7A">
        <w:t xml:space="preserve"> Unlike the </w:t>
      </w:r>
      <w:r>
        <w:t>H</w:t>
      </w:r>
      <w:r w:rsidRPr="00E15A7A">
        <w:t>alls</w:t>
      </w:r>
      <w:r>
        <w:t xml:space="preserve"> of Church Cottage</w:t>
      </w:r>
      <w:r w:rsidRPr="00E15A7A">
        <w:t xml:space="preserve">, </w:t>
      </w:r>
      <w:r>
        <w:t>B</w:t>
      </w:r>
      <w:r w:rsidRPr="00E15A7A">
        <w:t xml:space="preserve">rocklehurst was in the wealthiest 10% when </w:t>
      </w:r>
      <w:r>
        <w:t>placing</w:t>
      </w:r>
      <w:r w:rsidRPr="00E15A7A">
        <w:t xml:space="preserve"> an inscription </w:t>
      </w:r>
      <w:r>
        <w:t xml:space="preserve">upon his home in </w:t>
      </w:r>
      <w:proofErr w:type="gramStart"/>
      <w:r>
        <w:t>1662, and</w:t>
      </w:r>
      <w:proofErr w:type="gramEnd"/>
      <w:r w:rsidRPr="00E15A7A">
        <w:t xml:space="preserve"> seemingly </w:t>
      </w:r>
      <w:r>
        <w:t xml:space="preserve">became even </w:t>
      </w:r>
      <w:r w:rsidRPr="00E15A7A">
        <w:t xml:space="preserve">wealthier </w:t>
      </w:r>
      <w:r>
        <w:t xml:space="preserve">throughout </w:t>
      </w:r>
      <w:r w:rsidRPr="00E15A7A">
        <w:t>the subsequent decade</w:t>
      </w:r>
      <w:r>
        <w:t>. Without similar later documentation for the Halls – who may also have improved their economic situation – the hearth tax offers only a limited view of the few inscribers it references, offering only a snapshot of both communities rather than explaining any changes over time.</w:t>
      </w:r>
    </w:p>
    <w:p w14:paraId="1B865CE9" w14:textId="77777777" w:rsidR="00220A86" w:rsidRDefault="00220A86" w:rsidP="00220A86">
      <w:pPr>
        <w:spacing w:after="0" w:line="480" w:lineRule="auto"/>
        <w:ind w:firstLine="720"/>
        <w:jc w:val="both"/>
      </w:pPr>
      <w:r>
        <w:t xml:space="preserve">The hearth tax facilitates comparison of Bolton-le-Sands and Prestbury in a single year. It reveals a slight difference in proportions of residents inhabiting one-hearth homes in each </w:t>
      </w:r>
      <w:r>
        <w:lastRenderedPageBreak/>
        <w:t xml:space="preserve">area and shows that Prestbury was more populous. It is less useful for understanding specific individuals, however, referencing people living in only two of the 20 inscribed properties comprising the core sample. </w:t>
      </w:r>
    </w:p>
    <w:p w14:paraId="0CA72686" w14:textId="77777777" w:rsidR="00220A86" w:rsidRDefault="00220A86" w:rsidP="00220A86">
      <w:pPr>
        <w:spacing w:after="0" w:line="480" w:lineRule="auto"/>
        <w:jc w:val="both"/>
      </w:pPr>
    </w:p>
    <w:p w14:paraId="037D87EC" w14:textId="3932F386" w:rsidR="00220A86" w:rsidRPr="001025BB" w:rsidRDefault="00220A86" w:rsidP="00220A86">
      <w:pPr>
        <w:spacing w:after="0" w:line="480" w:lineRule="auto"/>
        <w:jc w:val="both"/>
        <w:rPr>
          <w:i/>
          <w:iCs/>
        </w:rPr>
      </w:pPr>
      <w:r>
        <w:rPr>
          <w:i/>
          <w:iCs/>
        </w:rPr>
        <w:t>Wealth and Status in Surviving Probate Inventories</w:t>
      </w:r>
    </w:p>
    <w:p w14:paraId="01D426C7" w14:textId="430C13BA" w:rsidR="00220A86" w:rsidRDefault="00220A86" w:rsidP="00220A86">
      <w:pPr>
        <w:spacing w:after="0" w:line="480" w:lineRule="auto"/>
        <w:ind w:firstLine="720"/>
        <w:jc w:val="both"/>
      </w:pPr>
      <w:r w:rsidRPr="00704A8F">
        <w:t xml:space="preserve">Mark Overton </w:t>
      </w:r>
      <w:r w:rsidRPr="00803506">
        <w:t xml:space="preserve">et al </w:t>
      </w:r>
      <w:r w:rsidRPr="00704A8F">
        <w:t>have demonstrated that probate inventories were generally produced for those living above the poorest 40% of society, and below the wealthiest 10%.</w:t>
      </w:r>
      <w:r w:rsidRPr="00704A8F">
        <w:rPr>
          <w:vertAlign w:val="superscript"/>
        </w:rPr>
        <w:footnoteReference w:id="327"/>
      </w:r>
      <w:r w:rsidRPr="00704A8F">
        <w:t xml:space="preserve"> This represents the broad social group of the middling sorts, within which most inscribers fell.</w:t>
      </w:r>
      <w:r>
        <w:t xml:space="preserve"> Building on the picture of living standards presented by the hearth tax, the following section uses inventories to interrogate relative wealth in both communities. It is important to note, as many historians have, that inventories had many limitations.</w:t>
      </w:r>
      <w:r>
        <w:rPr>
          <w:rStyle w:val="FootnoteReference"/>
        </w:rPr>
        <w:footnoteReference w:id="328"/>
      </w:r>
      <w:r>
        <w:t xml:space="preserve"> Owing to the fact that they do not reference real estate, J. S. Moore has asserted that inventories are undoubtedly ‘not a reliable guide to the total wealth of any individual’.</w:t>
      </w:r>
      <w:r>
        <w:rPr>
          <w:rStyle w:val="FootnoteReference"/>
        </w:rPr>
        <w:footnoteReference w:id="329"/>
      </w:r>
      <w:r>
        <w:t xml:space="preserve"> Margaret </w:t>
      </w:r>
      <w:proofErr w:type="spellStart"/>
      <w:r>
        <w:t>Spufford</w:t>
      </w:r>
      <w:proofErr w:type="spellEnd"/>
      <w:r>
        <w:t>, meanwhile, has detailed the many omissions made by inventories, obscuring debts, total wealth and moveable property owned by widows.</w:t>
      </w:r>
      <w:r>
        <w:rPr>
          <w:rStyle w:val="FootnoteReference"/>
        </w:rPr>
        <w:footnoteReference w:id="330"/>
      </w:r>
      <w:r w:rsidRPr="00681898">
        <w:t xml:space="preserve"> </w:t>
      </w:r>
      <w:r>
        <w:t xml:space="preserve"> Given that only a small number of inventories survive for inscribers themselves (eight for Bolton-le-Sands, and one for Prestbury), wider assessments of wealth in what follows will therefore be based on inventories drawn from the survey of 198 will and inventory pairs. Inventoried inscribers will then be situated within this middling </w:t>
      </w:r>
      <w:proofErr w:type="gramStart"/>
      <w:r>
        <w:t>sort</w:t>
      </w:r>
      <w:proofErr w:type="gramEnd"/>
      <w:r>
        <w:t xml:space="preserve"> survey and compared with their peers. Wider conclusions will help in </w:t>
      </w:r>
      <w:r>
        <w:lastRenderedPageBreak/>
        <w:t>understanding the lives of inscribers for whom inventories do not survive, building a picture of their possible economic position where probate documents cannot.</w:t>
      </w:r>
    </w:p>
    <w:p w14:paraId="42E0630E" w14:textId="5C5C5F8E" w:rsidR="00220A86" w:rsidRDefault="00220A86" w:rsidP="00220A86">
      <w:pPr>
        <w:spacing w:after="0" w:line="480" w:lineRule="auto"/>
        <w:ind w:firstLine="720"/>
        <w:jc w:val="both"/>
      </w:pPr>
      <w:r w:rsidRPr="00CF2629">
        <w:t>Table</w:t>
      </w:r>
      <w:r>
        <w:t xml:space="preserve"> 10 </w:t>
      </w:r>
      <w:r w:rsidR="00610489">
        <w:t>(p.</w:t>
      </w:r>
      <w:r w:rsidR="00B414B8">
        <w:t>404</w:t>
      </w:r>
      <w:r w:rsidR="00610489">
        <w:t xml:space="preserve">) </w:t>
      </w:r>
      <w:r w:rsidRPr="00CF2629">
        <w:t xml:space="preserve">shows the gender and marital status of </w:t>
      </w:r>
      <w:r>
        <w:t>inventoried will-makers in the Bolton-le-Sands</w:t>
      </w:r>
      <w:r w:rsidRPr="00CF2629">
        <w:t xml:space="preserve"> and Prestbury</w:t>
      </w:r>
      <w:r>
        <w:t xml:space="preserve"> wider survey, revealing that married men were in the majority in both areas. Similar proportions of male and female testators also populated both groups, although Prestbury included almost twice as many </w:t>
      </w:r>
      <w:proofErr w:type="gramStart"/>
      <w:r>
        <w:t>bachelors</w:t>
      </w:r>
      <w:proofErr w:type="gramEnd"/>
      <w:r>
        <w:t xml:space="preserve"> and two married women – a category absent among testators from Bolton-le-Sands.</w:t>
      </w:r>
      <w:r w:rsidRPr="00681898">
        <w:t xml:space="preserve"> Table </w:t>
      </w:r>
      <w:r>
        <w:t xml:space="preserve">11 </w:t>
      </w:r>
      <w:r w:rsidR="00F44147">
        <w:t>(p.</w:t>
      </w:r>
      <w:r w:rsidR="00B414B8">
        <w:t>405</w:t>
      </w:r>
      <w:r w:rsidR="00F44147">
        <w:t xml:space="preserve">) </w:t>
      </w:r>
      <w:r w:rsidRPr="00681898">
        <w:t xml:space="preserve">shows the average </w:t>
      </w:r>
      <w:r>
        <w:t xml:space="preserve">assessed </w:t>
      </w:r>
      <w:r w:rsidRPr="00681898">
        <w:t>wealth of the same groups of people</w:t>
      </w:r>
      <w:r>
        <w:t>, based on sums calculated by inventory appraisers</w:t>
      </w:r>
      <w:r w:rsidRPr="00681898">
        <w:t>.</w:t>
      </w:r>
      <w:r w:rsidRPr="00681898">
        <w:rPr>
          <w:vertAlign w:val="superscript"/>
        </w:rPr>
        <w:footnoteReference w:id="331"/>
      </w:r>
      <w:r>
        <w:t xml:space="preserve"> </w:t>
      </w:r>
      <w:r w:rsidRPr="00681898">
        <w:t xml:space="preserve">Female testators were consistently the poorest </w:t>
      </w:r>
      <w:r>
        <w:t>group</w:t>
      </w:r>
      <w:r w:rsidRPr="00681898">
        <w:t xml:space="preserve">: despite comprising one quarter of the sample, </w:t>
      </w:r>
      <w:r>
        <w:t>women</w:t>
      </w:r>
      <w:r w:rsidRPr="00681898">
        <w:t xml:space="preserve"> </w:t>
      </w:r>
      <w:r>
        <w:t>represented</w:t>
      </w:r>
      <w:r w:rsidRPr="00681898">
        <w:t xml:space="preserve"> half of the poorest ten testators in each area and </w:t>
      </w:r>
      <w:r>
        <w:t>almost</w:t>
      </w:r>
      <w:r w:rsidRPr="00681898">
        <w:t xml:space="preserve"> half of the poorest quartile.</w:t>
      </w:r>
      <w:r w:rsidRPr="00681898">
        <w:rPr>
          <w:vertAlign w:val="superscript"/>
        </w:rPr>
        <w:footnoteReference w:id="332"/>
      </w:r>
      <w:r w:rsidRPr="00681898">
        <w:t xml:space="preserve"> While some individual women were</w:t>
      </w:r>
      <w:r>
        <w:t xml:space="preserve"> relatively</w:t>
      </w:r>
      <w:r w:rsidRPr="00681898">
        <w:t xml:space="preserve"> wealthy (Over Kellet spinster Agnes Ward was the second wealthiest person in the Lancashire sample, with £542 at her death) median wealth among women was much lower than among men.</w:t>
      </w:r>
      <w:r w:rsidRPr="00681898">
        <w:rPr>
          <w:vertAlign w:val="superscript"/>
        </w:rPr>
        <w:footnoteReference w:id="333"/>
      </w:r>
      <w:r>
        <w:t xml:space="preserve"> In addition, while female Bolton-le-Sands testators were wealthier than Prestbury women, Prestbury men (including married men) were the wealthiest group overall. Since 18 of all 20 inscribed houses in the core sample were headed by married men when their inscriptions were added, the wider survey indicates that inscribing couples were more likely to be wealthier in Prestbury than in Bolton-le-Sands.</w:t>
      </w:r>
      <w:r w:rsidRPr="00593BBC">
        <w:rPr>
          <w:vertAlign w:val="superscript"/>
        </w:rPr>
        <w:t xml:space="preserve"> </w:t>
      </w:r>
      <w:r w:rsidRPr="00CA55C8">
        <w:rPr>
          <w:vertAlign w:val="superscript"/>
        </w:rPr>
        <w:footnoteReference w:id="334"/>
      </w:r>
    </w:p>
    <w:p w14:paraId="3544E3DC" w14:textId="1D5F9BAB" w:rsidR="00220A86" w:rsidRDefault="00220A86" w:rsidP="00220A86">
      <w:pPr>
        <w:spacing w:after="0" w:line="480" w:lineRule="auto"/>
        <w:ind w:firstLine="720"/>
        <w:jc w:val="both"/>
      </w:pPr>
      <w:r>
        <w:lastRenderedPageBreak/>
        <w:t>Table 12</w:t>
      </w:r>
      <w:r w:rsidR="00F44147">
        <w:t xml:space="preserve"> (p.</w:t>
      </w:r>
      <w:r w:rsidR="00B414B8">
        <w:t>406</w:t>
      </w:r>
      <w:r w:rsidR="00F44147">
        <w:t>)</w:t>
      </w:r>
      <w:r>
        <w:t xml:space="preserve"> shows the occupational and status groups of male testators in the wider survey alongside the mean assessed wealth of men in each category. Most male inscribers were yeomen, and again the wider survey suggests that this group was wealthier in Prestbury than in Bolton-le-Sands. C</w:t>
      </w:r>
      <w:r w:rsidRPr="0036586E">
        <w:t xml:space="preserve">ategories </w:t>
      </w:r>
      <w:r>
        <w:t>used are derived from descriptors given in probate documents. Ec</w:t>
      </w:r>
      <w:r w:rsidRPr="0037614E">
        <w:t xml:space="preserve">hoing the approach taken by Jane </w:t>
      </w:r>
      <w:r>
        <w:t>W</w:t>
      </w:r>
      <w:r w:rsidRPr="0037614E">
        <w:t>hittle in her work on</w:t>
      </w:r>
      <w:r>
        <w:t xml:space="preserve"> the economic lives of wives and</w:t>
      </w:r>
      <w:r w:rsidRPr="0037614E">
        <w:t xml:space="preserve"> widows, descriptors blending occupation and status have been preserved, like </w:t>
      </w:r>
      <w:r>
        <w:t>‘</w:t>
      </w:r>
      <w:r w:rsidRPr="0037614E">
        <w:t>gentlem</w:t>
      </w:r>
      <w:r>
        <w:t>a</w:t>
      </w:r>
      <w:r w:rsidRPr="0037614E">
        <w:t>n</w:t>
      </w:r>
      <w:r>
        <w:t>’,</w:t>
      </w:r>
      <w:r w:rsidRPr="0037614E">
        <w:t xml:space="preserve"> </w:t>
      </w:r>
      <w:r>
        <w:t>‘y</w:t>
      </w:r>
      <w:r w:rsidRPr="0037614E">
        <w:t>eoman</w:t>
      </w:r>
      <w:r>
        <w:t>’</w:t>
      </w:r>
      <w:r w:rsidRPr="0037614E">
        <w:t xml:space="preserve"> and </w:t>
      </w:r>
      <w:r>
        <w:t>‘</w:t>
      </w:r>
      <w:r w:rsidRPr="0037614E">
        <w:t>husband</w:t>
      </w:r>
      <w:r>
        <w:t>man’.</w:t>
      </w:r>
      <w:r>
        <w:rPr>
          <w:rStyle w:val="FootnoteReference"/>
        </w:rPr>
        <w:footnoteReference w:id="335"/>
      </w:r>
      <w:r w:rsidRPr="00E87024">
        <w:t xml:space="preserve"> </w:t>
      </w:r>
      <w:r>
        <w:t>‘Professional’ refers to clergymen and schoolmasters present in the survey, while ‘tradesman’ encompasses those with named trades, including tanners, masons, tailors, carpenters and cordwainers, among others. Testators categorised as ‘unknown’ were given no occupational or status descriptors in wills, inventories or other cross-referenced documents.</w:t>
      </w:r>
      <w:r w:rsidRPr="00AB4A73">
        <w:t xml:space="preserve"> Table </w:t>
      </w:r>
      <w:r>
        <w:t>13</w:t>
      </w:r>
      <w:r w:rsidRPr="00AB4A73">
        <w:t xml:space="preserve"> </w:t>
      </w:r>
      <w:r w:rsidR="00F44147">
        <w:t>(p.</w:t>
      </w:r>
      <w:r w:rsidR="00FA0D7A">
        <w:t>407</w:t>
      </w:r>
      <w:r w:rsidR="00F44147">
        <w:t xml:space="preserve">) </w:t>
      </w:r>
      <w:r w:rsidRPr="00AB4A73">
        <w:t>shows the distribution of male inscribers across the same social categories</w:t>
      </w:r>
      <w:r>
        <w:t>, and the mean assessed wealth of those in each group</w:t>
      </w:r>
      <w:r w:rsidRPr="00AB4A73">
        <w:t>.</w:t>
      </w:r>
      <w:r>
        <w:t xml:space="preserve"> William Wilkinson was categorised as a yeoman in his will and a tradesman in his inventory, as seen in Table 2</w:t>
      </w:r>
      <w:r w:rsidR="00F44147">
        <w:t xml:space="preserve"> (p.</w:t>
      </w:r>
      <w:r w:rsidR="00FA0D7A">
        <w:t>396</w:t>
      </w:r>
      <w:r w:rsidR="00F44147">
        <w:t>)</w:t>
      </w:r>
      <w:r>
        <w:t>, and since Table 13 is based on information from inventories, Wilkinson has been categorised as a tradesman here.</w:t>
      </w:r>
      <w:r w:rsidRPr="00AB4A73">
        <w:t xml:space="preserve"> ‘</w:t>
      </w:r>
      <w:r>
        <w:t>P</w:t>
      </w:r>
      <w:r w:rsidRPr="00AB4A73">
        <w:t>rofessional’ and ‘labourer’ have both been removed because neither</w:t>
      </w:r>
      <w:r>
        <w:t xml:space="preserve"> category</w:t>
      </w:r>
      <w:r w:rsidRPr="00AB4A73">
        <w:t xml:space="preserve"> appeared within the core sample. </w:t>
      </w:r>
      <w:r>
        <w:t>T</w:t>
      </w:r>
      <w:r w:rsidRPr="00AB4A73">
        <w:t xml:space="preserve">he many gaps in </w:t>
      </w:r>
      <w:r>
        <w:t>the</w:t>
      </w:r>
      <w:r w:rsidRPr="00AB4A73">
        <w:t xml:space="preserve"> table</w:t>
      </w:r>
      <w:r>
        <w:t xml:space="preserve"> reflect the</w:t>
      </w:r>
      <w:r w:rsidRPr="00AB4A73">
        <w:t xml:space="preserve"> </w:t>
      </w:r>
      <w:r>
        <w:t>relatively small number of i</w:t>
      </w:r>
      <w:r w:rsidRPr="00AB4A73">
        <w:t>nventories available for inscribers in both areas – particularly in Prestbury</w:t>
      </w:r>
      <w:r>
        <w:t>, where an inventory was made for only one inscriber, William Clowes of Langley Hall, Sutton</w:t>
      </w:r>
      <w:r w:rsidRPr="00AB4A73">
        <w:t>.</w:t>
      </w:r>
      <w:r w:rsidRPr="00AD0B6A">
        <w:t xml:space="preserve"> </w:t>
      </w:r>
      <w:r>
        <w:t xml:space="preserve">Moving through the occupational and status descriptors present in </w:t>
      </w:r>
      <w:r w:rsidR="00F44147">
        <w:t>T</w:t>
      </w:r>
      <w:r>
        <w:t>ables 12 and 13, the following section will consider each group in turn.</w:t>
      </w:r>
    </w:p>
    <w:p w14:paraId="2EE63C40" w14:textId="246832FA" w:rsidR="00220A86" w:rsidRDefault="00220A86" w:rsidP="00220A86">
      <w:pPr>
        <w:spacing w:after="0" w:line="480" w:lineRule="auto"/>
        <w:ind w:firstLine="720"/>
        <w:jc w:val="both"/>
      </w:pPr>
      <w:r>
        <w:lastRenderedPageBreak/>
        <w:t>While the nobility and gentry sat atop the English social hierarchy, the seventeenth century saw ‘unprecedented social mobility’.</w:t>
      </w:r>
      <w:r>
        <w:rPr>
          <w:rStyle w:val="FootnoteReference"/>
        </w:rPr>
        <w:footnoteReference w:id="336"/>
      </w:r>
      <w:r>
        <w:t xml:space="preserve"> As much as status intersected with wealth, the highest status individuals were not consistently the wealthiest – to which inventories in both Bolton-le-Sands and Prestbury are testament. As seen in Table 12</w:t>
      </w:r>
      <w:r w:rsidR="00F44147">
        <w:t xml:space="preserve"> (p.</w:t>
      </w:r>
      <w:r w:rsidR="00FA0D7A">
        <w:t>406</w:t>
      </w:r>
      <w:r w:rsidR="00F44147">
        <w:t>)</w:t>
      </w:r>
      <w:r>
        <w:t>, two gentlemen featured in the wider will and inventory survey, and both were from Bolton-le-Sands. ‘Gentleman’ denoted different levels of wealth in different parts of early modern England, but was a term generally reserved for those able to live on rental income.</w:t>
      </w:r>
      <w:r w:rsidRPr="004234FF">
        <w:rPr>
          <w:vertAlign w:val="superscript"/>
        </w:rPr>
        <w:footnoteReference w:id="337"/>
      </w:r>
      <w:r w:rsidRPr="004234FF">
        <w:t xml:space="preserve"> </w:t>
      </w:r>
      <w:r>
        <w:t xml:space="preserve">Discussing </w:t>
      </w:r>
      <w:r w:rsidRPr="004234FF">
        <w:t>Lancashire, Yorkshire and Cheshire</w:t>
      </w:r>
      <w:r>
        <w:t>,</w:t>
      </w:r>
      <w:r w:rsidRPr="004234FF">
        <w:t xml:space="preserve"> </w:t>
      </w:r>
      <w:proofErr w:type="spellStart"/>
      <w:r w:rsidRPr="004234FF">
        <w:t>Garthine</w:t>
      </w:r>
      <w:proofErr w:type="spellEnd"/>
      <w:r w:rsidRPr="004234FF">
        <w:t xml:space="preserve"> Walker has described how two thirds of the gentry</w:t>
      </w:r>
      <w:r>
        <w:t xml:space="preserve"> in these counties</w:t>
      </w:r>
      <w:r w:rsidRPr="004234FF">
        <w:t xml:space="preserve"> were worth less than £500 in the early</w:t>
      </w:r>
      <w:r>
        <w:t xml:space="preserve"> 1600s.</w:t>
      </w:r>
      <w:r>
        <w:rPr>
          <w:rStyle w:val="FootnoteReference"/>
        </w:rPr>
        <w:footnoteReference w:id="338"/>
      </w:r>
      <w:r w:rsidRPr="004234FF">
        <w:t xml:space="preserve"> </w:t>
      </w:r>
      <w:r>
        <w:t>T</w:t>
      </w:r>
      <w:r w:rsidRPr="004234FF">
        <w:t xml:space="preserve">hough many improved their lot </w:t>
      </w:r>
      <w:r>
        <w:t>in the following century</w:t>
      </w:r>
      <w:r w:rsidRPr="004234FF">
        <w:t xml:space="preserve">, Keith Wrightson has highlighted how </w:t>
      </w:r>
      <w:r>
        <w:t xml:space="preserve">in the seventeenth century </w:t>
      </w:r>
      <w:r w:rsidRPr="004234FF">
        <w:t xml:space="preserve">Lancashire gentlemen </w:t>
      </w:r>
      <w:r>
        <w:t>r</w:t>
      </w:r>
      <w:r w:rsidRPr="004234FF">
        <w:t>ange</w:t>
      </w:r>
      <w:r>
        <w:t>d</w:t>
      </w:r>
      <w:r w:rsidRPr="004234FF">
        <w:t xml:space="preserve"> from the vastly wealthy</w:t>
      </w:r>
      <w:r>
        <w:t xml:space="preserve"> – </w:t>
      </w:r>
      <w:r w:rsidRPr="004234FF">
        <w:t>worth nearly £1000 a year</w:t>
      </w:r>
      <w:r>
        <w:t xml:space="preserve"> –</w:t>
      </w:r>
      <w:r w:rsidRPr="004234FF">
        <w:t xml:space="preserve"> to those who were ‘essentially large farmers’, with as little as £77 annual income.</w:t>
      </w:r>
      <w:r w:rsidRPr="004234FF">
        <w:rPr>
          <w:vertAlign w:val="superscript"/>
        </w:rPr>
        <w:footnoteReference w:id="339"/>
      </w:r>
      <w:r w:rsidRPr="004234FF">
        <w:t xml:space="preserve"> </w:t>
      </w:r>
      <w:r>
        <w:t>The two Bolton-le-Sands gentlemen surveyed reflect some of t</w:t>
      </w:r>
      <w:r w:rsidRPr="004234FF">
        <w:t>his variability</w:t>
      </w:r>
      <w:r>
        <w:t>,</w:t>
      </w:r>
      <w:r w:rsidRPr="004234FF">
        <w:t xml:space="preserve"> assessed with</w:t>
      </w:r>
      <w:r>
        <w:t xml:space="preserve"> moveable goods worth</w:t>
      </w:r>
      <w:r w:rsidRPr="004234FF">
        <w:t xml:space="preserve"> £444 and £135 respectively.</w:t>
      </w:r>
      <w:r w:rsidRPr="004234FF">
        <w:rPr>
          <w:vertAlign w:val="superscript"/>
        </w:rPr>
        <w:footnoteReference w:id="340"/>
      </w:r>
      <w:r>
        <w:t xml:space="preserve"> </w:t>
      </w:r>
    </w:p>
    <w:p w14:paraId="51A2281C" w14:textId="77777777" w:rsidR="00220A86" w:rsidRDefault="00220A86" w:rsidP="00220A86">
      <w:pPr>
        <w:spacing w:after="0" w:line="480" w:lineRule="auto"/>
        <w:ind w:firstLine="720"/>
        <w:jc w:val="both"/>
      </w:pPr>
      <w:r>
        <w:t>Beneath the gentry, the yeomanry was also highly variable. Wrightson has emphasised that yeomen living in southern England could be wealthier than northern gentlemen, despite their inferiority within the social hierarchy.</w:t>
      </w:r>
      <w:r>
        <w:rPr>
          <w:rStyle w:val="FootnoteReference"/>
        </w:rPr>
        <w:footnoteReference w:id="341"/>
      </w:r>
      <w:r>
        <w:t xml:space="preserve"> It is notable that the poorer of the two gentlemen in the Bolton-le-Sands survey, Robert Toulnson, was assessed with only £17 more than the average inventoried wealth among yeomen in the same area, calculated at £118. </w:t>
      </w:r>
      <w:r>
        <w:lastRenderedPageBreak/>
        <w:t>Individually, 13 Bolton-le-Sands yeomen were also wealthier than Toulnson. The wealthiest among them was John Blackbourne, who possessed goods worth £620 at his death.</w:t>
      </w:r>
      <w:r w:rsidRPr="00D213CB">
        <w:rPr>
          <w:vertAlign w:val="superscript"/>
        </w:rPr>
        <w:footnoteReference w:id="342"/>
      </w:r>
      <w:r>
        <w:t xml:space="preserve"> Blackbourne had personal estate valued almost four times as highly as Toulnson’s and was almost £200 wealthier than the other gentleman in the Bolton-le-Sands survey, John Wilson. Since gentlemen were absent from the Prestbury survey, assessing comparable wealth dynamics between the gentry and yeomanry there is not possible. Significantly, though, the wealthiest yeoman in Prestbury was assessed with £1099 at his death – almost double the sum attributed to Blackbourne in Bolton-le-Sands.</w:t>
      </w:r>
      <w:r>
        <w:rPr>
          <w:rStyle w:val="FootnoteReference"/>
        </w:rPr>
        <w:footnoteReference w:id="343"/>
      </w:r>
      <w:r>
        <w:t xml:space="preserve"> While the gentry were ostensibly the highest social group in both areas, many yeomen possessed moveable goods valued much more highly, living in greater comfort than their social superiors. Comparing yeomen in both communities, it is notable that some in Prestbury were considerably wealthier than any living in Bolton-le-Sands.</w:t>
      </w:r>
    </w:p>
    <w:p w14:paraId="54E9913D" w14:textId="1C39C6FD" w:rsidR="00220A86" w:rsidRDefault="00220A86" w:rsidP="00220A86">
      <w:pPr>
        <w:spacing w:after="0" w:line="480" w:lineRule="auto"/>
        <w:ind w:firstLine="720"/>
        <w:jc w:val="both"/>
      </w:pPr>
      <w:r>
        <w:t xml:space="preserve">Beneath the yeomanry were husbandmen. The two groups had many similarities: as Peter </w:t>
      </w:r>
      <w:proofErr w:type="spellStart"/>
      <w:r>
        <w:t>Laslett</w:t>
      </w:r>
      <w:proofErr w:type="spellEnd"/>
      <w:r>
        <w:t xml:space="preserve"> has argued, ‘all yeomen were husbandmen, because they worked the land, but not all husbandmen were yeoman’, having ‘neither the qualifications nor the status’.</w:t>
      </w:r>
      <w:r>
        <w:rPr>
          <w:rStyle w:val="FootnoteReference"/>
        </w:rPr>
        <w:footnoteReference w:id="344"/>
      </w:r>
      <w:r>
        <w:t xml:space="preserve"> Some contemporaries defined yeomen as those owning freehold land worth more than </w:t>
      </w:r>
      <w:r w:rsidR="0029622D">
        <w:t>40</w:t>
      </w:r>
      <w:r w:rsidRPr="00B17AE8">
        <w:t xml:space="preserve"> shillings per year</w:t>
      </w:r>
      <w:r>
        <w:t>, possessed of</w:t>
      </w:r>
      <w:r w:rsidRPr="00B17AE8">
        <w:t xml:space="preserve"> greater security and freedoms than</w:t>
      </w:r>
      <w:r>
        <w:t xml:space="preserve"> those with</w:t>
      </w:r>
      <w:r w:rsidRPr="00B17AE8">
        <w:t xml:space="preserve"> copyhold tenancies</w:t>
      </w:r>
      <w:r>
        <w:t>.</w:t>
      </w:r>
      <w:r>
        <w:rPr>
          <w:rStyle w:val="FootnoteReference"/>
        </w:rPr>
        <w:footnoteReference w:id="345"/>
      </w:r>
      <w:r>
        <w:t xml:space="preserve"> Wrightson has emphasised that the yeomanry was in fact more varied than this – an argument which holds true for Prestbury, where many yeomen were copyhold </w:t>
      </w:r>
      <w:r w:rsidRPr="00442E10">
        <w:t>tenants occupying reputedly more precarious positions and yet claiming yeoman status.</w:t>
      </w:r>
      <w:r w:rsidRPr="00442E10">
        <w:rPr>
          <w:vertAlign w:val="superscript"/>
        </w:rPr>
        <w:footnoteReference w:id="346"/>
      </w:r>
      <w:r>
        <w:t xml:space="preserve"> As the boundaries separating the two groups could be blurred, Wrightson concluded that</w:t>
      </w:r>
      <w:r w:rsidRPr="007B1DE0">
        <w:t xml:space="preserve"> </w:t>
      </w:r>
      <w:r>
        <w:t xml:space="preserve">the real difference </w:t>
      </w:r>
      <w:r>
        <w:lastRenderedPageBreak/>
        <w:t xml:space="preserve">between yeomen and husbandmen was the extent of their landholdings, with </w:t>
      </w:r>
      <w:r w:rsidRPr="007B1DE0">
        <w:t xml:space="preserve">yeomen generally </w:t>
      </w:r>
      <w:r>
        <w:t>possessing</w:t>
      </w:r>
      <w:r w:rsidRPr="007B1DE0">
        <w:t xml:space="preserve"> substantial </w:t>
      </w:r>
      <w:r>
        <w:t>property in excess of</w:t>
      </w:r>
      <w:r w:rsidRPr="007B1DE0">
        <w:t xml:space="preserve"> </w:t>
      </w:r>
      <w:r>
        <w:t>50</w:t>
      </w:r>
      <w:r w:rsidRPr="007B1DE0">
        <w:t xml:space="preserve"> acres</w:t>
      </w:r>
      <w:r>
        <w:t xml:space="preserve"> and </w:t>
      </w:r>
      <w:r w:rsidRPr="007B1DE0">
        <w:t xml:space="preserve">husbandmen </w:t>
      </w:r>
      <w:r>
        <w:t>owning</w:t>
      </w:r>
      <w:r w:rsidRPr="007B1DE0">
        <w:t xml:space="preserve"> smaller </w:t>
      </w:r>
      <w:r>
        <w:t>quantities</w:t>
      </w:r>
      <w:r w:rsidRPr="007B1DE0">
        <w:t xml:space="preserve"> of land.</w:t>
      </w:r>
      <w:r w:rsidRPr="007B1DE0">
        <w:rPr>
          <w:vertAlign w:val="superscript"/>
        </w:rPr>
        <w:footnoteReference w:id="347"/>
      </w:r>
    </w:p>
    <w:p w14:paraId="1F75AD8D" w14:textId="5426483C" w:rsidR="00220A86" w:rsidRDefault="00220A86" w:rsidP="00220A86">
      <w:pPr>
        <w:spacing w:after="0" w:line="480" w:lineRule="auto"/>
        <w:ind w:firstLine="720"/>
        <w:jc w:val="both"/>
      </w:pPr>
      <w:r>
        <w:t>Just as the fortunes of the yeomanry and gentry overlapped, wealthy</w:t>
      </w:r>
      <w:r w:rsidRPr="007B1DE0">
        <w:t xml:space="preserve"> husbandmen</w:t>
      </w:r>
      <w:r>
        <w:t xml:space="preserve"> could also be better off than </w:t>
      </w:r>
      <w:r w:rsidRPr="007B1DE0">
        <w:t>yeomen.</w:t>
      </w:r>
      <w:r>
        <w:t xml:space="preserve"> This was more common in Prestbury, where both husbandmen and yeomen exhibited higher levels of wealth than in Bolton-le-Sands.</w:t>
      </w:r>
      <w:r w:rsidRPr="007B1DE0">
        <w:t xml:space="preserve"> Wrightson </w:t>
      </w:r>
      <w:r>
        <w:t>has shown</w:t>
      </w:r>
      <w:r w:rsidRPr="007B1DE0">
        <w:t xml:space="preserve"> that 14% of</w:t>
      </w:r>
      <w:r>
        <w:t xml:space="preserve"> inventoried </w:t>
      </w:r>
      <w:r w:rsidRPr="007B1DE0">
        <w:t>yeomen</w:t>
      </w:r>
      <w:r>
        <w:t xml:space="preserve"> living in seventeenth-century Pendle, Lancashire were assessed with</w:t>
      </w:r>
      <w:r w:rsidRPr="007B1DE0">
        <w:t xml:space="preserve"> </w:t>
      </w:r>
      <w:r w:rsidRPr="002D6421">
        <w:t>less</w:t>
      </w:r>
      <w:r w:rsidRPr="007B1DE0">
        <w:t xml:space="preserve"> than £50</w:t>
      </w:r>
      <w:r>
        <w:t xml:space="preserve">. By contrast, </w:t>
      </w:r>
      <w:r w:rsidRPr="007B1DE0">
        <w:t xml:space="preserve">45% of </w:t>
      </w:r>
      <w:r>
        <w:t xml:space="preserve">inventoried Pendle </w:t>
      </w:r>
      <w:r w:rsidRPr="007B1DE0">
        <w:t>husbandmen</w:t>
      </w:r>
      <w:r>
        <w:t xml:space="preserve"> had </w:t>
      </w:r>
      <w:r w:rsidRPr="001E5E6D">
        <w:rPr>
          <w:i/>
          <w:iCs/>
        </w:rPr>
        <w:t>more</w:t>
      </w:r>
      <w:r>
        <w:t xml:space="preserve"> than</w:t>
      </w:r>
      <w:r w:rsidRPr="007B1DE0">
        <w:t xml:space="preserve"> £50</w:t>
      </w:r>
      <w:r>
        <w:t>, demonstrating considerable intersection between the two status groups</w:t>
      </w:r>
      <w:r w:rsidRPr="007B1DE0">
        <w:t>.</w:t>
      </w:r>
      <w:r w:rsidRPr="007B1DE0">
        <w:rPr>
          <w:vertAlign w:val="superscript"/>
        </w:rPr>
        <w:footnoteReference w:id="348"/>
      </w:r>
      <w:r w:rsidRPr="007B1DE0">
        <w:t xml:space="preserve"> </w:t>
      </w:r>
      <w:r>
        <w:t xml:space="preserve">Informed by Wrightson’s findings, </w:t>
      </w:r>
      <w:r w:rsidRPr="007B1DE0">
        <w:t xml:space="preserve">Table </w:t>
      </w:r>
      <w:r>
        <w:t>14</w:t>
      </w:r>
      <w:r w:rsidRPr="007B1DE0">
        <w:t xml:space="preserve"> </w:t>
      </w:r>
      <w:r w:rsidR="00F44147">
        <w:t>(p.</w:t>
      </w:r>
      <w:r w:rsidR="00FA0D7A">
        <w:t>408</w:t>
      </w:r>
      <w:r w:rsidR="00F44147">
        <w:t xml:space="preserve">) </w:t>
      </w:r>
      <w:r w:rsidRPr="007B1DE0">
        <w:t xml:space="preserve">uses a sliding scale </w:t>
      </w:r>
      <w:r>
        <w:t>to represent the relative prosperity of yeomen and husbandmen i</w:t>
      </w:r>
      <w:r w:rsidRPr="007B1DE0">
        <w:t>n</w:t>
      </w:r>
      <w:r>
        <w:t xml:space="preserve"> Bolton-le-Sands and Prestbury</w:t>
      </w:r>
      <w:r w:rsidRPr="007B1DE0">
        <w:t>.</w:t>
      </w:r>
      <w:r>
        <w:t xml:space="preserve"> H</w:t>
      </w:r>
      <w:r w:rsidRPr="007B1DE0">
        <w:t>usbandmen in both communities were poorer overall</w:t>
      </w:r>
      <w:r>
        <w:t>, as expected, but the balance of wealth differed notably between the two parishes. In Prestbury, husbandmen were generally richer: compared with just 25% in Bolton-le-Sands, 50% of Prestbury husbandmen were worth</w:t>
      </w:r>
      <w:r w:rsidRPr="00694FE9">
        <w:t xml:space="preserve"> more</w:t>
      </w:r>
      <w:r>
        <w:t xml:space="preserve"> than £50 upon their death. Since 42% of yeomen in Prestbury were also assessed with</w:t>
      </w:r>
      <w:r w:rsidRPr="00694FE9">
        <w:rPr>
          <w:i/>
          <w:iCs/>
        </w:rPr>
        <w:t xml:space="preserve"> less</w:t>
      </w:r>
      <w:r>
        <w:t xml:space="preserve"> than £50, a higher proportion of husbandmen there were wealthier than their immediate social superiors.</w:t>
      </w:r>
    </w:p>
    <w:p w14:paraId="008FAC47" w14:textId="77777777" w:rsidR="00220A86" w:rsidRDefault="00220A86" w:rsidP="00220A86">
      <w:pPr>
        <w:spacing w:after="0" w:line="480" w:lineRule="auto"/>
        <w:ind w:firstLine="720"/>
        <w:jc w:val="both"/>
      </w:pPr>
      <w:r w:rsidRPr="00113462">
        <w:t>In Bolton-le-Sands,</w:t>
      </w:r>
      <w:r>
        <w:t xml:space="preserve"> meanwhile,</w:t>
      </w:r>
      <w:r w:rsidRPr="00113462">
        <w:t xml:space="preserve"> just 28% of yeomen </w:t>
      </w:r>
      <w:r>
        <w:t xml:space="preserve">were worth less than £50 – a considerably smaller portion than in Prestbury. At the same time, while </w:t>
      </w:r>
      <w:r w:rsidRPr="0062046D">
        <w:t>23% of Prestbury yeomen</w:t>
      </w:r>
      <w:r>
        <w:t xml:space="preserve"> possessed more than </w:t>
      </w:r>
      <w:r w:rsidRPr="00382DFA">
        <w:t>£200 at their death</w:t>
      </w:r>
      <w:r>
        <w:t>, just 13% of yeomen in Bolton-le-Sands placed within this highest category in the table. Moreover, as previously discussed, some of the wealthiest Prestbury yeomen were assessed with more than</w:t>
      </w:r>
      <w:r w:rsidRPr="00382DFA">
        <w:t xml:space="preserve"> £1000</w:t>
      </w:r>
      <w:r>
        <w:t xml:space="preserve">, attaining levels of </w:t>
      </w:r>
      <w:r>
        <w:lastRenderedPageBreak/>
        <w:t xml:space="preserve">wealth </w:t>
      </w:r>
      <w:r w:rsidRPr="00382DFA">
        <w:t>unseen in Bolton-le-Sands.</w:t>
      </w:r>
      <w:r>
        <w:t xml:space="preserve"> Consequently, even while both husbandmen and yeomen were poorer overall in Bolton-le-Sands, </w:t>
      </w:r>
      <w:r w:rsidRPr="00A7149C">
        <w:t>wealth was distributed more evenly among them</w:t>
      </w:r>
      <w:r>
        <w:t>. In contrast, although Prestbury husbandmen were wealthier, Prestbury yeomen experienced greater extremes in assessed wealth, with higher proportions of testators at both the poorer and much richer ends of the spectrum. Yeomen comprised the majority among inscribers in both areas. Based on this information from the wider survey, it is reasonable to conclude that inscribers living in Prestbury were as likely as those in Bolton-le-Sands to be worth more than £100 at their death. Simultaneously, inscribers living in Prestbury were most likely to be in possession of much higher sums than their Bolton-le-Sands equivalents.</w:t>
      </w:r>
    </w:p>
    <w:p w14:paraId="22D0E029" w14:textId="29ACC5B8" w:rsidR="00220A86" w:rsidRDefault="00220A86" w:rsidP="00220A86">
      <w:pPr>
        <w:spacing w:after="0" w:line="480" w:lineRule="auto"/>
        <w:ind w:firstLine="720"/>
        <w:jc w:val="both"/>
      </w:pPr>
      <w:r>
        <w:t xml:space="preserve">Table 13 </w:t>
      </w:r>
      <w:r w:rsidR="00F44147">
        <w:t>(p.</w:t>
      </w:r>
      <w:r w:rsidR="00CB3D1D">
        <w:t>407</w:t>
      </w:r>
      <w:r w:rsidR="00F44147">
        <w:t xml:space="preserve">) </w:t>
      </w:r>
      <w:r>
        <w:t>refers to inventoried male inscribers present in the core sample. It shows the distribution of these inscribers across the same occupational and status categories discussed above, as well as the average assessed wealth of men in each category.</w:t>
      </w:r>
      <w:r>
        <w:rPr>
          <w:rStyle w:val="FootnoteReference"/>
        </w:rPr>
        <w:footnoteReference w:id="349"/>
      </w:r>
      <w:r>
        <w:t xml:space="preserve"> Notably, average wealth for inscribers was lower in each category than the wider survey, suggesting inscribers were not the wealthiest within their communities. As previously mentioned, data is particularly scarce for Prestbury, with only one inscriber – gentleman William Clowes of Langley Hall – represented within the table. </w:t>
      </w:r>
      <w:r w:rsidRPr="008C4AE8">
        <w:t>Clowes was the only gentleman linked to the Prestbury case study area, and his</w:t>
      </w:r>
      <w:r>
        <w:t xml:space="preserve"> inventory</w:t>
      </w:r>
      <w:r w:rsidRPr="008C4AE8">
        <w:t xml:space="preserve"> wealth</w:t>
      </w:r>
      <w:r>
        <w:t xml:space="preserve"> – assessed at £185 10s –</w:t>
      </w:r>
      <w:r w:rsidRPr="008C4AE8">
        <w:t xml:space="preserve"> places him at the less wealthy end of the gentry scale </w:t>
      </w:r>
      <w:r>
        <w:t>outlin</w:t>
      </w:r>
      <w:r w:rsidRPr="008C4AE8">
        <w:t>ed by Wrightson.</w:t>
      </w:r>
      <w:r w:rsidRPr="008C4AE8">
        <w:rPr>
          <w:vertAlign w:val="superscript"/>
        </w:rPr>
        <w:footnoteReference w:id="350"/>
      </w:r>
      <w:r>
        <w:t xml:space="preserve"> Compared with the wider survey, </w:t>
      </w:r>
      <w:r w:rsidRPr="00465A9A">
        <w:t>Clowes was valued with just £28 more than the average among Prestbury yeomen</w:t>
      </w:r>
      <w:r>
        <w:t>,</w:t>
      </w:r>
      <w:r w:rsidRPr="00465A9A">
        <w:t xml:space="preserve"> of whom 26% possessed higher total wealth than him at their death.</w:t>
      </w:r>
    </w:p>
    <w:p w14:paraId="4234397F" w14:textId="77777777" w:rsidR="00220A86" w:rsidRDefault="00220A86" w:rsidP="00220A86">
      <w:pPr>
        <w:spacing w:after="0" w:line="480" w:lineRule="auto"/>
        <w:ind w:firstLine="720"/>
        <w:jc w:val="both"/>
      </w:pPr>
      <w:r>
        <w:t xml:space="preserve">While no will for Clowes survives, no probate materials whatsoever are available for the only gentleman in the Bolton-le-Sands core sample, Cornelius Greene of the Manor </w:t>
      </w:r>
      <w:r>
        <w:lastRenderedPageBreak/>
        <w:t>House, Slyne-with-Hest.</w:t>
      </w:r>
      <w:r w:rsidRPr="002C0E75">
        <w:rPr>
          <w:vertAlign w:val="superscript"/>
        </w:rPr>
        <w:footnoteReference w:id="351"/>
      </w:r>
      <w:r w:rsidRPr="002C0E75">
        <w:t xml:space="preserve"> </w:t>
      </w:r>
      <w:r>
        <w:t xml:space="preserve"> Greene is therefore absent from Table 13. With limited, highly variable information for Greene’s status group, </w:t>
      </w:r>
      <w:r w:rsidRPr="002C0E75">
        <w:t xml:space="preserve">it is difficult to </w:t>
      </w:r>
      <w:r>
        <w:t xml:space="preserve">make a reasonable </w:t>
      </w:r>
      <w:r w:rsidRPr="002C0E75">
        <w:t xml:space="preserve">estimate </w:t>
      </w:r>
      <w:r>
        <w:t>of his</w:t>
      </w:r>
      <w:r w:rsidRPr="002C0E75">
        <w:t xml:space="preserve"> wealth.</w:t>
      </w:r>
      <w:r>
        <w:t xml:space="preserve"> </w:t>
      </w:r>
      <w:r w:rsidRPr="00D02055">
        <w:t>The fortunes of Greene’s peers</w:t>
      </w:r>
      <w:r>
        <w:t>, gentlemen Robert Toulnson and John Wilson, at £135 and £444,</w:t>
      </w:r>
      <w:r w:rsidRPr="00D02055">
        <w:t xml:space="preserve"> might indicate that his moveable goods were unlikely to be worth more than £500</w:t>
      </w:r>
      <w:r>
        <w:t>. Nonetheless, with a considerable gulf between them across such a limited range – and</w:t>
      </w:r>
      <w:r w:rsidRPr="00D02055">
        <w:t xml:space="preserve"> without information for Greene himself</w:t>
      </w:r>
      <w:r>
        <w:t xml:space="preserve"> –</w:t>
      </w:r>
      <w:r w:rsidRPr="00D02055">
        <w:t xml:space="preserve"> this can only be the most tentative of conclusions.</w:t>
      </w:r>
      <w:r>
        <w:t xml:space="preserve"> Since probate inventories exclude real estate, and gentry status was traditionally defined by considerable income from rented property, inventory assessments – particularly among the gentry – likely do not constitute an accurate picture of wealth. In any case, the gentry were not assessed with the highest value moveable goods in either Bolton-le-Sands or Prestbury. This is also true of the one inventoried inscriber among the gentry class.</w:t>
      </w:r>
    </w:p>
    <w:p w14:paraId="688E8FBE" w14:textId="5B200469" w:rsidR="00220A86" w:rsidRDefault="00220A86" w:rsidP="00220A86">
      <w:pPr>
        <w:spacing w:after="0" w:line="480" w:lineRule="auto"/>
        <w:ind w:firstLine="720"/>
        <w:jc w:val="both"/>
      </w:pPr>
      <w:r>
        <w:t>Examining the inventoried wealth of inscribers classified as yeomen, it is apparent that they too were consistently absent among the wealthiest within their status group. The wealth of inscribing yeomanry couples in Prestbury is difficult to access, since inventories cannot be connected to any yeomen inscribers there. For Bolton-le-Sands, as is visible in Table 13</w:t>
      </w:r>
      <w:r w:rsidR="00133C27">
        <w:t xml:space="preserve"> (p.</w:t>
      </w:r>
      <w:r w:rsidR="00CB3D1D">
        <w:t>407</w:t>
      </w:r>
      <w:r w:rsidR="00133C27">
        <w:t>)</w:t>
      </w:r>
      <w:r>
        <w:t xml:space="preserve">, average wealth among inscribing yeomen was almost half that seen among yeomen in the wider survey, at just £61 compared with £118. As is also clear in Table 13, however, only three of the four inscribing yeomen from the Bolton-le-Sands core sample have been included in wealth analysis. Valued at £914, the sum at the foot of the inventory of Robert Hawthornthwaite of </w:t>
      </w:r>
      <w:proofErr w:type="spellStart"/>
      <w:r>
        <w:t>Kirkhouse</w:t>
      </w:r>
      <w:proofErr w:type="spellEnd"/>
      <w:r>
        <w:t xml:space="preserve">, Over Kellet portrays him as the wealthiest of anyone connected with Bolton-le-Sands in either the survey or core sample. While </w:t>
      </w:r>
      <w:proofErr w:type="spellStart"/>
      <w:r>
        <w:t>Kirkhouse</w:t>
      </w:r>
      <w:proofErr w:type="spellEnd"/>
      <w:r>
        <w:t xml:space="preserve"> lay within Bolton-le-Sands parish, adorned with an inscription, </w:t>
      </w:r>
      <w:proofErr w:type="spellStart"/>
      <w:r>
        <w:t>Hawthornthwaite’s</w:t>
      </w:r>
      <w:proofErr w:type="spellEnd"/>
      <w:r>
        <w:t xml:space="preserve"> inventory </w:t>
      </w:r>
      <w:r>
        <w:lastRenderedPageBreak/>
        <w:t>recorded him as a resident of Scorton (15 miles south of Over Kellet, in the parish of Garstang) upon his death.</w:t>
      </w:r>
      <w:r>
        <w:rPr>
          <w:rStyle w:val="FootnoteReference"/>
        </w:rPr>
        <w:footnoteReference w:id="352"/>
      </w:r>
      <w:r w:rsidRPr="003340BA">
        <w:t xml:space="preserve"> </w:t>
      </w:r>
      <w:proofErr w:type="spellStart"/>
      <w:r w:rsidRPr="003340BA">
        <w:t>Hawthornthwaite’s</w:t>
      </w:r>
      <w:proofErr w:type="spellEnd"/>
      <w:r w:rsidRPr="003340BA">
        <w:t xml:space="preserve"> </w:t>
      </w:r>
      <w:r>
        <w:t>inventory also makes it clear that almost all of his possessions were at Scorton, with just two entries among over seventy bullet-points (many of which list several items) referring to goods ‘</w:t>
      </w:r>
      <w:proofErr w:type="spellStart"/>
      <w:r>
        <w:t>att</w:t>
      </w:r>
      <w:proofErr w:type="spellEnd"/>
      <w:r>
        <w:t xml:space="preserve"> </w:t>
      </w:r>
      <w:proofErr w:type="spellStart"/>
      <w:r>
        <w:t>Kellitt</w:t>
      </w:r>
      <w:proofErr w:type="spellEnd"/>
      <w:r>
        <w:t>’.</w:t>
      </w:r>
      <w:r>
        <w:rPr>
          <w:rStyle w:val="FootnoteReference"/>
        </w:rPr>
        <w:footnoteReference w:id="353"/>
      </w:r>
      <w:r w:rsidRPr="00FD3DE5">
        <w:t xml:space="preserve"> </w:t>
      </w:r>
      <w:r w:rsidRPr="00054543">
        <w:t xml:space="preserve">Where men as wealthy as Hawthornthwaite were absent </w:t>
      </w:r>
      <w:r>
        <w:t xml:space="preserve">in the Bolton-le-Sands </w:t>
      </w:r>
      <w:r w:rsidRPr="00054543">
        <w:t xml:space="preserve">wider survey, his sole example may indicate that </w:t>
      </w:r>
      <w:r>
        <w:t xml:space="preserve">higher levels of </w:t>
      </w:r>
      <w:r w:rsidRPr="00054543">
        <w:t>wealth w</w:t>
      </w:r>
      <w:r>
        <w:t xml:space="preserve">ere </w:t>
      </w:r>
      <w:r w:rsidRPr="00054543">
        <w:t>more likely among inscribers in Bolton</w:t>
      </w:r>
      <w:r>
        <w:t>-</w:t>
      </w:r>
      <w:r w:rsidRPr="00054543">
        <w:t>le</w:t>
      </w:r>
      <w:r>
        <w:t>-</w:t>
      </w:r>
      <w:r w:rsidRPr="00054543">
        <w:t>Sands than any other group</w:t>
      </w:r>
      <w:r>
        <w:t xml:space="preserve">. However, </w:t>
      </w:r>
      <w:r w:rsidRPr="00054543">
        <w:t xml:space="preserve">this is inseparable from </w:t>
      </w:r>
      <w:proofErr w:type="spellStart"/>
      <w:r w:rsidRPr="003C44C1">
        <w:t>Hawthornthwait</w:t>
      </w:r>
      <w:r>
        <w:t>e’s</w:t>
      </w:r>
      <w:proofErr w:type="spellEnd"/>
      <w:r>
        <w:t xml:space="preserve"> </w:t>
      </w:r>
      <w:r w:rsidRPr="00054543">
        <w:t>residence elsewhere</w:t>
      </w:r>
      <w:r>
        <w:t xml:space="preserve"> and he has therefore been excluded</w:t>
      </w:r>
      <w:r w:rsidRPr="00054543">
        <w:t>.</w:t>
      </w:r>
      <w:r>
        <w:t xml:space="preserve"> Excepting Hawthornthwaite, who was </w:t>
      </w:r>
      <w:r w:rsidRPr="00D8401E">
        <w:t>a notable outlier</w:t>
      </w:r>
      <w:r>
        <w:t>, none of the Bolton-le-Sands inscribers categorised as yeomen by their probate materials were among the wealthiest within their community.</w:t>
      </w:r>
      <w:r w:rsidRPr="00054543">
        <w:t xml:space="preserve"> </w:t>
      </w:r>
    </w:p>
    <w:p w14:paraId="402D6303" w14:textId="05C2FA7C" w:rsidR="00220A86" w:rsidRDefault="00220A86" w:rsidP="00220A86">
      <w:pPr>
        <w:spacing w:after="0" w:line="480" w:lineRule="auto"/>
        <w:ind w:firstLine="720"/>
        <w:jc w:val="both"/>
      </w:pPr>
      <w:r>
        <w:t xml:space="preserve">Beneath the yeomanry, the only husbandman in the core sample was Richard Barker of Thwaite End, Bolton-le-Sands. In-keeping with all other inscribers, Barker’s estate was valued lower than the mean among his status group in the wider survey. The one inscriber </w:t>
      </w:r>
      <w:proofErr w:type="gramStart"/>
      <w:r>
        <w:t>absent</w:t>
      </w:r>
      <w:proofErr w:type="gramEnd"/>
      <w:r>
        <w:t xml:space="preserve"> from tables already discussed is the one exception to this rule. Wife to Richard, Isabell Barker of Thwaite End was the only inventoried female inscriber within the core sample. Living as a widow for 11 years after Richard’s death, Isabell was assessed with £114 7d in 1704 – considerably more than the £46 average of those surveyed within her husband’s status group. Jane Whittle has examined the probate inventories of married couples where they exist for both husbands and their widows between 1534 and 1699.</w:t>
      </w:r>
      <w:r>
        <w:rPr>
          <w:rStyle w:val="FootnoteReference"/>
        </w:rPr>
        <w:footnoteReference w:id="354"/>
      </w:r>
      <w:r>
        <w:t xml:space="preserve"> Assessing a similar group of 75 men and their widows between the late</w:t>
      </w:r>
      <w:r w:rsidR="00ED10E2">
        <w:t>-</w:t>
      </w:r>
      <w:r>
        <w:t>sixteenth and early</w:t>
      </w:r>
      <w:r w:rsidR="00ED10E2">
        <w:t>-</w:t>
      </w:r>
      <w:r>
        <w:t xml:space="preserve">eighteenth centuries, Amy Erickson showed that over half of widows died with wealth identical to, or greater than, that </w:t>
      </w:r>
      <w:r>
        <w:lastRenderedPageBreak/>
        <w:t>of their husbands.</w:t>
      </w:r>
      <w:r>
        <w:rPr>
          <w:rStyle w:val="FootnoteReference"/>
        </w:rPr>
        <w:footnoteReference w:id="355"/>
      </w:r>
      <w:r>
        <w:t xml:space="preserve"> Whittle, by contrast, found that the majority within her own sample (76% of 75 widows) died poorer than their husbands.</w:t>
      </w:r>
      <w:r>
        <w:rPr>
          <w:rStyle w:val="FootnoteReference"/>
        </w:rPr>
        <w:footnoteReference w:id="356"/>
      </w:r>
    </w:p>
    <w:p w14:paraId="283C2EA7" w14:textId="77777777" w:rsidR="00220A86" w:rsidRDefault="00220A86" w:rsidP="00220A86">
      <w:pPr>
        <w:spacing w:after="0" w:line="480" w:lineRule="auto"/>
        <w:ind w:firstLine="720"/>
        <w:jc w:val="both"/>
      </w:pPr>
      <w:r>
        <w:t>Richard died just seven years after the Barkers inscribed their home. In her own writing on Thwaite End, Emmeline Garnett has suggested that the £90 in debt visible in Richard’s inventory was a product of rebuilding (and inscription) work.</w:t>
      </w:r>
      <w:r>
        <w:rPr>
          <w:rStyle w:val="FootnoteReference"/>
        </w:rPr>
        <w:footnoteReference w:id="357"/>
      </w:r>
      <w:r>
        <w:t xml:space="preserve"> Isabell was appointed executrix by her husband and would have been responsible for paying off his debts. Upon her death she owed just £26 14s 2d, seemingly having cleared Richard’s arrears significantly. Five of the seven inventoried male inscribers, like Richard, predeceased their wives. Given that inscribers (excepting Hawthornthwaite) were consistently poorer than those in the same status groups within the wider survey, the Barkers’ case suggests that this may be partly linked to their position as inscribers, having either laid out or borrowed money to build or rebuild their homes. However, g</w:t>
      </w:r>
      <w:r w:rsidRPr="00736714">
        <w:t>iven that no other pair of inventories survives</w:t>
      </w:r>
      <w:r>
        <w:t xml:space="preserve"> for an inscribing husband and wife partnership</w:t>
      </w:r>
      <w:r w:rsidRPr="00736714">
        <w:t>, it is impossible to state how representative Richard and Isabell’s experiences were</w:t>
      </w:r>
      <w:r>
        <w:t>. Nevertheless,</w:t>
      </w:r>
      <w:r w:rsidRPr="00736714">
        <w:t xml:space="preserve"> the Barkers’ documents indicate that a single inventory cannot be relied upon to fully represent the wealth of any household – inscribing or otherwise. </w:t>
      </w:r>
      <w:r>
        <w:t xml:space="preserve">Inventories from the wider survey are useful in building a picture of the relative wealth of the middling sorts in Bolton-le-Sands and Prestbury – particularly given the lack of inventories available for inscribers from Prestbury. </w:t>
      </w:r>
      <w:proofErr w:type="gramStart"/>
      <w:r>
        <w:t>In spite of</w:t>
      </w:r>
      <w:proofErr w:type="gramEnd"/>
      <w:r>
        <w:t xml:space="preserve"> this, the paucity of inscribers’ inventories and their portrayal of only </w:t>
      </w:r>
      <w:proofErr w:type="gramStart"/>
      <w:r>
        <w:t>a brief moment</w:t>
      </w:r>
      <w:proofErr w:type="gramEnd"/>
      <w:r>
        <w:t xml:space="preserve"> in inscribers’ lives makes them unsuitable as the foundation of wider conclusions about inscription and wealth. </w:t>
      </w:r>
    </w:p>
    <w:p w14:paraId="2A6BDCAA" w14:textId="77777777" w:rsidR="0029223D" w:rsidRDefault="0029223D" w:rsidP="00220A86">
      <w:pPr>
        <w:spacing w:after="0" w:line="480" w:lineRule="auto"/>
        <w:jc w:val="both"/>
        <w:rPr>
          <w:i/>
          <w:iCs/>
        </w:rPr>
      </w:pPr>
    </w:p>
    <w:p w14:paraId="2F905984" w14:textId="77777777" w:rsidR="00EA3B29" w:rsidRDefault="00EA3B29" w:rsidP="00220A86">
      <w:pPr>
        <w:spacing w:after="0" w:line="480" w:lineRule="auto"/>
        <w:jc w:val="both"/>
        <w:rPr>
          <w:i/>
          <w:iCs/>
        </w:rPr>
      </w:pPr>
    </w:p>
    <w:p w14:paraId="27D677DD" w14:textId="0E9CC724" w:rsidR="00220A86" w:rsidRPr="007C3010" w:rsidRDefault="00220A86" w:rsidP="00220A86">
      <w:pPr>
        <w:spacing w:after="0" w:line="480" w:lineRule="auto"/>
        <w:jc w:val="both"/>
        <w:rPr>
          <w:i/>
          <w:iCs/>
        </w:rPr>
      </w:pPr>
      <w:r>
        <w:rPr>
          <w:i/>
          <w:iCs/>
        </w:rPr>
        <w:lastRenderedPageBreak/>
        <w:t>Conclusion</w:t>
      </w:r>
    </w:p>
    <w:p w14:paraId="69C11FCA" w14:textId="77777777" w:rsidR="00220A86" w:rsidRDefault="00220A86" w:rsidP="00220A86">
      <w:pPr>
        <w:spacing w:after="0" w:line="480" w:lineRule="auto"/>
        <w:ind w:firstLine="720"/>
        <w:jc w:val="both"/>
      </w:pPr>
      <w:r w:rsidRPr="004C361A">
        <w:t xml:space="preserve">This section has examined population, wealth and status in </w:t>
      </w:r>
      <w:r>
        <w:t>Bolton-le-Sands</w:t>
      </w:r>
      <w:r w:rsidRPr="004C361A">
        <w:t xml:space="preserve"> and Prestbury. Compiling h</w:t>
      </w:r>
      <w:r>
        <w:t>earth</w:t>
      </w:r>
      <w:r w:rsidRPr="004C361A">
        <w:t xml:space="preserve"> tax data, it has shown that the Prestbury townships considered here were more populous than those in </w:t>
      </w:r>
      <w:r>
        <w:t>Bolton-le-Sands</w:t>
      </w:r>
      <w:r w:rsidRPr="0099675F">
        <w:t xml:space="preserve">. It has shown that living standards were </w:t>
      </w:r>
      <w:r>
        <w:t xml:space="preserve">roughly </w:t>
      </w:r>
      <w:r w:rsidRPr="0099675F">
        <w:t>similar at the start of the 1650</w:t>
      </w:r>
      <w:r>
        <w:t>-</w:t>
      </w:r>
      <w:r w:rsidRPr="0099675F">
        <w:t>1750</w:t>
      </w:r>
      <w:r>
        <w:t xml:space="preserve"> period</w:t>
      </w:r>
      <w:r w:rsidRPr="0099675F">
        <w:t xml:space="preserve">, but that wealth among the middling sorts </w:t>
      </w:r>
      <w:r>
        <w:t xml:space="preserve">was </w:t>
      </w:r>
      <w:r w:rsidRPr="0099675F">
        <w:t xml:space="preserve">generally </w:t>
      </w:r>
      <w:r>
        <w:t>higher</w:t>
      </w:r>
      <w:r w:rsidRPr="0099675F">
        <w:t xml:space="preserve"> in Prestbury</w:t>
      </w:r>
      <w:r>
        <w:t xml:space="preserve"> – something particularly marked among yeomen and husbandmen. Since most inscribers in both areas were yeomen, it is reasonable to suggest that inscribers in Prestbury were likely to have been wealthier than in Bolton-le-Sands even while inscribers in both areas were not the wealthiest group overall.</w:t>
      </w:r>
      <w:r w:rsidRPr="006C18DD">
        <w:t xml:space="preserve"> </w:t>
      </w:r>
      <w:r>
        <w:t>Simultaneous</w:t>
      </w:r>
      <w:r w:rsidRPr="006C18DD">
        <w:t>ly</w:t>
      </w:r>
      <w:r>
        <w:t>,</w:t>
      </w:r>
      <w:r w:rsidRPr="006C18DD">
        <w:t xml:space="preserve"> this section has </w:t>
      </w:r>
      <w:r>
        <w:t>also highlighted issues with ascertaining prosperity from assessed wealth in inventories. R</w:t>
      </w:r>
      <w:r w:rsidRPr="006C18DD">
        <w:t>are instances where</w:t>
      </w:r>
      <w:r>
        <w:t xml:space="preserve"> </w:t>
      </w:r>
      <w:r w:rsidRPr="006C18DD">
        <w:t xml:space="preserve">inscribers were present in multiple tax returns or where inventories survive for both inscribing parties </w:t>
      </w:r>
      <w:r>
        <w:t xml:space="preserve">have </w:t>
      </w:r>
      <w:r w:rsidRPr="006C18DD">
        <w:t>highlight</w:t>
      </w:r>
      <w:r>
        <w:t>ed</w:t>
      </w:r>
      <w:r w:rsidRPr="006C18DD">
        <w:t xml:space="preserve"> otherwise unseen complexity</w:t>
      </w:r>
      <w:r>
        <w:t>, indicating how wealth could change over the course of the life cycle.</w:t>
      </w:r>
      <w:r w:rsidRPr="00613988">
        <w:t xml:space="preserve"> </w:t>
      </w:r>
      <w:r>
        <w:t>For some, this fluctuation may have been connected to inscription itself. This section has demonstrated that inscription was not straightforwardly connected to wealth and that the measurement of wealth carries a host of difficulties. Further sections will underline the importance of a wide-ranging approach to understanding the many factors influencing and underpinning inscriptions, but this is an important starting point for understanding both communities in greater depth and the place of inscription practices within them.</w:t>
      </w:r>
    </w:p>
    <w:p w14:paraId="30ED85AA" w14:textId="77777777" w:rsidR="00220A86" w:rsidRDefault="00220A86" w:rsidP="00220A86">
      <w:pPr>
        <w:spacing w:after="0" w:line="480" w:lineRule="auto"/>
        <w:jc w:val="both"/>
      </w:pPr>
    </w:p>
    <w:p w14:paraId="232D9936" w14:textId="7BEF9019" w:rsidR="00220A86" w:rsidRDefault="00220A86" w:rsidP="00220A86">
      <w:pPr>
        <w:spacing w:after="0" w:line="480" w:lineRule="auto"/>
        <w:jc w:val="both"/>
        <w:rPr>
          <w:b/>
          <w:bCs/>
        </w:rPr>
      </w:pPr>
      <w:r>
        <w:rPr>
          <w:b/>
          <w:bCs/>
        </w:rPr>
        <w:t>Work Activities in Bolton-le-Sands and Prestbur</w:t>
      </w:r>
      <w:r w:rsidR="00F820C6">
        <w:rPr>
          <w:b/>
          <w:bCs/>
        </w:rPr>
        <w:t>y</w:t>
      </w:r>
    </w:p>
    <w:p w14:paraId="275B66EA" w14:textId="4BE95B33" w:rsidR="00220A86" w:rsidRDefault="00220A86" w:rsidP="00220A86">
      <w:pPr>
        <w:spacing w:after="0" w:line="480" w:lineRule="auto"/>
        <w:ind w:firstLine="720"/>
        <w:jc w:val="both"/>
      </w:pPr>
      <w:r>
        <w:t xml:space="preserve">Building on analyses of population, wealth and status in the first section, the following section considers different types of work undertaken in Bolton-le-Sands and Prestbury. Different work activities will be explored through materials and equipment found in </w:t>
      </w:r>
      <w:r>
        <w:lastRenderedPageBreak/>
        <w:t xml:space="preserve">inventories, supplemented with detail from wills. As in the first section, findings from the wider survey will then be compared with information connected to inscribers to understand their position within their communities. Where inventories are particularly scarce for </w:t>
      </w:r>
      <w:r w:rsidRPr="00B56667">
        <w:t xml:space="preserve">Prestbury </w:t>
      </w:r>
      <w:r>
        <w:t xml:space="preserve">inscribers, the work activities of their peers </w:t>
      </w:r>
      <w:proofErr w:type="gramStart"/>
      <w:r>
        <w:t>provides</w:t>
      </w:r>
      <w:proofErr w:type="gramEnd"/>
      <w:r>
        <w:t xml:space="preserve"> a useful insight into their possible living situations. This section will show that although farming was the majority occupation in both parishes, higher levels of wealth among yeomen and husbandmen in Prestbury can be attributed to higher levels of cattle farming. Similar patterns are visible among textile producers, who were producing goods with a lower return in Bolton-le-Sands and were generally poorer than those in Prestbury. Inventories also suggest that higher sums of money were being lent</w:t>
      </w:r>
      <w:r w:rsidR="00321774">
        <w:t xml:space="preserve"> out</w:t>
      </w:r>
      <w:r>
        <w:t xml:space="preserve"> by couples in Prestbury than in Bolton-le-Sands. This section shows that</w:t>
      </w:r>
      <w:r w:rsidRPr="005A7624">
        <w:t xml:space="preserve"> there were different sources of income in the two </w:t>
      </w:r>
      <w:r>
        <w:t>parishe</w:t>
      </w:r>
      <w:r w:rsidRPr="005A7624">
        <w:t>s</w:t>
      </w:r>
      <w:r>
        <w:t xml:space="preserve"> and that this was</w:t>
      </w:r>
      <w:r w:rsidRPr="005A7624">
        <w:t xml:space="preserve"> responsible for </w:t>
      </w:r>
      <w:r>
        <w:t xml:space="preserve">some </w:t>
      </w:r>
      <w:r w:rsidRPr="005A7624">
        <w:t>disparities in wealth</w:t>
      </w:r>
      <w:r>
        <w:t xml:space="preserve">. Once again it is clear that </w:t>
      </w:r>
      <w:r w:rsidRPr="005A7624">
        <w:t>th</w:t>
      </w:r>
      <w:r>
        <w:t>e middling sorts</w:t>
      </w:r>
      <w:r w:rsidRPr="005A7624">
        <w:t xml:space="preserve"> living in </w:t>
      </w:r>
      <w:r>
        <w:t>P</w:t>
      </w:r>
      <w:r w:rsidRPr="005A7624">
        <w:t xml:space="preserve">restbury were </w:t>
      </w:r>
      <w:r>
        <w:t xml:space="preserve">generally </w:t>
      </w:r>
      <w:r w:rsidRPr="005A7624">
        <w:t xml:space="preserve">richer </w:t>
      </w:r>
      <w:r>
        <w:t xml:space="preserve">than </w:t>
      </w:r>
      <w:r w:rsidRPr="005A7624">
        <w:t xml:space="preserve">those in </w:t>
      </w:r>
      <w:r>
        <w:t>Bolton-le-Sands, and that inscribers in both communities were less affluent than their wealthiest peers.</w:t>
      </w:r>
    </w:p>
    <w:p w14:paraId="7887DE9E" w14:textId="193F238B" w:rsidR="00220A86" w:rsidRDefault="00220A86" w:rsidP="00220A86">
      <w:pPr>
        <w:spacing w:after="0" w:line="480" w:lineRule="auto"/>
        <w:ind w:firstLine="720"/>
        <w:jc w:val="both"/>
      </w:pPr>
      <w:r>
        <w:t xml:space="preserve">The following discussion of work uses a model </w:t>
      </w:r>
      <w:r w:rsidR="00FD016F">
        <w:t>presented</w:t>
      </w:r>
      <w:r>
        <w:t xml:space="preserve"> by Jane Whittle in her 2014 article, ‘Enterprising widows and active wives: women’s unpaid work in the household economy of early modern England’.</w:t>
      </w:r>
      <w:r>
        <w:rPr>
          <w:rStyle w:val="FootnoteReference"/>
        </w:rPr>
        <w:footnoteReference w:id="358"/>
      </w:r>
      <w:r>
        <w:t xml:space="preserve"> Moving beyond the opaque marital status descriptors used by appraisers to describe female testators, Whittle used inventories to assess the work activities of 75 widows, supplemented – as here – with wills. Whittle outlined six categories of work comprising arable farming; livestock farming; food processing (dairying, malting and brewing); textile production (shearing cloth, weaving, and the preparation and spinning of woollen and linen yarn); specialist trades and occupations (crafts and keeping shops, inns and </w:t>
      </w:r>
      <w:r>
        <w:lastRenderedPageBreak/>
        <w:t>taverns); and moneylending.</w:t>
      </w:r>
      <w:r>
        <w:rPr>
          <w:rStyle w:val="FootnoteReference"/>
        </w:rPr>
        <w:footnoteReference w:id="359"/>
      </w:r>
      <w:r w:rsidRPr="005C1629">
        <w:t xml:space="preserve"> </w:t>
      </w:r>
      <w:r w:rsidRPr="002F5055">
        <w:t xml:space="preserve">Table </w:t>
      </w:r>
      <w:r>
        <w:t>15</w:t>
      </w:r>
      <w:r w:rsidRPr="002F5055">
        <w:t xml:space="preserve"> </w:t>
      </w:r>
      <w:r w:rsidR="00133C27">
        <w:t>(p.</w:t>
      </w:r>
      <w:r w:rsidR="005F3CD0">
        <w:t>409</w:t>
      </w:r>
      <w:r w:rsidR="00133C27">
        <w:t xml:space="preserve">) </w:t>
      </w:r>
      <w:r w:rsidRPr="002F5055">
        <w:t>shows the incidence of different work activit</w:t>
      </w:r>
      <w:r>
        <w:t>ies</w:t>
      </w:r>
      <w:r w:rsidRPr="002F5055">
        <w:t xml:space="preserve"> in </w:t>
      </w:r>
      <w:r>
        <w:t>Bolton-le-Sands</w:t>
      </w:r>
      <w:r w:rsidRPr="002F5055">
        <w:t xml:space="preserve"> and Prestbury probate materials.</w:t>
      </w:r>
      <w:r>
        <w:t xml:space="preserve"> Implementing some of Whittle’s frameworks, this section explores a selection of these work activities in turn, </w:t>
      </w:r>
      <w:r w:rsidRPr="00F94DD4">
        <w:t xml:space="preserve">investigating the </w:t>
      </w:r>
      <w:r>
        <w:t>prevalence</w:t>
      </w:r>
      <w:r w:rsidRPr="00F94DD4">
        <w:t>, nature and profitability of agricultural</w:t>
      </w:r>
      <w:r>
        <w:t>, livestock</w:t>
      </w:r>
      <w:r w:rsidRPr="00F94DD4">
        <w:t xml:space="preserve"> and textile</w:t>
      </w:r>
      <w:r>
        <w:t>-based</w:t>
      </w:r>
      <w:r w:rsidRPr="00F94DD4">
        <w:t xml:space="preserve"> labour and </w:t>
      </w:r>
      <w:r>
        <w:t>moneylending</w:t>
      </w:r>
      <w:r w:rsidRPr="00F94DD4">
        <w:t xml:space="preserve"> in both communities.</w:t>
      </w:r>
      <w:r>
        <w:t xml:space="preserve"> </w:t>
      </w:r>
      <w:r w:rsidRPr="0003652C">
        <w:t xml:space="preserve">In </w:t>
      </w:r>
      <w:r>
        <w:t xml:space="preserve">so </w:t>
      </w:r>
      <w:r w:rsidRPr="0003652C">
        <w:t>doing, it becomes clear that although the two areas ha</w:t>
      </w:r>
      <w:r>
        <w:t>d</w:t>
      </w:r>
      <w:r w:rsidRPr="0003652C">
        <w:t xml:space="preserve"> many parallels and </w:t>
      </w:r>
      <w:r>
        <w:t>we</w:t>
      </w:r>
      <w:r w:rsidRPr="0003652C">
        <w:t xml:space="preserve">re different by degrees rather than in any fundamental way, there </w:t>
      </w:r>
      <w:r>
        <w:t>we</w:t>
      </w:r>
      <w:r w:rsidRPr="0003652C">
        <w:t>re evident distinctions in lifestyle and wealth</w:t>
      </w:r>
      <w:r>
        <w:t>, potentially contributing to differences in inscription practices between the two areas.</w:t>
      </w:r>
    </w:p>
    <w:p w14:paraId="0F745BC5" w14:textId="77777777" w:rsidR="00220A86" w:rsidRDefault="00220A86" w:rsidP="00220A86">
      <w:pPr>
        <w:spacing w:after="0" w:line="480" w:lineRule="auto"/>
        <w:ind w:firstLine="720"/>
        <w:jc w:val="both"/>
      </w:pPr>
      <w:r w:rsidRPr="00F94FA4">
        <w:t>Whittle argued that for inventories to contain irrefutable evidence of arable agriculture, they needed to satisfy at least two of the following conditions: there must be crops in the ground, grain in the store, or husbandry equipment on-site.</w:t>
      </w:r>
      <w:r w:rsidRPr="00F94FA4">
        <w:rPr>
          <w:vertAlign w:val="superscript"/>
        </w:rPr>
        <w:footnoteReference w:id="360"/>
      </w:r>
      <w:r w:rsidRPr="00F94FA4">
        <w:t xml:space="preserve"> Table </w:t>
      </w:r>
      <w:r>
        <w:t>15</w:t>
      </w:r>
      <w:r w:rsidRPr="00F94FA4">
        <w:t xml:space="preserve"> shows that just under half of all</w:t>
      </w:r>
      <w:r>
        <w:t xml:space="preserve"> testators within the survey (48 in Bolton-le-Sands and 41 in Prestbury, equating to 89 out of 198 overall) </w:t>
      </w:r>
      <w:r w:rsidRPr="00F94FA4">
        <w:t xml:space="preserve">met these conditions, </w:t>
      </w:r>
      <w:r>
        <w:t>signalling</w:t>
      </w:r>
      <w:r w:rsidRPr="00F94FA4">
        <w:t xml:space="preserve"> that arable agriculture was a key occupation</w:t>
      </w:r>
      <w:r>
        <w:t xml:space="preserve"> among the middling sorts</w:t>
      </w:r>
      <w:r w:rsidRPr="00F94FA4">
        <w:t xml:space="preserve"> in both areas</w:t>
      </w:r>
      <w:r>
        <w:t xml:space="preserve">. Proportions were similar among inscribers with surviving probate materials, with 57% of the seven inventoried Bolton-le-Sands inscribers involved in arable agriculture. In Prestbury, Clowes’ inventory included a ‘corn chamber’ worth £4, but as no individual goods were itemised it is unclear whether either grain or husbandry equipment were </w:t>
      </w:r>
      <w:proofErr w:type="gramStart"/>
      <w:r>
        <w:t>actually present</w:t>
      </w:r>
      <w:proofErr w:type="gramEnd"/>
      <w:r>
        <w:t>. Three additional Prestbury inscribers bequeathed husbandry equipment in their wills, accounting for 60% of the Prestbury core sample for whom wills survive and suggesting a high incidence of arable agriculture even where inventories were not available to attest to it.</w:t>
      </w:r>
    </w:p>
    <w:p w14:paraId="7DF15E84" w14:textId="6F205C31" w:rsidR="00220A86" w:rsidRDefault="00220A86" w:rsidP="00220A86">
      <w:pPr>
        <w:spacing w:after="0" w:line="480" w:lineRule="auto"/>
        <w:ind w:firstLine="720"/>
        <w:jc w:val="both"/>
      </w:pPr>
      <w:r w:rsidRPr="00F94FA4">
        <w:lastRenderedPageBreak/>
        <w:t xml:space="preserve"> </w:t>
      </w:r>
      <w:r>
        <w:t xml:space="preserve">In terms of scale, </w:t>
      </w:r>
      <w:r w:rsidRPr="00F94FA4">
        <w:t xml:space="preserve">inventory inconsistencies render it difficult to gauge the </w:t>
      </w:r>
      <w:r>
        <w:t xml:space="preserve">quantities farmed by </w:t>
      </w:r>
      <w:r w:rsidRPr="00F94FA4">
        <w:t xml:space="preserve">different households. Appraisers in </w:t>
      </w:r>
      <w:r>
        <w:t>Bolton-le-Sands</w:t>
      </w:r>
      <w:r w:rsidRPr="00F94FA4">
        <w:t xml:space="preserve"> specified crops ‘growing’ more often than those in Prestbury, making direct comparison impossible. The ‘five acres of barley’ in the inventory of Thomas Jenkinson </w:t>
      </w:r>
      <w:r>
        <w:t xml:space="preserve">of Bolton-le-Sands, for example, </w:t>
      </w:r>
      <w:r w:rsidRPr="00F94FA4">
        <w:t>was almost undoubtedly intended for local markets</w:t>
      </w:r>
      <w:r>
        <w:t xml:space="preserve"> rather than home consumption alone</w:t>
      </w:r>
      <w:r w:rsidRPr="00F94FA4">
        <w:t xml:space="preserve">, but these rare valuations of individual crops or statements about acreage </w:t>
      </w:r>
      <w:r>
        <w:t xml:space="preserve">planted </w:t>
      </w:r>
      <w:r w:rsidRPr="00F94FA4">
        <w:t>offer only scarce indications of yield.</w:t>
      </w:r>
      <w:r w:rsidRPr="00F94FA4">
        <w:rPr>
          <w:vertAlign w:val="superscript"/>
        </w:rPr>
        <w:footnoteReference w:id="361"/>
      </w:r>
      <w:r w:rsidRPr="00F94FA4">
        <w:t xml:space="preserve"> Crop production was seasonal, with inventories reflecting household stores only at the time of the testator’s death rather than any real production levels. Compounding issues further, </w:t>
      </w:r>
      <w:r>
        <w:t xml:space="preserve">valuations of </w:t>
      </w:r>
      <w:r w:rsidRPr="00F94FA4">
        <w:t xml:space="preserve">grains and crops often </w:t>
      </w:r>
      <w:r>
        <w:t xml:space="preserve">included </w:t>
      </w:r>
      <w:r w:rsidRPr="00F94FA4">
        <w:t>other goods stored alongside them in barns and outhouses,</w:t>
      </w:r>
      <w:r>
        <w:t xml:space="preserve"> </w:t>
      </w:r>
      <w:r w:rsidR="00190128">
        <w:t>making</w:t>
      </w:r>
      <w:r>
        <w:t xml:space="preserve"> it impossible to consistently compare testators’</w:t>
      </w:r>
      <w:r w:rsidRPr="00F94FA4">
        <w:t xml:space="preserve"> arable output</w:t>
      </w:r>
      <w:r>
        <w:t>s</w:t>
      </w:r>
      <w:r w:rsidRPr="00F94FA4">
        <w:t xml:space="preserve"> across the two communities. </w:t>
      </w:r>
      <w:r>
        <w:t xml:space="preserve">The same issues were prevalent among inscribers, and although </w:t>
      </w:r>
      <w:proofErr w:type="gramStart"/>
      <w:r>
        <w:t>it is clear that the</w:t>
      </w:r>
      <w:proofErr w:type="gramEnd"/>
      <w:r>
        <w:t xml:space="preserve"> majority of households in the core sample were farming crops, the extent of their production cannot accurately be evaluated.</w:t>
      </w:r>
    </w:p>
    <w:p w14:paraId="2FC3F8DF" w14:textId="77777777" w:rsidR="00220A86" w:rsidRPr="0007192B" w:rsidRDefault="00220A86" w:rsidP="00220A86">
      <w:pPr>
        <w:spacing w:after="0" w:line="480" w:lineRule="auto"/>
        <w:ind w:firstLine="720"/>
        <w:jc w:val="both"/>
      </w:pPr>
      <w:r w:rsidRPr="0007192B">
        <w:t xml:space="preserve">By comparison, livestock </w:t>
      </w:r>
      <w:r>
        <w:t>was more</w:t>
      </w:r>
      <w:r w:rsidRPr="0007192B">
        <w:t xml:space="preserve"> easily compar</w:t>
      </w:r>
      <w:r>
        <w:t>able:</w:t>
      </w:r>
      <w:r w:rsidRPr="0007192B">
        <w:t xml:space="preserve"> more often itemised, counted and individually priced by appraisers than crops.</w:t>
      </w:r>
      <w:r w:rsidRPr="0007192B">
        <w:rPr>
          <w:vertAlign w:val="superscript"/>
        </w:rPr>
        <w:footnoteReference w:id="362"/>
      </w:r>
      <w:r w:rsidRPr="0007192B">
        <w:t xml:space="preserve"> </w:t>
      </w:r>
      <w:r>
        <w:t>In apprehending levels of engagement with livestock production among widows and wives in her own work, Whittle organised farming into four categories:</w:t>
      </w:r>
    </w:p>
    <w:p w14:paraId="0C2F53DD" w14:textId="77777777" w:rsidR="00220A86" w:rsidRPr="0007192B" w:rsidRDefault="00220A86" w:rsidP="00220A86">
      <w:pPr>
        <w:numPr>
          <w:ilvl w:val="0"/>
          <w:numId w:val="4"/>
        </w:numPr>
        <w:spacing w:after="0" w:line="480" w:lineRule="auto"/>
        <w:jc w:val="both"/>
      </w:pPr>
      <w:r w:rsidRPr="0007192B">
        <w:t>Needing no more than a garden (including poultry, bees, 1-2 pigs)</w:t>
      </w:r>
    </w:p>
    <w:p w14:paraId="0EB0F864" w14:textId="77777777" w:rsidR="00220A86" w:rsidRPr="0007192B" w:rsidRDefault="00220A86" w:rsidP="00220A86">
      <w:pPr>
        <w:numPr>
          <w:ilvl w:val="0"/>
          <w:numId w:val="4"/>
        </w:numPr>
        <w:spacing w:after="0" w:line="480" w:lineRule="auto"/>
        <w:jc w:val="both"/>
      </w:pPr>
      <w:r w:rsidRPr="0007192B">
        <w:t>Requiring a garden and common land access (3-10 pigs, 1-10 sheep, 1-2 cattle)</w:t>
      </w:r>
    </w:p>
    <w:p w14:paraId="3635C329" w14:textId="77777777" w:rsidR="00220A86" w:rsidRPr="0007192B" w:rsidRDefault="00220A86" w:rsidP="00220A86">
      <w:pPr>
        <w:numPr>
          <w:ilvl w:val="0"/>
          <w:numId w:val="4"/>
        </w:numPr>
        <w:spacing w:after="0" w:line="480" w:lineRule="auto"/>
        <w:jc w:val="both"/>
      </w:pPr>
      <w:r w:rsidRPr="0007192B">
        <w:t xml:space="preserve">Requiring </w:t>
      </w:r>
      <w:proofErr w:type="gramStart"/>
      <w:r w:rsidRPr="0007192B">
        <w:t>farm land</w:t>
      </w:r>
      <w:proofErr w:type="gramEnd"/>
      <w:r w:rsidRPr="0007192B">
        <w:t xml:space="preserve"> (10-20 pigs, 10-50 sheep, 3-10 cattle)</w:t>
      </w:r>
    </w:p>
    <w:p w14:paraId="478CC387" w14:textId="77777777" w:rsidR="00220A86" w:rsidRPr="0007192B" w:rsidRDefault="00220A86" w:rsidP="00220A86">
      <w:pPr>
        <w:numPr>
          <w:ilvl w:val="0"/>
          <w:numId w:val="4"/>
        </w:numPr>
        <w:spacing w:after="0" w:line="480" w:lineRule="auto"/>
        <w:jc w:val="both"/>
      </w:pPr>
      <w:r w:rsidRPr="0007192B">
        <w:lastRenderedPageBreak/>
        <w:t xml:space="preserve">Requiring </w:t>
      </w:r>
      <w:proofErr w:type="gramStart"/>
      <w:r w:rsidRPr="0007192B">
        <w:t>farm land</w:t>
      </w:r>
      <w:proofErr w:type="gramEnd"/>
      <w:r w:rsidRPr="0007192B">
        <w:t xml:space="preserve"> (&gt;20 pigs, &gt;50 sheep, &gt;10 cattle).</w:t>
      </w:r>
      <w:r w:rsidRPr="0007192B">
        <w:rPr>
          <w:vertAlign w:val="superscript"/>
        </w:rPr>
        <w:footnoteReference w:id="363"/>
      </w:r>
    </w:p>
    <w:p w14:paraId="7E35DE64" w14:textId="77777777" w:rsidR="00220A86" w:rsidRPr="0007192B" w:rsidRDefault="00220A86" w:rsidP="00220A86">
      <w:pPr>
        <w:spacing w:after="0" w:line="480" w:lineRule="auto"/>
        <w:jc w:val="both"/>
      </w:pPr>
      <w:r w:rsidRPr="0007192B">
        <w:t>Whittle’s model provides a single scheme for comparing ownership of different animals, allowing land requirements and stock value to be easily translated regardless of the specific interests of each farmer.</w:t>
      </w:r>
      <w:r>
        <w:t xml:space="preserve"> Dividing surveyed testators in Bolton-le-Sands and Prestbury into the same ownership categories highlights differences in the scale of livestock production within and between the two communities.</w:t>
      </w:r>
    </w:p>
    <w:p w14:paraId="73A1A60D" w14:textId="77777777" w:rsidR="00220A86" w:rsidRPr="00DA03EB" w:rsidRDefault="00220A86" w:rsidP="00220A86">
      <w:pPr>
        <w:spacing w:after="0" w:line="480" w:lineRule="auto"/>
        <w:ind w:firstLine="720"/>
        <w:jc w:val="both"/>
      </w:pPr>
      <w:r w:rsidRPr="00DA03EB">
        <w:t xml:space="preserve">Whittle’s model </w:t>
      </w:r>
      <w:r>
        <w:t xml:space="preserve">also </w:t>
      </w:r>
      <w:r w:rsidRPr="00DA03EB">
        <w:t xml:space="preserve">provides a crucial means of overcoming one issue inherent in sampled inventories: asset grouping. The inventory of Nathan </w:t>
      </w:r>
      <w:proofErr w:type="spellStart"/>
      <w:r w:rsidRPr="00DA03EB">
        <w:t>Bethom</w:t>
      </w:r>
      <w:proofErr w:type="spellEnd"/>
      <w:r w:rsidRPr="00DA03EB">
        <w:t xml:space="preserve"> of </w:t>
      </w:r>
      <w:r>
        <w:t>Bolton-le-Sands</w:t>
      </w:r>
      <w:r w:rsidRPr="00DA03EB">
        <w:t>, for example, describes three horses and ten cows, but mentions only ‘sheep worth 2l 8s’, failing to enumerate the flock.</w:t>
      </w:r>
      <w:r w:rsidRPr="00DA03EB">
        <w:rPr>
          <w:vertAlign w:val="superscript"/>
        </w:rPr>
        <w:footnoteReference w:id="364"/>
      </w:r>
      <w:r w:rsidRPr="00DA03EB">
        <w:t xml:space="preserve"> Likewise, appraisers valuing the goods of James Bell of Over Kellet recorded his cows as worth £22, his horses worth £20, and his sheep worth £5.</w:t>
      </w:r>
      <w:r w:rsidRPr="00DA03EB">
        <w:rPr>
          <w:vertAlign w:val="superscript"/>
        </w:rPr>
        <w:footnoteReference w:id="365"/>
      </w:r>
      <w:r w:rsidRPr="00DA03EB">
        <w:t xml:space="preserve"> </w:t>
      </w:r>
      <w:r>
        <w:t>A</w:t>
      </w:r>
      <w:r w:rsidRPr="00DA03EB">
        <w:t xml:space="preserve">sset grouping </w:t>
      </w:r>
      <w:r>
        <w:t xml:space="preserve">like this </w:t>
      </w:r>
      <w:r w:rsidRPr="00DA03EB">
        <w:t xml:space="preserve">prevents any estimation of total livestock numbers in both areas, obscuring the realities of ownership from view. Considerably more prominent in north Lancashire than east Cheshire, 47% of </w:t>
      </w:r>
      <w:r>
        <w:t>Bolton-le-Sands</w:t>
      </w:r>
      <w:r w:rsidRPr="00DA03EB">
        <w:t xml:space="preserve"> inventories including livestock also contained asset-grouped references to either cattle or sheep. </w:t>
      </w:r>
      <w:r>
        <w:t>J</w:t>
      </w:r>
      <w:r w:rsidRPr="00DA03EB">
        <w:t xml:space="preserve">ust 4% of </w:t>
      </w:r>
      <w:r>
        <w:t xml:space="preserve">Prestbury </w:t>
      </w:r>
      <w:r w:rsidRPr="00DA03EB">
        <w:t xml:space="preserve">inventories containing livestock </w:t>
      </w:r>
      <w:r>
        <w:t>were grouped in this way</w:t>
      </w:r>
      <w:r w:rsidRPr="00DA03EB">
        <w:t>. Whe</w:t>
      </w:r>
      <w:r>
        <w:t>n</w:t>
      </w:r>
      <w:r w:rsidRPr="00DA03EB">
        <w:t xml:space="preserve"> animals </w:t>
      </w:r>
      <w:r>
        <w:t>had been</w:t>
      </w:r>
      <w:r w:rsidRPr="00DA03EB">
        <w:t xml:space="preserve"> grouped</w:t>
      </w:r>
      <w:r>
        <w:t xml:space="preserve">, </w:t>
      </w:r>
      <w:r w:rsidRPr="00DA03EB">
        <w:t>Whittle’s model</w:t>
      </w:r>
      <w:r>
        <w:t xml:space="preserve"> allowed </w:t>
      </w:r>
      <w:r w:rsidRPr="00DA03EB">
        <w:t xml:space="preserve">them to be incorporated into analysis, </w:t>
      </w:r>
      <w:r>
        <w:t>since</w:t>
      </w:r>
      <w:r w:rsidRPr="00DA03EB">
        <w:t xml:space="preserve"> farmers like </w:t>
      </w:r>
      <w:proofErr w:type="spellStart"/>
      <w:r w:rsidRPr="00DA03EB">
        <w:t>Bethom</w:t>
      </w:r>
      <w:proofErr w:type="spellEnd"/>
      <w:r w:rsidRPr="00DA03EB">
        <w:t xml:space="preserve"> and Bell can still be categorised. </w:t>
      </w:r>
      <w:proofErr w:type="spellStart"/>
      <w:r w:rsidRPr="00DA03EB">
        <w:t>Bethom’s</w:t>
      </w:r>
      <w:proofErr w:type="spellEnd"/>
      <w:r w:rsidRPr="00DA03EB">
        <w:t xml:space="preserve"> ten cattle</w:t>
      </w:r>
      <w:r>
        <w:t>, for example,</w:t>
      </w:r>
      <w:r w:rsidRPr="00DA03EB">
        <w:t xml:space="preserve"> place him in category three: despite the unknown quantity of sheep in his possession, at £2 8s they are highly unlikely to number more than the </w:t>
      </w:r>
      <w:r>
        <w:t>50 required</w:t>
      </w:r>
      <w:r w:rsidRPr="00DA03EB">
        <w:t xml:space="preserve"> to qualify him for category four. For Bell, appraisers’ valuations are sufficient to ascertain the extent of his stock, also placing him in category three. By this </w:t>
      </w:r>
      <w:r w:rsidRPr="00DA03EB">
        <w:lastRenderedPageBreak/>
        <w:t xml:space="preserve">process, all </w:t>
      </w:r>
      <w:r>
        <w:t>37</w:t>
      </w:r>
      <w:r w:rsidRPr="00DA03EB">
        <w:t xml:space="preserve"> testators lacking some detail surrounding their livestock possessions can be placed within a category, facilitating comparison between case study communities.</w:t>
      </w:r>
    </w:p>
    <w:p w14:paraId="1B6C2727" w14:textId="0420C68F" w:rsidR="00220A86" w:rsidRDefault="00220A86" w:rsidP="00220A86">
      <w:pPr>
        <w:spacing w:after="0" w:line="480" w:lineRule="auto"/>
        <w:ind w:firstLine="720"/>
        <w:jc w:val="both"/>
      </w:pPr>
      <w:r w:rsidRPr="00C90E77">
        <w:t>Sub-dividing livestock farmers</w:t>
      </w:r>
      <w:r>
        <w:t xml:space="preserve"> in the wider survey</w:t>
      </w:r>
      <w:r w:rsidRPr="00C90E77">
        <w:t xml:space="preserve"> into different categories reveals distinctions in the scale of farming between the two areas</w:t>
      </w:r>
      <w:r>
        <w:t>. Consequently, just as Prestbury farmers were running larger operations, they were clearly also deriving higher incomes from livestock farming than in Bolton-le-Sands</w:t>
      </w:r>
      <w:r w:rsidRPr="00C90E77">
        <w:t xml:space="preserve">. Table </w:t>
      </w:r>
      <w:r>
        <w:t>16</w:t>
      </w:r>
      <w:r w:rsidRPr="00C90E77">
        <w:t xml:space="preserve"> </w:t>
      </w:r>
      <w:r w:rsidR="00133C27">
        <w:t>(p.</w:t>
      </w:r>
      <w:r w:rsidR="005F3CD0">
        <w:t>410</w:t>
      </w:r>
      <w:r w:rsidR="00133C27">
        <w:t xml:space="preserve">) </w:t>
      </w:r>
      <w:r w:rsidRPr="00C90E77">
        <w:t xml:space="preserve">demonstrates the distribution of farmers within these categories. Rather than farming for subsistence alone, all </w:t>
      </w:r>
      <w:r>
        <w:t xml:space="preserve">surveyed </w:t>
      </w:r>
      <w:r w:rsidRPr="00C90E77">
        <w:t xml:space="preserve">testators in categories three and four were </w:t>
      </w:r>
      <w:r>
        <w:t xml:space="preserve">likely </w:t>
      </w:r>
      <w:r w:rsidRPr="00C90E77">
        <w:t xml:space="preserve">engaging with wider markets for meat, dairy or textiles. Although </w:t>
      </w:r>
      <w:r>
        <w:t>most</w:t>
      </w:r>
      <w:r w:rsidRPr="00C90E77">
        <w:t xml:space="preserve"> livestock farmers in both regions fell within category three, the marked difference between individuals in category four confirms that a significantly higher proportion were </w:t>
      </w:r>
      <w:r>
        <w:t xml:space="preserve">running larger farms </w:t>
      </w:r>
      <w:r w:rsidRPr="00C90E77">
        <w:t xml:space="preserve">in Prestbury than in </w:t>
      </w:r>
      <w:r>
        <w:t>Bolton-le-Sands</w:t>
      </w:r>
      <w:r w:rsidRPr="00C90E77">
        <w:t>. One Wildboarclough testator, John Hadfield, had 160 sheep – over</w:t>
      </w:r>
      <w:r>
        <w:t xml:space="preserve"> 70</w:t>
      </w:r>
      <w:r w:rsidRPr="00C90E77">
        <w:t xml:space="preserve"> more than the most prominent sheep farmer in </w:t>
      </w:r>
      <w:r>
        <w:t>Bolton-le-Sands</w:t>
      </w:r>
      <w:r w:rsidRPr="00C90E77">
        <w:t xml:space="preserve">, Richard Lucas. </w:t>
      </w:r>
      <w:r>
        <w:t xml:space="preserve">Moreover, </w:t>
      </w:r>
      <w:r w:rsidRPr="00C90E77">
        <w:t>Lucas was the only will-maker</w:t>
      </w:r>
      <w:r>
        <w:t xml:space="preserve"> surveyed</w:t>
      </w:r>
      <w:r w:rsidRPr="00C90E77">
        <w:t xml:space="preserve"> in </w:t>
      </w:r>
      <w:r>
        <w:t>Bolton-le-Sands</w:t>
      </w:r>
      <w:r w:rsidRPr="00C90E77">
        <w:t xml:space="preserve"> with more than </w:t>
      </w:r>
      <w:r>
        <w:t>80</w:t>
      </w:r>
      <w:r w:rsidRPr="00C90E77">
        <w:t xml:space="preserve"> sheep at his death, while Hadfield was one of two such testators in Prestbury. Equally, while three farmers were appraised with over </w:t>
      </w:r>
      <w:r>
        <w:t xml:space="preserve">20 </w:t>
      </w:r>
      <w:r w:rsidRPr="00C90E77">
        <w:t xml:space="preserve">cattle at their death in </w:t>
      </w:r>
      <w:r>
        <w:t>Bolton-le-Sands</w:t>
      </w:r>
      <w:r w:rsidRPr="00C90E77">
        <w:t>, six such testators were present in the Prestbury s</w:t>
      </w:r>
      <w:r>
        <w:t>urvey</w:t>
      </w:r>
      <w:r w:rsidRPr="00C90E77">
        <w:t xml:space="preserve">. Rather than being dramatically different from ownership patterns in </w:t>
      </w:r>
      <w:r>
        <w:t>Bolton-le-Sands</w:t>
      </w:r>
      <w:r w:rsidRPr="00C90E77">
        <w:t>,</w:t>
      </w:r>
      <w:r>
        <w:t xml:space="preserve"> therefore,</w:t>
      </w:r>
      <w:r w:rsidRPr="00C90E77">
        <w:t xml:space="preserve"> the inventories of livestock farmers in Prestbury reveal differences of proportion. Larger farms were present on a wider scale in east Cheshire</w:t>
      </w:r>
      <w:r>
        <w:t xml:space="preserve"> case study areas</w:t>
      </w:r>
      <w:r w:rsidRPr="00C90E77">
        <w:t xml:space="preserve">, with the potential for particularly large farms like Hadfield’s to thrive. </w:t>
      </w:r>
      <w:r>
        <w:t>This is in keeping with previous findings relating to wealth and status in both communities, which also revealed a greater proportion of wealthy yeomen and husbandmen in Prestbury without showing that all members of both groups were universally better off than in Bolton-le-Sands.</w:t>
      </w:r>
    </w:p>
    <w:p w14:paraId="1F26C256" w14:textId="1462D8FF" w:rsidR="00220A86" w:rsidRPr="00C90E77" w:rsidRDefault="00220A86" w:rsidP="00220A86">
      <w:pPr>
        <w:spacing w:after="0" w:line="480" w:lineRule="auto"/>
        <w:ind w:firstLine="720"/>
        <w:jc w:val="both"/>
      </w:pPr>
      <w:r>
        <w:lastRenderedPageBreak/>
        <w:t>86% of inventoried inscribers in Bolton-le-Sands had livestock among their effects. Categorising these inscribers according to ownership, it is apparent that none were among the wealthiest livestock farmers in each of their communities. In Prestbury, inscriber William Clowes owned livestock, accounting for 100% of the inventoried core sample there. The will of Prestbury inscriber Thomas Frost of Lower Barn, Wildboarclough also included a bequest of ‘</w:t>
      </w:r>
      <w:proofErr w:type="spellStart"/>
      <w:r>
        <w:t>tenn</w:t>
      </w:r>
      <w:proofErr w:type="spellEnd"/>
      <w:r>
        <w:t xml:space="preserve"> ewe sheep’ to his grandson John Cooper.</w:t>
      </w:r>
      <w:r>
        <w:rPr>
          <w:rStyle w:val="FootnoteReference"/>
        </w:rPr>
        <w:footnoteReference w:id="366"/>
      </w:r>
      <w:r>
        <w:t xml:space="preserve"> In specifying that the ewes gifted to John were ‘to be chosen out by his father’, Frost revealed that his flock numbered more than ten, providing sufficient detail to place him within an ownership category. Unlike Table 16, owing to smaller numbers of surviving documents, Table 17 </w:t>
      </w:r>
      <w:r w:rsidR="00133C27">
        <w:t>(p.</w:t>
      </w:r>
      <w:r w:rsidR="005F3CD0">
        <w:t>411</w:t>
      </w:r>
      <w:r w:rsidR="00133C27">
        <w:t xml:space="preserve">) </w:t>
      </w:r>
      <w:r>
        <w:t>collates findings from both wills and inventories of inscribers in both areas to categorise livestock ownership.</w:t>
      </w:r>
      <w:r>
        <w:rPr>
          <w:rStyle w:val="FootnoteReference"/>
        </w:rPr>
        <w:footnoteReference w:id="367"/>
      </w:r>
      <w:r>
        <w:t xml:space="preserve"> Table 17 reveals that all inscribers known to have owned livestock were either in categories </w:t>
      </w:r>
      <w:r w:rsidR="00B56015">
        <w:t>two</w:t>
      </w:r>
      <w:r>
        <w:t xml:space="preserve"> or </w:t>
      </w:r>
      <w:r w:rsidR="00B56015">
        <w:t>three</w:t>
      </w:r>
      <w:r>
        <w:t>. Hawthornthwaite was the only inscriber in the highest category in either area, assessed with 37 cattle and 32 sheep at his death, but he has been excluded from the table because he was living elsewhere.</w:t>
      </w:r>
      <w:r>
        <w:rPr>
          <w:rStyle w:val="FootnoteReference"/>
        </w:rPr>
        <w:footnoteReference w:id="368"/>
      </w:r>
      <w:r>
        <w:t xml:space="preserve"> With a high proportion of inventoried inscribers in category </w:t>
      </w:r>
      <w:r w:rsidR="00B56015">
        <w:t>three</w:t>
      </w:r>
      <w:r>
        <w:t xml:space="preserve"> and none in category </w:t>
      </w:r>
      <w:r w:rsidR="00B56015">
        <w:t>four</w:t>
      </w:r>
      <w:r>
        <w:t xml:space="preserve">, inscribers were clearly neither the wealthiest nor the most productive livestock farmers in their respective communities. Whether or not they possessed wealth unseen in their probate documents, they were not deriving it from livestock production. </w:t>
      </w:r>
    </w:p>
    <w:p w14:paraId="2CFA1571" w14:textId="77777777" w:rsidR="00220A86" w:rsidRDefault="00220A86" w:rsidP="00220A86">
      <w:pPr>
        <w:spacing w:after="0" w:line="480" w:lineRule="auto"/>
        <w:ind w:firstLine="720"/>
        <w:jc w:val="both"/>
      </w:pPr>
      <w:r w:rsidRPr="000E22BC">
        <w:t>Cattle were high value capital goods</w:t>
      </w:r>
      <w:r>
        <w:t>. As a result, those owning cattle</w:t>
      </w:r>
      <w:r w:rsidRPr="000E22BC">
        <w:t xml:space="preserve"> </w:t>
      </w:r>
      <w:r>
        <w:t xml:space="preserve">are </w:t>
      </w:r>
      <w:r w:rsidRPr="000E22BC">
        <w:t>more likely to feature in surviving probate documents.</w:t>
      </w:r>
      <w:r w:rsidRPr="000E22BC">
        <w:rPr>
          <w:vertAlign w:val="superscript"/>
        </w:rPr>
        <w:footnoteReference w:id="369"/>
      </w:r>
      <w:r w:rsidRPr="000E22BC">
        <w:t xml:space="preserve"> Sebastian Keibek and Leigh Shaw-Taylor have </w:t>
      </w:r>
      <w:r w:rsidRPr="000E22BC">
        <w:lastRenderedPageBreak/>
        <w:t xml:space="preserve">demonstrated that early modern farmers were three times more likely to leave inventories than manufacturers, and </w:t>
      </w:r>
      <w:r>
        <w:t xml:space="preserve">20 </w:t>
      </w:r>
      <w:r w:rsidRPr="000E22BC">
        <w:t>times more likely than labourers.</w:t>
      </w:r>
      <w:r w:rsidRPr="000E22BC">
        <w:rPr>
          <w:vertAlign w:val="superscript"/>
        </w:rPr>
        <w:footnoteReference w:id="370"/>
      </w:r>
      <w:r w:rsidRPr="000E22BC">
        <w:t xml:space="preserve"> They have also shown that </w:t>
      </w:r>
      <w:r>
        <w:t xml:space="preserve">inventories were made more often for </w:t>
      </w:r>
      <w:r w:rsidRPr="000E22BC">
        <w:t xml:space="preserve">artisans </w:t>
      </w:r>
      <w:r w:rsidRPr="00DB2580">
        <w:rPr>
          <w:i/>
          <w:iCs/>
        </w:rPr>
        <w:t xml:space="preserve">with </w:t>
      </w:r>
      <w:r w:rsidRPr="000E22BC">
        <w:t>livestock</w:t>
      </w:r>
      <w:r>
        <w:t xml:space="preserve"> </w:t>
      </w:r>
      <w:r w:rsidRPr="000E22BC">
        <w:t xml:space="preserve">than artisans </w:t>
      </w:r>
      <w:r w:rsidRPr="00791816">
        <w:rPr>
          <w:i/>
          <w:iCs/>
        </w:rPr>
        <w:t>without</w:t>
      </w:r>
      <w:r w:rsidRPr="000E22BC">
        <w:t xml:space="preserve">, offering a possible explanation for the presence of cattle and sheep in 91% of </w:t>
      </w:r>
      <w:r>
        <w:t xml:space="preserve">male </w:t>
      </w:r>
      <w:r w:rsidRPr="000E22BC">
        <w:t>tradesmen</w:t>
      </w:r>
      <w:r>
        <w:t>’s inventories</w:t>
      </w:r>
      <w:r w:rsidRPr="000E22BC">
        <w:t xml:space="preserve"> in</w:t>
      </w:r>
      <w:r>
        <w:t xml:space="preserve"> the</w:t>
      </w:r>
      <w:r w:rsidRPr="000E22BC">
        <w:t xml:space="preserve"> </w:t>
      </w:r>
      <w:r>
        <w:t>wider survey</w:t>
      </w:r>
      <w:r w:rsidRPr="000E22BC">
        <w:t>.</w:t>
      </w:r>
      <w:r w:rsidRPr="000E22BC">
        <w:rPr>
          <w:vertAlign w:val="superscript"/>
        </w:rPr>
        <w:footnoteReference w:id="371"/>
      </w:r>
      <w:r w:rsidRPr="000E22BC">
        <w:t xml:space="preserve"> </w:t>
      </w:r>
      <w:r>
        <w:t>Since the wider survey comprises will and inventory pairs from both Bolton-le-Sands and Prestbury, potential biases have been mitigated as far as possible: even if livestock farmers were more likely to be represented among both types of documents, comparing the wealth of those represented in both areas remains meaningful. Unlike the wider survey, which comprises only individuals with surviving wills and inventories, inclusion in the core sample is predicated upon whether individuals inscribed their homes, regardless of whether probate materials linked to them also survive. It is possible that un-inventoried inscribers within the core sample left no inventories precisely because they owned neither sheep nor cattle. The will of inscriber Thomas Frost suggests otherwise, though, containing a reference to livestock despite no accompanying inventory being made.</w:t>
      </w:r>
      <w:r>
        <w:rPr>
          <w:rStyle w:val="FootnoteReference"/>
        </w:rPr>
        <w:footnoteReference w:id="372"/>
      </w:r>
      <w:r>
        <w:t xml:space="preserve"> Nevertheless, for most inscribers without inventories, their possessions and wealth are impossible to discern. As far as any conclusion can be drawn, the wider survey indicates that the wealthiest livestock farmers in each area were better off in Prestbury than Bolton-le-Sands,</w:t>
      </w:r>
      <w:r w:rsidRPr="00A17114">
        <w:t xml:space="preserve"> possessing larger shares of land, supporting larger stocks of animals, and generating higher incomes.</w:t>
      </w:r>
      <w:r>
        <w:t xml:space="preserve"> If inscribers performed similar work, their ownership may have followed similar patterns.</w:t>
      </w:r>
    </w:p>
    <w:p w14:paraId="11154C5F" w14:textId="262FE368" w:rsidR="00220A86" w:rsidRDefault="00220A86" w:rsidP="00220A86">
      <w:pPr>
        <w:spacing w:after="0" w:line="480" w:lineRule="auto"/>
        <w:ind w:firstLine="720"/>
        <w:jc w:val="both"/>
      </w:pPr>
      <w:r w:rsidRPr="00A54A78">
        <w:t>Livestock were being used for different purposes in both case study areas</w:t>
      </w:r>
      <w:r>
        <w:t>, supporting greater wealth in Prestbury than in Bolton-le-Sands</w:t>
      </w:r>
      <w:r w:rsidRPr="00A54A78">
        <w:t>. Prestbury</w:t>
      </w:r>
      <w:r>
        <w:t xml:space="preserve"> t</w:t>
      </w:r>
      <w:r w:rsidRPr="00A54A78">
        <w:t xml:space="preserve">estators </w:t>
      </w:r>
      <w:r>
        <w:t>were</w:t>
      </w:r>
      <w:r w:rsidRPr="00A54A78">
        <w:t xml:space="preserve"> </w:t>
      </w:r>
      <w:r>
        <w:t xml:space="preserve">more </w:t>
      </w:r>
      <w:r w:rsidRPr="00A54A78">
        <w:t xml:space="preserve">likely </w:t>
      </w:r>
      <w:r>
        <w:t xml:space="preserve">to </w:t>
      </w:r>
      <w:r w:rsidRPr="00A54A78">
        <w:lastRenderedPageBreak/>
        <w:t>own</w:t>
      </w:r>
      <w:r>
        <w:t xml:space="preserve"> </w:t>
      </w:r>
      <w:r w:rsidRPr="00A54A78">
        <w:t>cattle (</w:t>
      </w:r>
      <w:r>
        <w:t>at least 75% did so</w:t>
      </w:r>
      <w:r w:rsidRPr="00A54A78">
        <w:t xml:space="preserve">, compared with </w:t>
      </w:r>
      <w:r>
        <w:t>63% in</w:t>
      </w:r>
      <w:r w:rsidRPr="00A54A78">
        <w:t xml:space="preserve"> </w:t>
      </w:r>
      <w:r>
        <w:t>Bolton-le-Sands</w:t>
      </w:r>
      <w:r w:rsidRPr="00A54A78">
        <w:t xml:space="preserve">) and were far more likely to be engaging in </w:t>
      </w:r>
      <w:r>
        <w:t>cheese</w:t>
      </w:r>
      <w:r w:rsidRPr="00A54A78">
        <w:t xml:space="preserve"> production. While only</w:t>
      </w:r>
      <w:r>
        <w:t xml:space="preserve"> 15</w:t>
      </w:r>
      <w:r w:rsidR="004A1435">
        <w:t xml:space="preserve"> </w:t>
      </w:r>
      <w:r>
        <w:t>Bolton-le-Sands</w:t>
      </w:r>
      <w:r w:rsidRPr="00A54A78">
        <w:t xml:space="preserve"> inventories</w:t>
      </w:r>
      <w:r>
        <w:t xml:space="preserve"> in the wider survey</w:t>
      </w:r>
      <w:r w:rsidRPr="00A54A78">
        <w:t xml:space="preserve"> reference</w:t>
      </w:r>
      <w:r>
        <w:t>d</w:t>
      </w:r>
      <w:r w:rsidRPr="00A54A78">
        <w:t xml:space="preserve"> cheese, </w:t>
      </w:r>
      <w:r>
        <w:t>46</w:t>
      </w:r>
      <w:r w:rsidRPr="00A54A78">
        <w:t xml:space="preserve"> Prestbury inventories included either cheese or cheese-making equipment</w:t>
      </w:r>
      <w:r>
        <w:t xml:space="preserve"> –</w:t>
      </w:r>
      <w:r w:rsidRPr="00A54A78">
        <w:t xml:space="preserve"> </w:t>
      </w:r>
      <w:r>
        <w:t>44</w:t>
      </w:r>
      <w:r w:rsidRPr="00A54A78">
        <w:t xml:space="preserve"> of </w:t>
      </w:r>
      <w:r>
        <w:t>which</w:t>
      </w:r>
      <w:r w:rsidRPr="00A54A78">
        <w:t xml:space="preserve"> also includ</w:t>
      </w:r>
      <w:r>
        <w:t>ed</w:t>
      </w:r>
      <w:r w:rsidRPr="00A54A78">
        <w:t xml:space="preserve"> cows. </w:t>
      </w:r>
      <w:r w:rsidR="007C426F">
        <w:t>Twenty-three</w:t>
      </w:r>
      <w:r w:rsidRPr="00A54A78">
        <w:t xml:space="preserve"> </w:t>
      </w:r>
      <w:r>
        <w:t xml:space="preserve">surveyed </w:t>
      </w:r>
      <w:r w:rsidRPr="00A54A78">
        <w:t xml:space="preserve">testators owned cheese vats, boards, tubs, basins, and testers – all key cheese-making tools. </w:t>
      </w:r>
      <w:r w:rsidR="007C426F">
        <w:t>Nineteen</w:t>
      </w:r>
      <w:r w:rsidRPr="00A54A78">
        <w:t xml:space="preserve"> of these producers were</w:t>
      </w:r>
      <w:r>
        <w:t xml:space="preserve"> also</w:t>
      </w:r>
      <w:r w:rsidRPr="00A54A78">
        <w:t xml:space="preserve"> storing cheese in their homes, suggesting the others had since either retired</w:t>
      </w:r>
      <w:r>
        <w:t xml:space="preserve">, </w:t>
      </w:r>
      <w:r w:rsidRPr="00A54A78">
        <w:t>become too unwell to do so</w:t>
      </w:r>
      <w:r>
        <w:t xml:space="preserve"> or were using other premises</w:t>
      </w:r>
      <w:r w:rsidRPr="00A54A78">
        <w:t>.</w:t>
      </w:r>
      <w:r>
        <w:t xml:space="preserve"> Apart from Robert Hawthornthwaite, who owned two cheese presses at Scorton but none in Bolton-le-Sands, cheese and cheese-making equipment was absent from all inscribers’ inventories in both areas. The will of inscriber Thomas Frost from Wildboarclough included a bequest ‘unto Robert Frost my son the great Table and </w:t>
      </w:r>
      <w:proofErr w:type="spellStart"/>
      <w:r>
        <w:t>forme</w:t>
      </w:r>
      <w:proofErr w:type="spellEnd"/>
      <w:r>
        <w:t xml:space="preserve"> in the house place and </w:t>
      </w:r>
      <w:proofErr w:type="spellStart"/>
      <w:r>
        <w:t>bedstocks</w:t>
      </w:r>
      <w:proofErr w:type="spellEnd"/>
      <w:r>
        <w:t xml:space="preserve"> … meal </w:t>
      </w:r>
      <w:proofErr w:type="spellStart"/>
      <w:r>
        <w:t>arke</w:t>
      </w:r>
      <w:proofErr w:type="spellEnd"/>
      <w:r>
        <w:t xml:space="preserve"> … Cheese press … two stone </w:t>
      </w:r>
      <w:proofErr w:type="spellStart"/>
      <w:r>
        <w:t>cesterns</w:t>
      </w:r>
      <w:proofErr w:type="spellEnd"/>
      <w:r>
        <w:t xml:space="preserve"> and swine trough and the great swine </w:t>
      </w:r>
      <w:proofErr w:type="spellStart"/>
      <w:r>
        <w:t>turnell</w:t>
      </w:r>
      <w:proofErr w:type="spellEnd"/>
      <w:r>
        <w:t xml:space="preserve"> and </w:t>
      </w:r>
      <w:proofErr w:type="spellStart"/>
      <w:r>
        <w:t>allsoe</w:t>
      </w:r>
      <w:proofErr w:type="spellEnd"/>
      <w:r>
        <w:t xml:space="preserve"> all my husbandry ware’.</w:t>
      </w:r>
      <w:r>
        <w:rPr>
          <w:rStyle w:val="FootnoteReference"/>
        </w:rPr>
        <w:footnoteReference w:id="373"/>
      </w:r>
      <w:r>
        <w:t xml:space="preserve"> Within the first of 11 bequests made by Thomas, the cheese press featured alongside goods of high economic and emotional value – perhaps heirlooms – and goods central to the running of his household and farm.</w:t>
      </w:r>
    </w:p>
    <w:p w14:paraId="791F9474" w14:textId="77777777" w:rsidR="00220A86" w:rsidRPr="00A54A78" w:rsidRDefault="00220A86" w:rsidP="00220A86">
      <w:pPr>
        <w:spacing w:after="0" w:line="480" w:lineRule="auto"/>
        <w:ind w:firstLine="720"/>
        <w:jc w:val="both"/>
      </w:pPr>
      <w:r w:rsidRPr="00A54A78">
        <w:t xml:space="preserve">Cheese-making </w:t>
      </w:r>
      <w:r>
        <w:t>was</w:t>
      </w:r>
      <w:r w:rsidRPr="00A54A78">
        <w:t xml:space="preserve"> an important </w:t>
      </w:r>
      <w:r>
        <w:t>source of</w:t>
      </w:r>
      <w:r w:rsidRPr="00A54A78">
        <w:t xml:space="preserve"> income</w:t>
      </w:r>
      <w:r>
        <w:t xml:space="preserve"> for testators</w:t>
      </w:r>
      <w:r w:rsidRPr="00A54A78">
        <w:t xml:space="preserve"> in Prestbury, present alongside multiple other work activities. This aligns with</w:t>
      </w:r>
      <w:r>
        <w:t xml:space="preserve"> other</w:t>
      </w:r>
      <w:r w:rsidRPr="00A54A78">
        <w:t xml:space="preserve"> </w:t>
      </w:r>
      <w:r>
        <w:t>research into farming in</w:t>
      </w:r>
      <w:r w:rsidRPr="00A54A78">
        <w:t xml:space="preserve"> Cheshire</w:t>
      </w:r>
      <w:r>
        <w:t xml:space="preserve">, since </w:t>
      </w:r>
      <w:r w:rsidRPr="00A54A78">
        <w:t xml:space="preserve">Jon Stobart </w:t>
      </w:r>
      <w:r>
        <w:t>has found t</w:t>
      </w:r>
      <w:r w:rsidRPr="00A54A78">
        <w:t>hat mixed agriculture</w:t>
      </w:r>
      <w:r>
        <w:t xml:space="preserve"> was common throughout the county, where farmers</w:t>
      </w:r>
      <w:r w:rsidRPr="00A54A78">
        <w:t xml:space="preserve"> gr</w:t>
      </w:r>
      <w:r>
        <w:t>ew</w:t>
      </w:r>
      <w:r w:rsidRPr="00A54A78">
        <w:t xml:space="preserve"> crops and ke</w:t>
      </w:r>
      <w:r>
        <w:t xml:space="preserve">pt </w:t>
      </w:r>
      <w:r w:rsidRPr="00A54A78">
        <w:t>a variety of livestock while manufacturing cheese on a commercial basis.</w:t>
      </w:r>
      <w:r w:rsidRPr="00A54A78">
        <w:rPr>
          <w:vertAlign w:val="superscript"/>
        </w:rPr>
        <w:footnoteReference w:id="374"/>
      </w:r>
      <w:r w:rsidRPr="00A54A78">
        <w:t xml:space="preserve"> The majority of Prestbury cheese-makers </w:t>
      </w:r>
      <w:r>
        <w:t xml:space="preserve">within the survey </w:t>
      </w:r>
      <w:r w:rsidRPr="00A54A78">
        <w:t>were yeomen, husbandmen and widows, but two tradesmen – both with four cows – were also participating. Although many inventories group</w:t>
      </w:r>
      <w:r>
        <w:t>ed</w:t>
      </w:r>
      <w:r w:rsidRPr="00A54A78">
        <w:t xml:space="preserve"> cheese with other goods, where valued </w:t>
      </w:r>
      <w:r w:rsidRPr="00A54A78">
        <w:lastRenderedPageBreak/>
        <w:t>alone it clearly had the capacity to comprise a significant proportion of a testator’s wealth. The inventory of John Hough of Sutton, for example, include</w:t>
      </w:r>
      <w:r>
        <w:t>d</w:t>
      </w:r>
      <w:r w:rsidRPr="00A54A78">
        <w:t xml:space="preserve"> cheese appraised at £30, while the inventory of Peter Hall of Butley </w:t>
      </w:r>
      <w:proofErr w:type="gramStart"/>
      <w:r w:rsidRPr="00A54A78">
        <w:t>ma</w:t>
      </w:r>
      <w:r>
        <w:t>de</w:t>
      </w:r>
      <w:r w:rsidRPr="00A54A78">
        <w:t xml:space="preserve"> reference</w:t>
      </w:r>
      <w:proofErr w:type="gramEnd"/>
      <w:r w:rsidRPr="00A54A78">
        <w:t xml:space="preserve"> to cheese valued at £22.</w:t>
      </w:r>
      <w:r w:rsidRPr="00A54A78">
        <w:rPr>
          <w:vertAlign w:val="superscript"/>
        </w:rPr>
        <w:footnoteReference w:id="375"/>
      </w:r>
      <w:r>
        <w:t xml:space="preserve"> The prioritisation of the cheese press in Frost’s will further reinforces the importance of cheese-making for Prestbury inhabitants.</w:t>
      </w:r>
    </w:p>
    <w:p w14:paraId="4B8F0BF8" w14:textId="11BABDEF" w:rsidR="00220A86" w:rsidRPr="00AE7F84" w:rsidRDefault="00220A86" w:rsidP="00220A86">
      <w:pPr>
        <w:spacing w:after="0" w:line="480" w:lineRule="auto"/>
        <w:ind w:firstLine="720"/>
        <w:jc w:val="both"/>
      </w:pPr>
      <w:r w:rsidRPr="00AE7F84">
        <w:t>Although inventories do not reveal the distance at which cheeses from Prestbury were being sold, whe</w:t>
      </w:r>
      <w:r>
        <w:t>n present in</w:t>
      </w:r>
      <w:r w:rsidRPr="00AE7F84">
        <w:t xml:space="preserve"> large amounts in testators’ inventories, </w:t>
      </w:r>
      <w:r>
        <w:t>cheese was</w:t>
      </w:r>
      <w:r w:rsidRPr="00AE7F84">
        <w:t xml:space="preserve"> undoubtedly destined for sale. In the late</w:t>
      </w:r>
      <w:r w:rsidR="00ED10E2">
        <w:t>-</w:t>
      </w:r>
      <w:r w:rsidRPr="00AE7F84">
        <w:t>seventeenth and early</w:t>
      </w:r>
      <w:r w:rsidR="00ED10E2">
        <w:t>-</w:t>
      </w:r>
      <w:r w:rsidRPr="00AE7F84">
        <w:t>eighteenth centuries, Cheshire cheese dominated the market in London, privileged over cheese from neighbouring counties for its higher quality.</w:t>
      </w:r>
      <w:r w:rsidRPr="00AE7F84">
        <w:rPr>
          <w:vertAlign w:val="superscript"/>
        </w:rPr>
        <w:footnoteReference w:id="376"/>
      </w:r>
      <w:r w:rsidRPr="00AE7F84">
        <w:t xml:space="preserve"> Charles Foster has charted the wide-reaching production of these ‘Cheshire’ cheeses, demonstrating the involvement of makers in North Wales, Shropshire, Derbyshire and Staffordshire, as well as throughout Cheshire itself.</w:t>
      </w:r>
      <w:r w:rsidRPr="00AE7F84">
        <w:rPr>
          <w:vertAlign w:val="superscript"/>
        </w:rPr>
        <w:footnoteReference w:id="377"/>
      </w:r>
      <w:r w:rsidRPr="00AE7F84">
        <w:t xml:space="preserve"> As will be explored in </w:t>
      </w:r>
      <w:r>
        <w:t>c</w:t>
      </w:r>
      <w:r w:rsidRPr="00AE7F84">
        <w:t xml:space="preserve">hapter </w:t>
      </w:r>
      <w:r>
        <w:t>f</w:t>
      </w:r>
      <w:r w:rsidRPr="00AE7F84">
        <w:t>our, household goods in Prestbury inventories show clear trading connections with Staffordshire and its market towns, across the nearby county border. It is therefore reasonable to speculate that Prestbury cheese-makers were participating in the booming trade with London, selling cheese to factors operating routes via the Trent to the Humber or over land to key cheese ports at Frodsham on the Mersey for passage to the capital by sea.</w:t>
      </w:r>
      <w:r w:rsidRPr="00AE7F84">
        <w:rPr>
          <w:vertAlign w:val="superscript"/>
        </w:rPr>
        <w:footnoteReference w:id="378"/>
      </w:r>
      <w:r w:rsidRPr="00AE7F84">
        <w:t xml:space="preserve"> By comparison, </w:t>
      </w:r>
      <w:r>
        <w:t>Bolton-le-Sands</w:t>
      </w:r>
      <w:r w:rsidRPr="00AE7F84">
        <w:t xml:space="preserve"> inventories more frequently reference butter – present on </w:t>
      </w:r>
      <w:r>
        <w:t>19</w:t>
      </w:r>
      <w:r w:rsidRPr="00AE7F84">
        <w:t xml:space="preserve"> occasions compared with just six in Prestbury. Where</w:t>
      </w:r>
      <w:r>
        <w:t>as</w:t>
      </w:r>
      <w:r w:rsidRPr="00AE7F84">
        <w:t xml:space="preserve"> cheese was a high value product capable of being stored </w:t>
      </w:r>
      <w:r w:rsidRPr="00AE7F84">
        <w:lastRenderedPageBreak/>
        <w:t>and traded over greater distances without losing its quality, butter was much more likely produced either for home use or for more localised consumption.</w:t>
      </w:r>
      <w:r>
        <w:rPr>
          <w:rStyle w:val="FootnoteReference"/>
        </w:rPr>
        <w:footnoteReference w:id="379"/>
      </w:r>
    </w:p>
    <w:p w14:paraId="49CAFD3D" w14:textId="7DC21A42" w:rsidR="00220A86" w:rsidRPr="00AA0D0D" w:rsidRDefault="00220A86" w:rsidP="00220A86">
      <w:pPr>
        <w:spacing w:after="0" w:line="480" w:lineRule="auto"/>
        <w:ind w:firstLine="720"/>
        <w:jc w:val="both"/>
      </w:pPr>
      <w:r>
        <w:t>Although cattle and cheese appeared more often in Prestbury inventories, sheep were more prevalent in Bolton-le-Sands. Livestock were essential in t</w:t>
      </w:r>
      <w:r w:rsidRPr="00AA0D0D">
        <w:t>extile production</w:t>
      </w:r>
      <w:r>
        <w:t>, which was</w:t>
      </w:r>
      <w:r w:rsidRPr="00AA0D0D">
        <w:t xml:space="preserve"> a key </w:t>
      </w:r>
      <w:r>
        <w:t>source of income for many households in early modern England.</w:t>
      </w:r>
      <w:r w:rsidRPr="00AA0D0D">
        <w:t xml:space="preserve"> Norman Lowe has demonstrated that northern Lancashire </w:t>
      </w:r>
      <w:r>
        <w:t>was heavily involved in wool production</w:t>
      </w:r>
      <w:r w:rsidRPr="00AA0D0D">
        <w:t xml:space="preserve"> by the early 1500s</w:t>
      </w:r>
      <w:r>
        <w:t>.</w:t>
      </w:r>
      <w:r w:rsidRPr="00AA0D0D">
        <w:rPr>
          <w:vertAlign w:val="superscript"/>
        </w:rPr>
        <w:footnoteReference w:id="380"/>
      </w:r>
      <w:r w:rsidRPr="00AA0D0D">
        <w:t xml:space="preserve"> </w:t>
      </w:r>
      <w:r>
        <w:t xml:space="preserve">The wider survey reflects </w:t>
      </w:r>
      <w:r w:rsidRPr="00AA0D0D">
        <w:t>this</w:t>
      </w:r>
      <w:r>
        <w:t xml:space="preserve"> regional</w:t>
      </w:r>
      <w:r w:rsidRPr="00AA0D0D">
        <w:t xml:space="preserve"> specialisation</w:t>
      </w:r>
      <w:r>
        <w:t>, with 40 testators engaging in sheep farming in Bolton-le-Sands compared with just 18 in Prestbury. Spinning</w:t>
      </w:r>
      <w:r w:rsidRPr="00AA0D0D">
        <w:t xml:space="preserve"> wheels and looms </w:t>
      </w:r>
      <w:r>
        <w:t xml:space="preserve">represent </w:t>
      </w:r>
      <w:r w:rsidRPr="00AA0D0D">
        <w:t xml:space="preserve">the most visible traces of </w:t>
      </w:r>
      <w:r>
        <w:t>wool processing, but</w:t>
      </w:r>
      <w:r w:rsidRPr="00AA0D0D">
        <w:t xml:space="preserve"> </w:t>
      </w:r>
      <w:r>
        <w:t>are not the only</w:t>
      </w:r>
      <w:r w:rsidRPr="00AA0D0D">
        <w:t xml:space="preserve"> evidence</w:t>
      </w:r>
      <w:r>
        <w:t xml:space="preserve"> of production: b</w:t>
      </w:r>
      <w:r w:rsidRPr="00AA0D0D">
        <w:t>y the early</w:t>
      </w:r>
      <w:r w:rsidR="00ED10E2">
        <w:t>-</w:t>
      </w:r>
      <w:r w:rsidRPr="00AA0D0D">
        <w:t>eighteenth</w:t>
      </w:r>
      <w:r>
        <w:t xml:space="preserve"> </w:t>
      </w:r>
      <w:r w:rsidRPr="00AA0D0D">
        <w:t>century, spinning wheels worth less then sixpence were increasingly available</w:t>
      </w:r>
      <w:r>
        <w:t xml:space="preserve">, but were often </w:t>
      </w:r>
      <w:r w:rsidRPr="00AA0D0D">
        <w:t>too cheap to</w:t>
      </w:r>
      <w:r>
        <w:t xml:space="preserve"> be included </w:t>
      </w:r>
      <w:r w:rsidRPr="00AA0D0D">
        <w:t xml:space="preserve">by </w:t>
      </w:r>
      <w:r>
        <w:t xml:space="preserve">inventory </w:t>
      </w:r>
      <w:r w:rsidRPr="00AA0D0D">
        <w:t>appraisers.</w:t>
      </w:r>
      <w:r w:rsidRPr="00AA0D0D">
        <w:rPr>
          <w:vertAlign w:val="superscript"/>
        </w:rPr>
        <w:footnoteReference w:id="381"/>
      </w:r>
      <w:r w:rsidRPr="00AA0D0D">
        <w:t xml:space="preserve"> Likewise,</w:t>
      </w:r>
      <w:r>
        <w:t xml:space="preserve"> the</w:t>
      </w:r>
      <w:r w:rsidRPr="00AA0D0D">
        <w:t xml:space="preserve"> </w:t>
      </w:r>
      <w:r>
        <w:t>inexpensive</w:t>
      </w:r>
      <w:r w:rsidRPr="00AA0D0D">
        <w:t xml:space="preserve">, ubiquitous equipment </w:t>
      </w:r>
      <w:r>
        <w:t xml:space="preserve">required for </w:t>
      </w:r>
      <w:r w:rsidRPr="00AA0D0D">
        <w:t xml:space="preserve">distaff spinning </w:t>
      </w:r>
      <w:r>
        <w:t>is</w:t>
      </w:r>
      <w:r w:rsidRPr="00AA0D0D">
        <w:t xml:space="preserve"> consistently absent from surviving documents.</w:t>
      </w:r>
      <w:r w:rsidRPr="00AA0D0D">
        <w:rPr>
          <w:vertAlign w:val="superscript"/>
        </w:rPr>
        <w:footnoteReference w:id="382"/>
      </w:r>
      <w:r w:rsidRPr="00AA0D0D">
        <w:t xml:space="preserve"> </w:t>
      </w:r>
      <w:r>
        <w:t xml:space="preserve">An </w:t>
      </w:r>
      <w:r w:rsidRPr="00AA0D0D">
        <w:t xml:space="preserve">expansive approach to textile production has been adopted here, </w:t>
      </w:r>
      <w:r>
        <w:t>considering</w:t>
      </w:r>
      <w:r w:rsidRPr="00AA0D0D">
        <w:t xml:space="preserve"> preparatory equipment like heckles and wool cards and </w:t>
      </w:r>
      <w:r>
        <w:t xml:space="preserve">interpreting the presence of </w:t>
      </w:r>
      <w:r w:rsidRPr="00AA0D0D">
        <w:t xml:space="preserve">different kinds of yarn (particularly, following Whittle, </w:t>
      </w:r>
      <w:r>
        <w:t xml:space="preserve">ownership of </w:t>
      </w:r>
      <w:r w:rsidRPr="00AA0D0D">
        <w:t>‘wool without sheep’) as evidence of textile-based labour</w:t>
      </w:r>
      <w:r>
        <w:t>, even where looms and spinning wheels were not mentioned</w:t>
      </w:r>
      <w:r w:rsidRPr="00AA0D0D">
        <w:t>.</w:t>
      </w:r>
      <w:r w:rsidRPr="00AA0D0D">
        <w:rPr>
          <w:vertAlign w:val="superscript"/>
        </w:rPr>
        <w:footnoteReference w:id="383"/>
      </w:r>
    </w:p>
    <w:p w14:paraId="0B61E654" w14:textId="13A4119E" w:rsidR="00220A86" w:rsidRDefault="00220A86" w:rsidP="00220A86">
      <w:pPr>
        <w:spacing w:after="0" w:line="480" w:lineRule="auto"/>
        <w:ind w:firstLine="720"/>
        <w:jc w:val="both"/>
      </w:pPr>
      <w:r w:rsidRPr="008A6F1B">
        <w:t xml:space="preserve">Table </w:t>
      </w:r>
      <w:r>
        <w:t>18</w:t>
      </w:r>
      <w:r w:rsidRPr="008A6F1B">
        <w:t xml:space="preserve"> </w:t>
      </w:r>
      <w:r w:rsidR="00133C27">
        <w:t>(p.</w:t>
      </w:r>
      <w:r w:rsidR="003A0B48">
        <w:t>412</w:t>
      </w:r>
      <w:r w:rsidR="00133C27">
        <w:t xml:space="preserve">) </w:t>
      </w:r>
      <w:r w:rsidRPr="008A6F1B">
        <w:t>shows referenc</w:t>
      </w:r>
      <w:r>
        <w:t>es to</w:t>
      </w:r>
      <w:r w:rsidRPr="008A6F1B">
        <w:t xml:space="preserve"> different textiles and textile-working equipment in </w:t>
      </w:r>
      <w:r>
        <w:t>the Bolton-le-Sands</w:t>
      </w:r>
      <w:r w:rsidRPr="008A6F1B">
        <w:t xml:space="preserve"> and Prestbury</w:t>
      </w:r>
      <w:r>
        <w:t xml:space="preserve"> wider survey</w:t>
      </w:r>
      <w:r w:rsidRPr="008A6F1B">
        <w:t xml:space="preserve">. </w:t>
      </w:r>
      <w:r>
        <w:t xml:space="preserve">While similar numbers of spinning equipment were present in both areas, the prevalence of other associated items suggests that </w:t>
      </w:r>
      <w:r>
        <w:lastRenderedPageBreak/>
        <w:t xml:space="preserve">textile labour was more widely undertaken in Bolton-le-Sands. </w:t>
      </w:r>
      <w:r w:rsidR="00133C27">
        <w:t>Seventeen</w:t>
      </w:r>
      <w:r w:rsidRPr="008A6F1B">
        <w:t xml:space="preserve"> inventories featur</w:t>
      </w:r>
      <w:r>
        <w:t>ed</w:t>
      </w:r>
      <w:r w:rsidRPr="008A6F1B">
        <w:t xml:space="preserve"> spinning wheels </w:t>
      </w:r>
      <w:r>
        <w:t>in</w:t>
      </w:r>
      <w:r w:rsidRPr="008A6F1B">
        <w:t xml:space="preserve"> both </w:t>
      </w:r>
      <w:r>
        <w:t xml:space="preserve">areas. </w:t>
      </w:r>
      <w:r w:rsidR="00133C27">
        <w:t xml:space="preserve">Twenty-four </w:t>
      </w:r>
      <w:r>
        <w:t xml:space="preserve">inventories </w:t>
      </w:r>
      <w:r w:rsidRPr="008A6F1B">
        <w:t>referenc</w:t>
      </w:r>
      <w:r>
        <w:t>ed</w:t>
      </w:r>
      <w:r w:rsidRPr="008A6F1B">
        <w:t xml:space="preserve"> yarn in </w:t>
      </w:r>
      <w:r>
        <w:t>Bolton-le-Sands</w:t>
      </w:r>
      <w:r w:rsidRPr="008A6F1B">
        <w:t>,</w:t>
      </w:r>
      <w:r>
        <w:t xml:space="preserve"> though,</w:t>
      </w:r>
      <w:r w:rsidRPr="008A6F1B">
        <w:t xml:space="preserve"> perhaps indicating a higher incidence of low-cost, more easily accessible</w:t>
      </w:r>
      <w:r>
        <w:t>,</w:t>
      </w:r>
      <w:r w:rsidRPr="008A6F1B">
        <w:t xml:space="preserve"> distaff spinning</w:t>
      </w:r>
      <w:r>
        <w:t>. Although</w:t>
      </w:r>
      <w:r w:rsidRPr="008A6F1B">
        <w:t xml:space="preserve"> often grouped with men’s goods</w:t>
      </w:r>
      <w:r>
        <w:t xml:space="preserve"> in inventories,</w:t>
      </w:r>
      <w:r w:rsidRPr="008A6F1B">
        <w:t xml:space="preserve"> spinning wheels were primarily used by women</w:t>
      </w:r>
      <w:r>
        <w:t>.</w:t>
      </w:r>
      <w:r w:rsidRPr="008A6F1B">
        <w:rPr>
          <w:vertAlign w:val="superscript"/>
        </w:rPr>
        <w:footnoteReference w:id="384"/>
      </w:r>
      <w:r w:rsidRPr="008A6F1B">
        <w:t xml:space="preserve"> </w:t>
      </w:r>
      <w:r>
        <w:t>This gendered dimension has resulted in</w:t>
      </w:r>
      <w:r w:rsidRPr="008A6F1B">
        <w:t xml:space="preserve"> spinning often be</w:t>
      </w:r>
      <w:r>
        <w:t>ing</w:t>
      </w:r>
      <w:r w:rsidRPr="008A6F1B">
        <w:t xml:space="preserve"> considered a ‘by-employment’</w:t>
      </w:r>
      <w:r>
        <w:t>, seen as a</w:t>
      </w:r>
      <w:r w:rsidRPr="008A6F1B">
        <w:t xml:space="preserve"> </w:t>
      </w:r>
      <w:r>
        <w:t xml:space="preserve">means of </w:t>
      </w:r>
      <w:r w:rsidRPr="008A6F1B">
        <w:t>supplement</w:t>
      </w:r>
      <w:r>
        <w:t>ing</w:t>
      </w:r>
      <w:r w:rsidRPr="008A6F1B">
        <w:t xml:space="preserve"> household income rather than as a primary occupation, </w:t>
      </w:r>
      <w:r>
        <w:t>even while</w:t>
      </w:r>
      <w:r w:rsidRPr="008A6F1B">
        <w:t xml:space="preserve"> Craig Muldrew has shown that spinning was</w:t>
      </w:r>
      <w:r>
        <w:t xml:space="preserve"> </w:t>
      </w:r>
      <w:r w:rsidRPr="008A6F1B">
        <w:t xml:space="preserve">the most common form of </w:t>
      </w:r>
      <w:r>
        <w:t>paid work performed by women</w:t>
      </w:r>
      <w:r w:rsidRPr="008A6F1B">
        <w:t xml:space="preserve"> by 1750.</w:t>
      </w:r>
      <w:r w:rsidRPr="008A6F1B">
        <w:rPr>
          <w:vertAlign w:val="superscript"/>
        </w:rPr>
        <w:footnoteReference w:id="385"/>
      </w:r>
      <w:r>
        <w:t xml:space="preserve"> Spinning would have contributed significantly to earnings in both Bolton-le-Sands and Prestbury.</w:t>
      </w:r>
    </w:p>
    <w:p w14:paraId="45CDDDD6" w14:textId="77777777" w:rsidR="00220A86" w:rsidRDefault="00220A86" w:rsidP="00220A86">
      <w:pPr>
        <w:spacing w:after="0" w:line="480" w:lineRule="auto"/>
        <w:ind w:firstLine="720"/>
        <w:jc w:val="both"/>
      </w:pPr>
      <w:r>
        <w:t>Table 18 also includes references to h</w:t>
      </w:r>
      <w:r w:rsidRPr="008A6F1B">
        <w:t>emp and flax</w:t>
      </w:r>
      <w:r>
        <w:t xml:space="preserve">, which were used in </w:t>
      </w:r>
      <w:r w:rsidRPr="008A6F1B">
        <w:t>linen manufacture</w:t>
      </w:r>
      <w:r>
        <w:t xml:space="preserve">. Since hemp and flax were more prevalent in Bolton-le-Sands and worth less than wool, wider involvement in their production may be connected to lower levels of wealth than in Prestbury. In addition to the references to hemp </w:t>
      </w:r>
      <w:r w:rsidRPr="008A6F1B">
        <w:t xml:space="preserve">yarn and cloth </w:t>
      </w:r>
      <w:r>
        <w:t>seen in the table, a</w:t>
      </w:r>
      <w:r w:rsidRPr="008A6F1B">
        <w:t xml:space="preserve"> total</w:t>
      </w:r>
      <w:r>
        <w:t xml:space="preserve"> of</w:t>
      </w:r>
      <w:r w:rsidRPr="008A6F1B">
        <w:t xml:space="preserve"> </w:t>
      </w:r>
      <w:r>
        <w:t>36 Bolton-le-Sands</w:t>
      </w:r>
      <w:r w:rsidRPr="008A6F1B">
        <w:t xml:space="preserve"> inventories reference</w:t>
      </w:r>
      <w:r>
        <w:t>d</w:t>
      </w:r>
      <w:r w:rsidRPr="008A6F1B">
        <w:t xml:space="preserve"> hemp products, </w:t>
      </w:r>
      <w:r>
        <w:t xml:space="preserve">also including </w:t>
      </w:r>
      <w:r w:rsidRPr="008A6F1B">
        <w:t>hempseed, and processed and unprocessed hemp crops</w:t>
      </w:r>
      <w:r>
        <w:t>. In contrast, just five Prestbury inventories mentioned ‘h</w:t>
      </w:r>
      <w:r w:rsidRPr="008A6F1B">
        <w:t>emp</w:t>
      </w:r>
      <w:r>
        <w:t>’, likely referring to cloth</w:t>
      </w:r>
      <w:r w:rsidRPr="008A6F1B">
        <w:t>. Quality and price varied considerably for different textiles</w:t>
      </w:r>
      <w:r>
        <w:t>, but</w:t>
      </w:r>
      <w:r w:rsidRPr="008A6F1B">
        <w:t xml:space="preserve"> hemp </w:t>
      </w:r>
      <w:r>
        <w:t xml:space="preserve">products were </w:t>
      </w:r>
      <w:r w:rsidRPr="008A6F1B">
        <w:t xml:space="preserve">reputedly the cheapest and most basic, earning </w:t>
      </w:r>
      <w:r>
        <w:t>their</w:t>
      </w:r>
      <w:r w:rsidRPr="008A6F1B">
        <w:t xml:space="preserve"> producers just two or three pence per pound.</w:t>
      </w:r>
      <w:r w:rsidRPr="008A6F1B">
        <w:rPr>
          <w:vertAlign w:val="superscript"/>
        </w:rPr>
        <w:footnoteReference w:id="386"/>
      </w:r>
      <w:r w:rsidRPr="008A6F1B">
        <w:t xml:space="preserve"> </w:t>
      </w:r>
      <w:r>
        <w:t>While more testators in Bolton-le-Sands owned sheep, seemingly engaging in higher levels of wool production than in Prestbury, a higher proportion were also participating in spinning activities and forms of textile production involving hemp that provided considerably</w:t>
      </w:r>
      <w:r w:rsidRPr="008A6F1B">
        <w:t xml:space="preserve"> lower returns</w:t>
      </w:r>
      <w:r>
        <w:t>.</w:t>
      </w:r>
    </w:p>
    <w:p w14:paraId="05C432DD" w14:textId="77777777" w:rsidR="00220A86" w:rsidRDefault="00220A86" w:rsidP="00220A86">
      <w:pPr>
        <w:spacing w:after="0" w:line="480" w:lineRule="auto"/>
        <w:ind w:firstLine="720"/>
        <w:jc w:val="both"/>
      </w:pPr>
      <w:r w:rsidRPr="009F2269">
        <w:lastRenderedPageBreak/>
        <w:t xml:space="preserve">Compared with the accessibility </w:t>
      </w:r>
      <w:r>
        <w:t xml:space="preserve">and ubiquity </w:t>
      </w:r>
      <w:r w:rsidRPr="009F2269">
        <w:t>of spinnin</w:t>
      </w:r>
      <w:r>
        <w:t>g</w:t>
      </w:r>
      <w:r w:rsidRPr="009F2269">
        <w:t xml:space="preserve">, </w:t>
      </w:r>
      <w:r>
        <w:t xml:space="preserve">weaving was </w:t>
      </w:r>
      <w:r w:rsidRPr="009F2269">
        <w:t xml:space="preserve">more </w:t>
      </w:r>
      <w:r>
        <w:t>restrictive and considered more specialised. Weavers were male and</w:t>
      </w:r>
      <w:r w:rsidRPr="009F2269">
        <w:t xml:space="preserve"> </w:t>
      </w:r>
      <w:r>
        <w:t>qualified for the profession through</w:t>
      </w:r>
      <w:r w:rsidRPr="009F2269">
        <w:t xml:space="preserve"> apprenticeships.</w:t>
      </w:r>
      <w:r w:rsidRPr="009F2269">
        <w:rPr>
          <w:vertAlign w:val="superscript"/>
        </w:rPr>
        <w:footnoteReference w:id="387"/>
      </w:r>
      <w:r w:rsidRPr="009F2269">
        <w:t xml:space="preserve"> </w:t>
      </w:r>
      <w:r>
        <w:t>Rather than spinning wheels, they used l</w:t>
      </w:r>
      <w:r w:rsidRPr="009F2269">
        <w:t>ooms</w:t>
      </w:r>
      <w:r>
        <w:t>,</w:t>
      </w:r>
      <w:r w:rsidRPr="009F2269">
        <w:t xml:space="preserve"> </w:t>
      </w:r>
      <w:r>
        <w:t xml:space="preserve">which </w:t>
      </w:r>
      <w:r w:rsidRPr="009F2269">
        <w:t xml:space="preserve">were valued more highly </w:t>
      </w:r>
      <w:r>
        <w:t>and so were more likely to appear as</w:t>
      </w:r>
      <w:r w:rsidRPr="009F2269">
        <w:t xml:space="preserve"> bequests</w:t>
      </w:r>
      <w:r>
        <w:t xml:space="preserve"> – indeed,</w:t>
      </w:r>
      <w:r w:rsidRPr="009F2269">
        <w:t xml:space="preserve"> in 1731 Sutton widow </w:t>
      </w:r>
      <w:proofErr w:type="spellStart"/>
      <w:r w:rsidRPr="009F2269">
        <w:t>Alsant</w:t>
      </w:r>
      <w:proofErr w:type="spellEnd"/>
      <w:r w:rsidRPr="009F2269">
        <w:t xml:space="preserve"> Hulme set aside forty shillings for her friend Ruth Brown, with a separate considerable sum of £3 to Brown’s brother ‘to buy him a loom’.</w:t>
      </w:r>
      <w:r w:rsidRPr="009F2269">
        <w:rPr>
          <w:vertAlign w:val="superscript"/>
        </w:rPr>
        <w:footnoteReference w:id="388"/>
      </w:r>
      <w:r w:rsidRPr="009F2269">
        <w:t xml:space="preserve"> Carole Shammas has found that looms in English inventories almost invariably belonged to men explicitly identified as weavers.</w:t>
      </w:r>
      <w:r w:rsidRPr="009F2269">
        <w:rPr>
          <w:vertAlign w:val="superscript"/>
        </w:rPr>
        <w:footnoteReference w:id="389"/>
      </w:r>
      <w:r w:rsidRPr="009F2269">
        <w:t xml:space="preserve"> </w:t>
      </w:r>
      <w:r>
        <w:t xml:space="preserve">This </w:t>
      </w:r>
      <w:r w:rsidRPr="009F2269">
        <w:t xml:space="preserve">was not the case in Prestbury, where four testators possessing looms upon their death were </w:t>
      </w:r>
      <w:r>
        <w:t>described using</w:t>
      </w:r>
      <w:r w:rsidRPr="009F2269">
        <w:t xml:space="preserve"> other </w:t>
      </w:r>
      <w:r>
        <w:t xml:space="preserve">occupational terms. However, </w:t>
      </w:r>
      <w:r w:rsidRPr="009F2269">
        <w:t xml:space="preserve">the one loom </w:t>
      </w:r>
      <w:r>
        <w:t>recorded</w:t>
      </w:r>
      <w:r w:rsidRPr="009F2269">
        <w:t xml:space="preserve"> in </w:t>
      </w:r>
      <w:r>
        <w:t>Bolton-le-Sands was owned by th</w:t>
      </w:r>
      <w:r w:rsidRPr="009F2269">
        <w:t>e on</w:t>
      </w:r>
      <w:r>
        <w:t>ly</w:t>
      </w:r>
      <w:r w:rsidRPr="009F2269">
        <w:t xml:space="preserve"> </w:t>
      </w:r>
      <w:r>
        <w:t>man</w:t>
      </w:r>
      <w:r w:rsidRPr="009F2269">
        <w:t xml:space="preserve"> </w:t>
      </w:r>
      <w:r>
        <w:t>identifi</w:t>
      </w:r>
      <w:r w:rsidRPr="009F2269">
        <w:t>ed as a ‘webster’ ac</w:t>
      </w:r>
      <w:r>
        <w:t>ross the full survey</w:t>
      </w:r>
      <w:r w:rsidRPr="009F2269">
        <w:t>.</w:t>
      </w:r>
      <w:r w:rsidRPr="009F2269">
        <w:rPr>
          <w:vertAlign w:val="superscript"/>
        </w:rPr>
        <w:footnoteReference w:id="390"/>
      </w:r>
      <w:r>
        <w:t xml:space="preserve"> There were only two spinning wheels and no looms within inscribers’ inventories. In keeping with testators in the wider survey, the wheel belonging to inscriber William Wilkinson of Cobblers’ Lodge in Bolton-le-Sands was accompanied by linen yarn, hemp, hemp yarn and flax.</w:t>
      </w:r>
      <w:r>
        <w:rPr>
          <w:rStyle w:val="FootnoteReference"/>
        </w:rPr>
        <w:footnoteReference w:id="391"/>
      </w:r>
      <w:r>
        <w:t xml:space="preserve"> </w:t>
      </w:r>
      <w:r w:rsidRPr="001344A8">
        <w:t>Described as a tailor in his inventory (despite being recorded as a yeoman in his will), and given the gendered nature of spinning, it is possible that Wilkinson and his wife Elizabeth were operating a joint trade in textile processing and manufacture.</w:t>
      </w:r>
      <w:r>
        <w:t xml:space="preserve"> Assessed with just £25 4½d, Wilkinson possessed goods valued markedly lower than the average among both yeomen (£118) and tradesmen (£74) within his parish.</w:t>
      </w:r>
      <w:r>
        <w:rPr>
          <w:rStyle w:val="FootnoteReference"/>
        </w:rPr>
        <w:footnoteReference w:id="392"/>
      </w:r>
    </w:p>
    <w:p w14:paraId="52DFECC6" w14:textId="77777777" w:rsidR="00220A86" w:rsidRDefault="00220A86" w:rsidP="00220A86">
      <w:pPr>
        <w:spacing w:after="0" w:line="480" w:lineRule="auto"/>
        <w:ind w:firstLine="720"/>
        <w:jc w:val="both"/>
      </w:pPr>
      <w:r>
        <w:t xml:space="preserve">Although Wilkinson was one of only two inscribers whose probate materials referenced spinning equipment, this does not explain his limited wealth. Compared with the </w:t>
      </w:r>
      <w:r>
        <w:lastRenderedPageBreak/>
        <w:t>mean assessed wealth of spinning wheel owners in his parish, which was £53, Wilkinson was still notably poorer. The single loom-owning testator in Bolton-le-Sands was assessed wealthier than those engaging in spinning – as might be expected – with £61.</w:t>
      </w:r>
      <w:r>
        <w:rPr>
          <w:rStyle w:val="FootnoteReference"/>
        </w:rPr>
        <w:footnoteReference w:id="393"/>
      </w:r>
      <w:r>
        <w:t xml:space="preserve"> Loom owners in Prestbury were even wealthier on average, at £118.7, but Prestbury spinning wheel owners were wealthiest of all, worth an average of £221.9. Although spinning was primarily undertaken by women, as previously discussed, most inventories including wheels in both areas belonged to men: 64% in Bolton-le-Sands and 71% in Prestbury. When spinning wheels appeared within the inventories of widows and spinsters, and women were spinning independently rather than within male-headed households, they were predictably poorer. However, even though independent women were otherwise wealthier in Bolton-le-Sands than in Prestbury, wheel-owning women in Prestbury were much wealthier than in Bolton-le-Sands, averaging £77 in assessed wealth compared with just £13.8. Wherever testators were engaging in textile production, it was often just one of many work activities undertaken in the home. As such, examining the relationship between textile labour and wealth provides a complex picture. </w:t>
      </w:r>
      <w:proofErr w:type="gramStart"/>
      <w:r>
        <w:t>In spite of</w:t>
      </w:r>
      <w:proofErr w:type="gramEnd"/>
      <w:r>
        <w:t xml:space="preserve"> this, it is nonetheless reasonable to conclude that higher numbers of loom owners in Prestbury than in Bolton-le-Sands were directly connected to higher levels of wealth. Taken alongside differences in materials used for spinning in both areas, and differences in the wealth of individual women engaging in spinning, Bolton-le-Sands appears to exhibit </w:t>
      </w:r>
      <w:r w:rsidRPr="009F2269">
        <w:t>higher proportions of low-investment and comparatively lower return spinn</w:t>
      </w:r>
      <w:r>
        <w:t>ing activities.</w:t>
      </w:r>
    </w:p>
    <w:p w14:paraId="738B5360" w14:textId="77777777" w:rsidR="00220A86" w:rsidRDefault="00220A86" w:rsidP="00220A86">
      <w:pPr>
        <w:spacing w:after="0" w:line="480" w:lineRule="auto"/>
        <w:ind w:firstLine="720"/>
        <w:jc w:val="both"/>
      </w:pPr>
      <w:r>
        <w:t xml:space="preserve">Like spinning, moneylending has </w:t>
      </w:r>
      <w:r w:rsidRPr="006A56AF">
        <w:t xml:space="preserve">often </w:t>
      </w:r>
      <w:r>
        <w:t xml:space="preserve">been </w:t>
      </w:r>
      <w:r w:rsidRPr="006A56AF">
        <w:t>considered a ‘by-employment’</w:t>
      </w:r>
      <w:r>
        <w:t>, since it</w:t>
      </w:r>
      <w:r w:rsidRPr="006A56AF">
        <w:t xml:space="preserve"> generated interest and was an important source of income for many households in early </w:t>
      </w:r>
      <w:r w:rsidRPr="006A56AF">
        <w:lastRenderedPageBreak/>
        <w:t xml:space="preserve">modern England. </w:t>
      </w:r>
      <w:r>
        <w:t>Similar numbers of testators practiced lending in both communities, but the demographics of lenders varied, with fewer women participating in Prestbury than in Bolton-le-Sands. Higher sums were also being laid out in Prestbury, perhaps connected to higher overall wealth. L</w:t>
      </w:r>
      <w:r w:rsidRPr="006A56AF">
        <w:t xml:space="preserve">ending </w:t>
      </w:r>
      <w:r>
        <w:t>occasionally featured</w:t>
      </w:r>
      <w:r w:rsidRPr="006A56AF">
        <w:t xml:space="preserve"> in wills </w:t>
      </w:r>
      <w:r>
        <w:t>where</w:t>
      </w:r>
      <w:r w:rsidRPr="006A56AF">
        <w:t xml:space="preserve"> testators </w:t>
      </w:r>
      <w:r>
        <w:t>bequeathed sum</w:t>
      </w:r>
      <w:r w:rsidRPr="006A56AF">
        <w:t>s owed</w:t>
      </w:r>
      <w:r>
        <w:t xml:space="preserve"> to them </w:t>
      </w:r>
      <w:r w:rsidRPr="006A56AF">
        <w:t>to other friends and family</w:t>
      </w:r>
      <w:r>
        <w:t>,</w:t>
      </w:r>
      <w:r w:rsidRPr="006A56AF">
        <w:t xml:space="preserve"> or</w:t>
      </w:r>
      <w:r>
        <w:t xml:space="preserve"> </w:t>
      </w:r>
      <w:r w:rsidRPr="006A56AF">
        <w:t>request</w:t>
      </w:r>
      <w:r>
        <w:t>ed</w:t>
      </w:r>
      <w:r w:rsidRPr="006A56AF">
        <w:t xml:space="preserve"> that </w:t>
      </w:r>
      <w:r>
        <w:t>they be redis</w:t>
      </w:r>
      <w:r w:rsidRPr="006A56AF">
        <w:t>tributed</w:t>
      </w:r>
      <w:r>
        <w:t xml:space="preserve"> –</w:t>
      </w:r>
      <w:r w:rsidRPr="006A56AF">
        <w:t xml:space="preserve"> as with Matthew Mottershead of Butley, who </w:t>
      </w:r>
      <w:r>
        <w:t>gifted</w:t>
      </w:r>
      <w:r w:rsidRPr="006A56AF">
        <w:t xml:space="preserve"> £30 </w:t>
      </w:r>
      <w:r>
        <w:t xml:space="preserve">he was </w:t>
      </w:r>
      <w:r w:rsidRPr="006A56AF">
        <w:t>owed</w:t>
      </w:r>
      <w:r>
        <w:t xml:space="preserve"> to</w:t>
      </w:r>
      <w:r w:rsidRPr="006A56AF">
        <w:t xml:space="preserve"> the poor in yearly five shilling in</w:t>
      </w:r>
      <w:r>
        <w:t>stal</w:t>
      </w:r>
      <w:r w:rsidRPr="006A56AF">
        <w:t>ments.</w:t>
      </w:r>
      <w:r w:rsidRPr="006A56AF">
        <w:rPr>
          <w:vertAlign w:val="superscript"/>
        </w:rPr>
        <w:footnoteReference w:id="394"/>
      </w:r>
      <w:r w:rsidRPr="006A56AF">
        <w:t xml:space="preserve"> </w:t>
      </w:r>
      <w:r>
        <w:t>However, for testators in Bolton-le-Sands and Prestbury, lending i</w:t>
      </w:r>
      <w:r w:rsidRPr="006A56AF">
        <w:t xml:space="preserve">s most consistently </w:t>
      </w:r>
      <w:r>
        <w:t xml:space="preserve">visible in inventories, </w:t>
      </w:r>
      <w:r w:rsidRPr="006A56AF">
        <w:t>included alongside valuations of moveable goods.</w:t>
      </w:r>
      <w:r>
        <w:t xml:space="preserve"> Appraisers used a wide range of terms to describe lending, but</w:t>
      </w:r>
      <w:r w:rsidRPr="006A56AF">
        <w:t xml:space="preserve"> Brian Holderness has identified three </w:t>
      </w:r>
      <w:r>
        <w:t>main types</w:t>
      </w:r>
      <w:r w:rsidRPr="006A56AF">
        <w:t>: bills – often explicitly ‘without specialty’ – were generally smaller sums intended as short-term loans; bonds could be larger, but mostly also had no ‘specialty’ or ‘securities’, without real property as collateral; while mortgages were lent against the value of real estate.</w:t>
      </w:r>
      <w:r w:rsidRPr="006A56AF">
        <w:rPr>
          <w:vertAlign w:val="superscript"/>
        </w:rPr>
        <w:footnoteReference w:id="395"/>
      </w:r>
      <w:r w:rsidRPr="006A56AF">
        <w:t xml:space="preserve"> </w:t>
      </w:r>
      <w:r>
        <w:t>Although P</w:t>
      </w:r>
      <w:r w:rsidRPr="006A56AF">
        <w:t xml:space="preserve">eter </w:t>
      </w:r>
      <w:proofErr w:type="spellStart"/>
      <w:r w:rsidRPr="006A56AF">
        <w:t>Spufford</w:t>
      </w:r>
      <w:proofErr w:type="spellEnd"/>
      <w:r w:rsidRPr="006A56AF">
        <w:t xml:space="preserve"> has argued that most loans were likely informal</w:t>
      </w:r>
      <w:r>
        <w:t xml:space="preserve">, he has </w:t>
      </w:r>
      <w:r w:rsidRPr="006A56AF">
        <w:t>acknowledged the rise of formalised bonds and agreement</w:t>
      </w:r>
      <w:r>
        <w:t>s.</w:t>
      </w:r>
      <w:r>
        <w:rPr>
          <w:rStyle w:val="FootnoteReference"/>
        </w:rPr>
        <w:footnoteReference w:id="396"/>
      </w:r>
      <w:r>
        <w:t xml:space="preserve"> C</w:t>
      </w:r>
      <w:r w:rsidRPr="006A56AF">
        <w:t xml:space="preserve">raig Muldrew has demonstrated </w:t>
      </w:r>
      <w:r>
        <w:t xml:space="preserve">that such arrangements </w:t>
      </w:r>
      <w:r w:rsidRPr="006A56AF">
        <w:t>became increasingly common between the 1620s and 1670s, binding lenders and recipients together in formal</w:t>
      </w:r>
      <w:r>
        <w:t xml:space="preserve"> legal</w:t>
      </w:r>
      <w:r w:rsidRPr="006A56AF">
        <w:t>ised settlements with agreed interest rates and repayment schedules.</w:t>
      </w:r>
      <w:r w:rsidRPr="006A56AF">
        <w:rPr>
          <w:vertAlign w:val="superscript"/>
        </w:rPr>
        <w:footnoteReference w:id="397"/>
      </w:r>
    </w:p>
    <w:p w14:paraId="430A75D9" w14:textId="367A4F68" w:rsidR="00220A86" w:rsidRDefault="00220A86" w:rsidP="00220A86">
      <w:pPr>
        <w:spacing w:after="0" w:line="480" w:lineRule="auto"/>
        <w:ind w:firstLine="720"/>
        <w:jc w:val="both"/>
      </w:pPr>
      <w:r w:rsidRPr="003529BC">
        <w:t xml:space="preserve">Table </w:t>
      </w:r>
      <w:r>
        <w:t>19</w:t>
      </w:r>
      <w:r w:rsidR="00625B5B">
        <w:t xml:space="preserve"> (p.</w:t>
      </w:r>
      <w:r w:rsidR="003A0B48">
        <w:t>413</w:t>
      </w:r>
      <w:r w:rsidR="00625B5B">
        <w:t>)</w:t>
      </w:r>
      <w:r w:rsidRPr="003529BC">
        <w:t xml:space="preserve"> shows the prevalence of different </w:t>
      </w:r>
      <w:r>
        <w:t>lending types within the wider survey.</w:t>
      </w:r>
      <w:r>
        <w:rPr>
          <w:rStyle w:val="FootnoteReference"/>
        </w:rPr>
        <w:footnoteReference w:id="398"/>
      </w:r>
      <w:r>
        <w:t xml:space="preserve"> Where ‘unspecified</w:t>
      </w:r>
      <w:r w:rsidRPr="003529BC">
        <w:t xml:space="preserve"> debts</w:t>
      </w:r>
      <w:r>
        <w:t xml:space="preserve"> due’ appears within the table, this lending was </w:t>
      </w:r>
      <w:r w:rsidRPr="003529BC">
        <w:t xml:space="preserve">not </w:t>
      </w:r>
      <w:r w:rsidRPr="003529BC">
        <w:lastRenderedPageBreak/>
        <w:t xml:space="preserve">necessarily informal: appraisers recorded lending inconsistently, sometimes listing all debtors by name and elsewhere simply stating ‘debts owed to the deceased’. </w:t>
      </w:r>
      <w:r>
        <w:t>L</w:t>
      </w:r>
      <w:r w:rsidRPr="003529BC">
        <w:t xml:space="preserve">ikely </w:t>
      </w:r>
      <w:r>
        <w:t xml:space="preserve">partly because of such </w:t>
      </w:r>
      <w:r w:rsidRPr="003529BC">
        <w:t>irregularities in recording practices</w:t>
      </w:r>
      <w:r>
        <w:t>, h</w:t>
      </w:r>
      <w:r w:rsidRPr="003529BC">
        <w:t xml:space="preserve">istorians’ calculations surrounding engagement with </w:t>
      </w:r>
      <w:r>
        <w:t>moneylending</w:t>
      </w:r>
      <w:r w:rsidRPr="003529BC">
        <w:t xml:space="preserve"> vary widely</w:t>
      </w:r>
      <w:r>
        <w:t>.</w:t>
      </w:r>
      <w:r w:rsidRPr="003529BC">
        <w:t xml:space="preserve"> In his study of East Kent probate accounts, </w:t>
      </w:r>
      <w:r>
        <w:t xml:space="preserve">Peter </w:t>
      </w:r>
      <w:proofErr w:type="spellStart"/>
      <w:r w:rsidRPr="003529BC">
        <w:t>Spufford</w:t>
      </w:r>
      <w:proofErr w:type="spellEnd"/>
      <w:r w:rsidRPr="003529BC">
        <w:t xml:space="preserve"> estimated that </w:t>
      </w:r>
      <w:r>
        <w:t>five</w:t>
      </w:r>
      <w:r w:rsidRPr="003529BC">
        <w:t xml:space="preserve"> in </w:t>
      </w:r>
      <w:r>
        <w:t xml:space="preserve">every </w:t>
      </w:r>
      <w:r w:rsidRPr="003529BC">
        <w:t>six people had contracted debts.</w:t>
      </w:r>
      <w:r w:rsidRPr="003529BC">
        <w:rPr>
          <w:vertAlign w:val="superscript"/>
        </w:rPr>
        <w:footnoteReference w:id="399"/>
      </w:r>
      <w:r w:rsidRPr="003529BC">
        <w:t xml:space="preserve"> In</w:t>
      </w:r>
      <w:r>
        <w:t xml:space="preserve"> the</w:t>
      </w:r>
      <w:r w:rsidRPr="003529BC">
        <w:t xml:space="preserve"> East Midlands and Norfolk, meanwhile, </w:t>
      </w:r>
      <w:r>
        <w:t xml:space="preserve">Brian </w:t>
      </w:r>
      <w:r w:rsidRPr="003529BC">
        <w:t>Holderness demonstrated that 40% of the 4,650 inventories he examined (</w:t>
      </w:r>
      <w:r>
        <w:t xml:space="preserve">relating to the years </w:t>
      </w:r>
      <w:r w:rsidRPr="003529BC">
        <w:t>1650-1720) referenced debts owed to the deceased.</w:t>
      </w:r>
      <w:r w:rsidRPr="003529BC">
        <w:rPr>
          <w:vertAlign w:val="superscript"/>
        </w:rPr>
        <w:footnoteReference w:id="400"/>
      </w:r>
      <w:r w:rsidRPr="003529BC">
        <w:t xml:space="preserve"> According to inventories, numbers in </w:t>
      </w:r>
      <w:r>
        <w:t>Bolton-le-Sands</w:t>
      </w:r>
      <w:r w:rsidRPr="003529BC">
        <w:t xml:space="preserve"> and Prestbury lay closer to the latter, at 60% and 51% respectively</w:t>
      </w:r>
      <w:r>
        <w:t>.</w:t>
      </w:r>
      <w:r w:rsidRPr="003529BC">
        <w:t xml:space="preserve"> </w:t>
      </w:r>
      <w:r>
        <w:t>Proportions were similar among inventoried inscribers in Bolton-le-Sands, where either 57% or 63% were engaging in moneylending, depending on whether Hawthornthwaite is included in calculations. Lending was absent in the inventory of William Clowes – the only source available for Prestbury inscribers.</w:t>
      </w:r>
    </w:p>
    <w:p w14:paraId="0357D5EF" w14:textId="626EF5F4" w:rsidR="00220A86" w:rsidRPr="00FB71CE" w:rsidRDefault="00220A86" w:rsidP="00220A86">
      <w:pPr>
        <w:spacing w:after="0" w:line="480" w:lineRule="auto"/>
        <w:ind w:firstLine="720"/>
        <w:jc w:val="both"/>
      </w:pPr>
      <w:r w:rsidRPr="00FB71CE">
        <w:t xml:space="preserve">Table </w:t>
      </w:r>
      <w:r>
        <w:t xml:space="preserve">20 </w:t>
      </w:r>
      <w:r w:rsidR="00625B5B">
        <w:t>(p.</w:t>
      </w:r>
      <w:r w:rsidR="003A0B48">
        <w:t>414</w:t>
      </w:r>
      <w:r w:rsidR="00625B5B">
        <w:t xml:space="preserve">) </w:t>
      </w:r>
      <w:r>
        <w:t>show</w:t>
      </w:r>
      <w:r w:rsidRPr="00FB71CE">
        <w:t xml:space="preserve">s </w:t>
      </w:r>
      <w:r>
        <w:t>moneylending</w:t>
      </w:r>
      <w:r w:rsidRPr="00FB71CE">
        <w:t xml:space="preserve"> in both communities </w:t>
      </w:r>
      <w:r>
        <w:t>according to</w:t>
      </w:r>
      <w:r w:rsidRPr="00FB71CE">
        <w:t xml:space="preserve"> gender and marital status. </w:t>
      </w:r>
      <w:r>
        <w:t xml:space="preserve">The character of lending was quite different in both areas, dominated by women in Bolton-le-Sands but not in Prestbury, and involving higher outlays of cash in Prestbury than in Bolton-le-Sands. Most </w:t>
      </w:r>
      <w:r w:rsidRPr="00FB71CE">
        <w:t xml:space="preserve">single women </w:t>
      </w:r>
      <w:r>
        <w:t xml:space="preserve">in Bolton-le-Sands </w:t>
      </w:r>
      <w:r w:rsidRPr="00FB71CE">
        <w:t xml:space="preserve">were involved in lending – </w:t>
      </w:r>
      <w:r>
        <w:t>reflecting a pattern se</w:t>
      </w:r>
      <w:r w:rsidRPr="00FB71CE">
        <w:t>en repeatedly throughout early modern England. Mary Hodges has demonstrated</w:t>
      </w:r>
      <w:r>
        <w:t xml:space="preserve"> how fema</w:t>
      </w:r>
      <w:r w:rsidRPr="00FB71CE">
        <w:t xml:space="preserve">le widows </w:t>
      </w:r>
      <w:r>
        <w:t>were essential to</w:t>
      </w:r>
      <w:r w:rsidRPr="00FB71CE">
        <w:t xml:space="preserve"> credit networks in Woodstock, Oxfordshire, lending money more extensively</w:t>
      </w:r>
      <w:r>
        <w:t xml:space="preserve"> – both</w:t>
      </w:r>
      <w:r w:rsidRPr="00FB71CE">
        <w:t xml:space="preserve"> </w:t>
      </w:r>
      <w:r>
        <w:t xml:space="preserve">within and beyond their </w:t>
      </w:r>
      <w:r>
        <w:lastRenderedPageBreak/>
        <w:t>immediate community –</w:t>
      </w:r>
      <w:r w:rsidRPr="00FB71CE">
        <w:t xml:space="preserve"> than men.</w:t>
      </w:r>
      <w:r w:rsidRPr="00FB71CE">
        <w:rPr>
          <w:vertAlign w:val="superscript"/>
        </w:rPr>
        <w:footnoteReference w:id="401"/>
      </w:r>
      <w:r w:rsidRPr="00FB71CE">
        <w:t xml:space="preserve"> </w:t>
      </w:r>
      <w:r>
        <w:t>H</w:t>
      </w:r>
      <w:r w:rsidRPr="00FB71CE">
        <w:t xml:space="preserve">igh engagement with lending is also visible among </w:t>
      </w:r>
      <w:r>
        <w:t>the four Bolton-le-Sands</w:t>
      </w:r>
      <w:r w:rsidRPr="00FB71CE">
        <w:t xml:space="preserve"> spinsters</w:t>
      </w:r>
      <w:r>
        <w:t xml:space="preserve"> in the survey</w:t>
      </w:r>
      <w:r w:rsidRPr="00FB71CE">
        <w:t xml:space="preserve">. Women often gained access to their finances upon their majority rather than at marriage, and </w:t>
      </w:r>
      <w:r>
        <w:t>moneylending</w:t>
      </w:r>
      <w:r w:rsidRPr="00FB71CE">
        <w:t xml:space="preserve"> allowed spinsters to increase the value of their portion, either living off interest or improving their opportunities for marriage.</w:t>
      </w:r>
      <w:r w:rsidRPr="00FB71CE">
        <w:rPr>
          <w:vertAlign w:val="superscript"/>
        </w:rPr>
        <w:footnoteReference w:id="402"/>
      </w:r>
      <w:r w:rsidRPr="00FB71CE">
        <w:t xml:space="preserve"> </w:t>
      </w:r>
      <w:r>
        <w:t>In Bolton-le-Sands, 78% of women and just 53% of men were involved in moneylending. T</w:t>
      </w:r>
      <w:r w:rsidRPr="00FB71CE">
        <w:t xml:space="preserve">he mean value of women’s lending in </w:t>
      </w:r>
      <w:r>
        <w:t>Bolton-le-Sands</w:t>
      </w:r>
      <w:r w:rsidRPr="00FB71CE">
        <w:t xml:space="preserve"> was</w:t>
      </w:r>
      <w:r>
        <w:t xml:space="preserve"> also</w:t>
      </w:r>
      <w:r w:rsidRPr="00FB71CE">
        <w:t xml:space="preserve"> higher</w:t>
      </w:r>
      <w:r>
        <w:t>,</w:t>
      </w:r>
      <w:r w:rsidRPr="00FB71CE">
        <w:t xml:space="preserve"> at £76 compared to £69</w:t>
      </w:r>
      <w:r>
        <w:t xml:space="preserve"> for men,</w:t>
      </w:r>
      <w:r w:rsidRPr="00FB71CE">
        <w:t xml:space="preserve"> and two women were among the top five testators owed the highest sums of money by borrowers. </w:t>
      </w:r>
    </w:p>
    <w:p w14:paraId="5BB6EBF8" w14:textId="77777777" w:rsidR="00220A86" w:rsidRDefault="00220A86" w:rsidP="00220A86">
      <w:pPr>
        <w:spacing w:after="0" w:line="480" w:lineRule="auto"/>
        <w:ind w:firstLine="720"/>
        <w:jc w:val="both"/>
      </w:pPr>
      <w:r w:rsidRPr="00FB71CE">
        <w:t>The picture was quite different in Prestbury</w:t>
      </w:r>
      <w:r>
        <w:t>.</w:t>
      </w:r>
      <w:r w:rsidRPr="00FB71CE">
        <w:t xml:space="preserve"> </w:t>
      </w:r>
      <w:r>
        <w:t>T</w:t>
      </w:r>
      <w:r w:rsidRPr="00FB71CE">
        <w:t>here</w:t>
      </w:r>
      <w:r>
        <w:t>,</w:t>
      </w:r>
      <w:r w:rsidRPr="00FB71CE">
        <w:t xml:space="preserve"> </w:t>
      </w:r>
      <w:r>
        <w:t>p</w:t>
      </w:r>
      <w:r w:rsidRPr="00FB71CE">
        <w:t>roportions of women lending were</w:t>
      </w:r>
      <w:r>
        <w:t xml:space="preserve"> half those seen in Bolton-le-Sands, at 39%, while</w:t>
      </w:r>
      <w:r w:rsidRPr="00FB71CE">
        <w:t xml:space="preserve"> net proportions of lend</w:t>
      </w:r>
      <w:r>
        <w:t>ing among men were roughl</w:t>
      </w:r>
      <w:r w:rsidRPr="00FB71CE">
        <w:t xml:space="preserve">y </w:t>
      </w:r>
      <w:r>
        <w:t>the same, at 54%</w:t>
      </w:r>
      <w:r w:rsidRPr="00FB71CE">
        <w:t xml:space="preserve">. </w:t>
      </w:r>
      <w:r>
        <w:t xml:space="preserve">Sums lent </w:t>
      </w:r>
      <w:proofErr w:type="gramStart"/>
      <w:r>
        <w:t>were</w:t>
      </w:r>
      <w:proofErr w:type="gramEnd"/>
      <w:r>
        <w:t xml:space="preserve"> also much lower among women,</w:t>
      </w:r>
      <w:r w:rsidRPr="00FB71CE">
        <w:t xml:space="preserve"> </w:t>
      </w:r>
      <w:r>
        <w:t>averaging</w:t>
      </w:r>
      <w:r w:rsidRPr="00FB71CE">
        <w:t xml:space="preserve"> just £41, compared with £100 for men. Jane Whittle has shown that across Durham, Cheshire, Chesterfield, Stratford-upon-Avon, East Kent, Devon and Cornwall, widows were lending on more informal terms than men, with bills and bonds present in only one fifth of their inventories.</w:t>
      </w:r>
      <w:r w:rsidRPr="00FB71CE">
        <w:rPr>
          <w:vertAlign w:val="superscript"/>
        </w:rPr>
        <w:footnoteReference w:id="403"/>
      </w:r>
      <w:r w:rsidRPr="00FB71CE">
        <w:t xml:space="preserve"> </w:t>
      </w:r>
      <w:r>
        <w:t>T</w:t>
      </w:r>
      <w:r w:rsidRPr="00FB71CE">
        <w:t xml:space="preserve">his may offer some explanation as to why numbers are so dramatically different, with lending perhaps more extensive than surviving documents attest, </w:t>
      </w:r>
      <w:r>
        <w:t>but</w:t>
      </w:r>
      <w:r w:rsidRPr="00FB71CE">
        <w:t xml:space="preserve"> this can only be speculative. </w:t>
      </w:r>
      <w:r>
        <w:t>Throug</w:t>
      </w:r>
      <w:r w:rsidRPr="00FB71CE">
        <w:t xml:space="preserve">h dual reference to inventories and the Lichfield census of 1695, Judith </w:t>
      </w:r>
      <w:proofErr w:type="spellStart"/>
      <w:r w:rsidRPr="00FB71CE">
        <w:t>Spicksley</w:t>
      </w:r>
      <w:proofErr w:type="spellEnd"/>
      <w:r w:rsidRPr="00FB71CE">
        <w:t xml:space="preserve"> has suggested that single women possessed as much credit as single, married and widowed men combined.</w:t>
      </w:r>
      <w:r w:rsidRPr="00FB71CE">
        <w:rPr>
          <w:vertAlign w:val="superscript"/>
        </w:rPr>
        <w:footnoteReference w:id="404"/>
      </w:r>
      <w:r w:rsidRPr="00FB71CE">
        <w:t xml:space="preserve"> Calculating total lending from inventories alone, this does </w:t>
      </w:r>
      <w:r w:rsidRPr="00FB71CE">
        <w:lastRenderedPageBreak/>
        <w:t xml:space="preserve">not appear to hold true for either </w:t>
      </w:r>
      <w:r>
        <w:t>Bolton-le-Sands</w:t>
      </w:r>
      <w:r w:rsidRPr="00FB71CE">
        <w:t xml:space="preserve"> or Prestbury, likely because documents relating to women </w:t>
      </w:r>
      <w:r>
        <w:t>we</w:t>
      </w:r>
      <w:r w:rsidRPr="00FB71CE">
        <w:t xml:space="preserve">re in the minority in both areas. Comparing overall sums put out at interest by testators in each community, totals </w:t>
      </w:r>
      <w:r>
        <w:t>we</w:t>
      </w:r>
      <w:r w:rsidRPr="00FB71CE">
        <w:t xml:space="preserve">re similar but are slightly higher in Prestbury (£4563 compared with £4354 in </w:t>
      </w:r>
      <w:r>
        <w:t>Bolton-le-Sands</w:t>
      </w:r>
      <w:r w:rsidRPr="00FB71CE">
        <w:t>)</w:t>
      </w:r>
      <w:r>
        <w:t>. I</w:t>
      </w:r>
      <w:r w:rsidRPr="00FB71CE">
        <w:t>n</w:t>
      </w:r>
      <w:r>
        <w:t xml:space="preserve"> </w:t>
      </w:r>
      <w:r w:rsidRPr="00FB71CE">
        <w:t>line with other findings about wealth between the two parishes</w:t>
      </w:r>
      <w:r>
        <w:t>, this reinforces the idea that the middling sorts in Prestbury as better off than those in Bolton-le-Sands</w:t>
      </w:r>
      <w:r w:rsidRPr="00FB71CE">
        <w:t>.</w:t>
      </w:r>
    </w:p>
    <w:p w14:paraId="13876123" w14:textId="00C90E94" w:rsidR="00220A86" w:rsidRDefault="00220A86" w:rsidP="00220A86">
      <w:pPr>
        <w:spacing w:after="0" w:line="480" w:lineRule="auto"/>
        <w:ind w:firstLine="720"/>
        <w:jc w:val="both"/>
      </w:pPr>
      <w:r>
        <w:t xml:space="preserve">Table 21 </w:t>
      </w:r>
      <w:r w:rsidR="00625B5B">
        <w:t>(p.</w:t>
      </w:r>
      <w:r w:rsidR="003A0B48">
        <w:t>415</w:t>
      </w:r>
      <w:r w:rsidR="00625B5B">
        <w:t xml:space="preserve">) </w:t>
      </w:r>
      <w:r w:rsidRPr="00AD4B5F">
        <w:t>shows the mean value owed to test</w:t>
      </w:r>
      <w:r>
        <w:t>ato</w:t>
      </w:r>
      <w:r w:rsidRPr="00AD4B5F">
        <w:t xml:space="preserve">rs in the same categories discussed above, disaggregated according to sex and marital status. </w:t>
      </w:r>
      <w:r>
        <w:t xml:space="preserve">Prestbury lenders were owed more money overall. As seen in the table, however, many groups in Bolton-le-Sands were owed higher average sums than their Prestbury counterparts, including widowed men and all groups of women. Since married men comprised the biggest group in both areas, though, the higher sums owed to them in Prestbury significantly impacted the overall average. All but two inscribers inhabited households </w:t>
      </w:r>
      <w:r w:rsidRPr="00E82DAA">
        <w:t xml:space="preserve">headed by married men </w:t>
      </w:r>
      <w:r>
        <w:t>when inscribing their homes and t</w:t>
      </w:r>
      <w:r w:rsidRPr="00E82DAA">
        <w:t>he mean s</w:t>
      </w:r>
      <w:r>
        <w:t>um</w:t>
      </w:r>
      <w:r w:rsidRPr="00E82DAA">
        <w:t xml:space="preserve"> o</w:t>
      </w:r>
      <w:r>
        <w:t>wed</w:t>
      </w:r>
      <w:r w:rsidRPr="00E82DAA">
        <w:t xml:space="preserve"> to inventoried inscribers</w:t>
      </w:r>
      <w:r>
        <w:t xml:space="preserve"> in Bolton-le-Sands</w:t>
      </w:r>
      <w:r w:rsidRPr="00E82DAA">
        <w:t xml:space="preserve"> maps onto the table</w:t>
      </w:r>
      <w:r>
        <w:t xml:space="preserve"> very closely</w:t>
      </w:r>
      <w:r w:rsidRPr="00E82DAA">
        <w:t xml:space="preserve">, averaging out at </w:t>
      </w:r>
      <w:r>
        <w:t>£</w:t>
      </w:r>
      <w:r w:rsidRPr="00E82DAA">
        <w:t>48</w:t>
      </w:r>
      <w:r>
        <w:t xml:space="preserve"> compared to the £51.1 average among married men in the wider survey.</w:t>
      </w:r>
      <w:r>
        <w:rPr>
          <w:rStyle w:val="FootnoteReference"/>
        </w:rPr>
        <w:footnoteReference w:id="405"/>
      </w:r>
      <w:r>
        <w:t xml:space="preserve"> W</w:t>
      </w:r>
      <w:r w:rsidRPr="008A190A">
        <w:t>h</w:t>
      </w:r>
      <w:r>
        <w:t xml:space="preserve">ile </w:t>
      </w:r>
      <w:r w:rsidRPr="008A190A">
        <w:t xml:space="preserve">no </w:t>
      </w:r>
      <w:r>
        <w:t>average</w:t>
      </w:r>
      <w:r w:rsidRPr="008A190A">
        <w:t xml:space="preserve"> is available for inventoried inscribers in Prestbury, </w:t>
      </w:r>
      <w:r>
        <w:t>data from the wider survey suggests that married male inscribers (and their households) were likely to have lent out higher total cash and were likely also wealthier than their Bolton-le-Sands counterparts.</w:t>
      </w:r>
    </w:p>
    <w:p w14:paraId="4BA63F99" w14:textId="77777777" w:rsidR="00220A86" w:rsidRDefault="00220A86" w:rsidP="00220A86">
      <w:pPr>
        <w:spacing w:after="0" w:line="480" w:lineRule="auto"/>
        <w:ind w:firstLine="720"/>
        <w:jc w:val="both"/>
      </w:pPr>
      <w:r>
        <w:t xml:space="preserve">In investigating four key work activities in Bolton-le-Sands and Prestbury, and connecting work with wealth, this section has shown that testators in Prestbury were more prosperous. Arable and livestock farming were both vital. Key distinctions were nonetheless </w:t>
      </w:r>
      <w:r>
        <w:lastRenderedPageBreak/>
        <w:t xml:space="preserve">apparent, with more wealthy, large-scale livestock farmers in Prestbury producing high-value cheeses tradable over long distances. Textile producers were also poorer in Bolton-le-Sands than Prestbury, undertaking higher quantities of poorly paid work. Moneylending for profit was widespread in both communities but while lending involved fewer women in Prestbury, sums owed to married men there were higher, suggesting couples had greater cash stores to put out at interest. </w:t>
      </w:r>
    </w:p>
    <w:p w14:paraId="43E2C026" w14:textId="77777777" w:rsidR="00220A86" w:rsidRDefault="00220A86" w:rsidP="00220A86">
      <w:pPr>
        <w:spacing w:after="0" w:line="480" w:lineRule="auto"/>
        <w:ind w:firstLine="720"/>
        <w:jc w:val="both"/>
      </w:pPr>
      <w:r>
        <w:t xml:space="preserve">Examining inscribers, wealth derived from arable farming was difficult to gauge, but inscribers were evidently not among the wealthiest livestock farmers in each area. Low source survival obscured inscribers’ involvement in both textile production and moneylending. Significantly, while inscribers were almost certainly wealthier in Prestbury than Bolton-le-Sands, evidence universally indicates that they were not the wealthiest </w:t>
      </w:r>
      <w:r>
        <w:rPr>
          <w:i/>
          <w:iCs/>
        </w:rPr>
        <w:t>within</w:t>
      </w:r>
      <w:r>
        <w:t xml:space="preserve"> their communities. As far as these types of sources </w:t>
      </w:r>
      <w:proofErr w:type="gramStart"/>
      <w:r>
        <w:t>are able to</w:t>
      </w:r>
      <w:proofErr w:type="gramEnd"/>
      <w:r>
        <w:t xml:space="preserve"> indicate, there was no clear link between inscription and wealth.</w:t>
      </w:r>
    </w:p>
    <w:p w14:paraId="6CF25D66" w14:textId="77777777" w:rsidR="00220A86" w:rsidRDefault="00220A86" w:rsidP="00220A86">
      <w:pPr>
        <w:spacing w:after="0" w:line="480" w:lineRule="auto"/>
        <w:jc w:val="both"/>
      </w:pPr>
    </w:p>
    <w:p w14:paraId="28F60BF7" w14:textId="7180DDED" w:rsidR="00220A86" w:rsidRDefault="00220A86" w:rsidP="00220A86">
      <w:pPr>
        <w:spacing w:after="0" w:line="480" w:lineRule="auto"/>
        <w:jc w:val="both"/>
        <w:rPr>
          <w:b/>
          <w:bCs/>
        </w:rPr>
      </w:pPr>
      <w:r>
        <w:rPr>
          <w:b/>
          <w:bCs/>
        </w:rPr>
        <w:t>Literacy and ‘</w:t>
      </w:r>
      <w:proofErr w:type="spellStart"/>
      <w:r>
        <w:rPr>
          <w:b/>
          <w:bCs/>
        </w:rPr>
        <w:t>Letteracy</w:t>
      </w:r>
      <w:proofErr w:type="spellEnd"/>
      <w:r>
        <w:rPr>
          <w:b/>
          <w:bCs/>
        </w:rPr>
        <w:t>’ in Bolton-le-Sands and Prestbury</w:t>
      </w:r>
    </w:p>
    <w:p w14:paraId="0235CA97" w14:textId="77777777" w:rsidR="00220A86" w:rsidRDefault="00220A86" w:rsidP="00220A86">
      <w:pPr>
        <w:spacing w:after="0" w:line="480" w:lineRule="auto"/>
        <w:jc w:val="both"/>
      </w:pPr>
      <w:r>
        <w:tab/>
        <w:t xml:space="preserve">The following section examines literacy levels in Bolton-le-Sands and Prestbury parishes. Given that inscribed objects and buildings are central to this thesis, this section analyses the extent to which people in both areas would have been able to read </w:t>
      </w:r>
      <w:proofErr w:type="gramStart"/>
      <w:r>
        <w:t>or</w:t>
      </w:r>
      <w:proofErr w:type="gramEnd"/>
      <w:r>
        <w:t xml:space="preserve"> interpret initials carved upon houses. To begin, it assesses book ownership in both communities, and in so doing demonstrates the infeasibility of measuring literacy in these terms. The reading and writing abilities of those in the wider survey are then examined, with attention paid to the full range of signatures and marks made by testators signing their wills. Moving from the wider survey to the core sample, where it has been possible to research inscribers in greater depth, wills and other traceable signed documents are used to gauge the literacy inscribers. </w:t>
      </w:r>
      <w:r>
        <w:lastRenderedPageBreak/>
        <w:t>An expansive approach to literacy is adopted throughout, underscored by Mark Hailwood’s emphasis on ‘</w:t>
      </w:r>
      <w:proofErr w:type="spellStart"/>
      <w:r>
        <w:t>letteracy</w:t>
      </w:r>
      <w:proofErr w:type="spellEnd"/>
      <w:r>
        <w:t>’, whereby the ability to recognise – and, for some people, to form – individual letters is understood as (at least) semi-literacy and included in analysis.</w:t>
      </w:r>
      <w:r>
        <w:rPr>
          <w:rStyle w:val="FootnoteReference"/>
        </w:rPr>
        <w:footnoteReference w:id="406"/>
      </w:r>
      <w:r>
        <w:t xml:space="preserve"> This section demonstrates that literacy and ‘</w:t>
      </w:r>
      <w:proofErr w:type="spellStart"/>
      <w:r>
        <w:t>letteracy</w:t>
      </w:r>
      <w:proofErr w:type="spellEnd"/>
      <w:r>
        <w:t>’ was high among the will-making middling sorts in Bolton-le-Sands and Prestbury. Levels were even higher within the core sample, where the ability to recognise and form individual letters was almost universal. This section confirms that initials inscribed upon homes would have been widely understood among the middling sorts in both communities. It also shows that inscribers using initials upon their homes were invariably literate, not only identifying themselves with text, but also using it to communicate with a wide range of their peers, conveying socially and culturally meaningful ideas about their status and outlook.</w:t>
      </w:r>
    </w:p>
    <w:p w14:paraId="64A9BDBF" w14:textId="77777777" w:rsidR="00220A86" w:rsidRDefault="00220A86" w:rsidP="00220A86">
      <w:pPr>
        <w:spacing w:after="0" w:line="480" w:lineRule="auto"/>
        <w:ind w:firstLine="720"/>
        <w:jc w:val="both"/>
      </w:pPr>
      <w:r>
        <w:t>Interrogating book ownership shows the importance of assessing early modern literacy by other means, since there were far fewer books in wills and inventories from Bolton-le-Sands and Prestbury than there were testators able to sign their full name. Detailed sales catalogues and book lists survive for many wealthy book owners and institutional and private libraries, even where the original books do not.</w:t>
      </w:r>
      <w:r w:rsidRPr="00140AED">
        <w:rPr>
          <w:vertAlign w:val="superscript"/>
        </w:rPr>
        <w:footnoteReference w:id="407"/>
      </w:r>
      <w:r>
        <w:t xml:space="preserve"> Some scholars have also used probate inventories to understand book ownership, examining the stock of booksellers and the collections of clergymen, academics, and the professional and gentry classes.</w:t>
      </w:r>
      <w:r>
        <w:rPr>
          <w:rStyle w:val="FootnoteReference"/>
        </w:rPr>
        <w:footnoteReference w:id="408"/>
      </w:r>
      <w:r>
        <w:t xml:space="preserve"> Outside these wealthier circles, book ownership was far less reliably recorded. Appraisal practices varied, </w:t>
      </w:r>
      <w:r>
        <w:lastRenderedPageBreak/>
        <w:t>but as cheap print became widely available, lower quality reading materials were often excluded from probate inventories, which generally cited only higher quality goods.</w:t>
      </w:r>
      <w:r>
        <w:rPr>
          <w:rStyle w:val="FootnoteReference"/>
        </w:rPr>
        <w:footnoteReference w:id="409"/>
      </w:r>
      <w:r>
        <w:t xml:space="preserve"> Combined with the fact that many consumers of contemporary chapbooks and printed ballads left no inventories at all, there is very little evidence of cheap print in the hands of what Margaret </w:t>
      </w:r>
      <w:proofErr w:type="spellStart"/>
      <w:r>
        <w:t>Spufford</w:t>
      </w:r>
      <w:proofErr w:type="spellEnd"/>
      <w:r>
        <w:t xml:space="preserve"> has termed ‘the humble reader’.</w:t>
      </w:r>
      <w:r>
        <w:rPr>
          <w:rStyle w:val="FootnoteReference"/>
        </w:rPr>
        <w:footnoteReference w:id="410"/>
      </w:r>
    </w:p>
    <w:p w14:paraId="5EE13FC0" w14:textId="01E132FB" w:rsidR="00220A86" w:rsidRDefault="00220A86" w:rsidP="00220A86">
      <w:pPr>
        <w:spacing w:after="0" w:line="480" w:lineRule="auto"/>
        <w:jc w:val="both"/>
      </w:pPr>
      <w:r>
        <w:tab/>
      </w:r>
      <w:r w:rsidRPr="00A858EC">
        <w:t xml:space="preserve">Low levels of book ownership in case study communities at first sight suggests low levels of literacy. </w:t>
      </w:r>
      <w:r>
        <w:t xml:space="preserve">Within the sample survey of 396 wills and inventories from Bolton-le-Sands and Prestbury, books were present in 10% and 16% of inventories respectively. Table 22 </w:t>
      </w:r>
      <w:r w:rsidR="00625B5B">
        <w:t>(p.</w:t>
      </w:r>
      <w:r w:rsidR="004B1CAA">
        <w:t>416</w:t>
      </w:r>
      <w:r w:rsidR="00625B5B">
        <w:t xml:space="preserve">) </w:t>
      </w:r>
      <w:r>
        <w:t xml:space="preserve">shows percentages of inventories containing books in different regions examined by Lorna Weatherill between 1675 and 1725. The growing Staffordshire town of Stoke-on-Trent was just </w:t>
      </w:r>
      <w:r w:rsidR="00E17980">
        <w:t>20</w:t>
      </w:r>
      <w:r>
        <w:t xml:space="preserve"> miles south of Sutton township and findings from Weatherill’s ‘North-west midlands’ – comprising </w:t>
      </w:r>
      <w:r w:rsidRPr="00074916">
        <w:t xml:space="preserve">the industrialising landscapes of northern Shropshire and Staffordshire </w:t>
      </w:r>
      <w:r>
        <w:t>– correlate closely with ownership levels seen in Prestbury inventories.</w:t>
      </w:r>
      <w:r>
        <w:rPr>
          <w:rStyle w:val="FootnoteReference"/>
        </w:rPr>
        <w:footnoteReference w:id="411"/>
      </w:r>
      <w:r>
        <w:t xml:space="preserve"> Fewer Bolton-le-Sands inventories contained books, matching levels seen in ‘North-east England’ –where book ownership was the lowest of any region considered by Weatherill.</w:t>
      </w:r>
      <w:r>
        <w:rPr>
          <w:rStyle w:val="FootnoteReference"/>
        </w:rPr>
        <w:footnoteReference w:id="412"/>
      </w:r>
      <w:r>
        <w:t xml:space="preserve"> Although Bolton-le-Sands and Prestbury were situated within the broader geographical areas Weatherill examined, neither fell within regions explicitly defined in her study. Weatherill’s ‘North-west England’, for example, denoted industrialising areas of Lancashire south of the Ribble, thereby excluding the east Cheshire area in which Prestbury was located and </w:t>
      </w:r>
      <w:r>
        <w:lastRenderedPageBreak/>
        <w:t>concentrated too far south to include Bolton-le-Sands.</w:t>
      </w:r>
      <w:r>
        <w:rPr>
          <w:rStyle w:val="FootnoteReference"/>
        </w:rPr>
        <w:footnoteReference w:id="413"/>
      </w:r>
      <w:r>
        <w:t xml:space="preserve"> Weatherill’s ‘Cumbria’, spanning from Morecambe Bay to Solway Firth, seemingly included Lancaster and Bolton-le-Sands, but Weatherill specifies that her sample inventories were drawn from the poorest, northernmost areas of the region, where book ownership was still almost double that seen in</w:t>
      </w:r>
      <w:r w:rsidRPr="00B7446F">
        <w:t xml:space="preserve"> </w:t>
      </w:r>
      <w:r>
        <w:t>inventories from Bolton-le-Sands.</w:t>
      </w:r>
      <w:r>
        <w:rPr>
          <w:rStyle w:val="FootnoteReference"/>
        </w:rPr>
        <w:footnoteReference w:id="414"/>
      </w:r>
      <w:r>
        <w:t xml:space="preserve"> If predicated on book ownership alone, literacy levels would appear to be </w:t>
      </w:r>
      <w:r w:rsidR="00651036">
        <w:t>ver</w:t>
      </w:r>
      <w:r>
        <w:t>y low in Bolton-le-Sands</w:t>
      </w:r>
      <w:r w:rsidR="008E32A6">
        <w:t xml:space="preserve"> </w:t>
      </w:r>
      <w:r>
        <w:t>and somewhat higher in Prestbury, in line with other regions nearby.</w:t>
      </w:r>
    </w:p>
    <w:p w14:paraId="025780CB" w14:textId="77777777" w:rsidR="00220A86" w:rsidRPr="00F87890" w:rsidRDefault="00220A86" w:rsidP="00220A86">
      <w:pPr>
        <w:spacing w:after="0" w:line="480" w:lineRule="auto"/>
        <w:jc w:val="both"/>
      </w:pPr>
      <w:r>
        <w:tab/>
        <w:t>Inventories in Bolton-le-Sands and Prestbury offered little insight into specific titles owned. A</w:t>
      </w:r>
      <w:r w:rsidRPr="005B1254">
        <w:t xml:space="preserve">part from bibles – </w:t>
      </w:r>
      <w:r>
        <w:t>referenced</w:t>
      </w:r>
      <w:r w:rsidRPr="005B1254">
        <w:t xml:space="preserve"> on three occasions in </w:t>
      </w:r>
      <w:r>
        <w:t>Bolton-le-Sands</w:t>
      </w:r>
      <w:r w:rsidRPr="005B1254">
        <w:t xml:space="preserve"> and twice in Prestbury – books were never itemised</w:t>
      </w:r>
      <w:r>
        <w:t xml:space="preserve">, instead </w:t>
      </w:r>
      <w:r w:rsidRPr="005B1254">
        <w:t>simply grouped and valued</w:t>
      </w:r>
      <w:r>
        <w:t xml:space="preserve"> by appraisers</w:t>
      </w:r>
      <w:r w:rsidRPr="005B1254">
        <w:t>.</w:t>
      </w:r>
      <w:r>
        <w:t xml:space="preserve"> Books appeared upon even fewer occasions in surveyed wills, </w:t>
      </w:r>
      <w:r w:rsidRPr="004B5498">
        <w:t xml:space="preserve">absent in </w:t>
      </w:r>
      <w:r>
        <w:t>Bolton-le-Sands</w:t>
      </w:r>
      <w:r w:rsidRPr="004B5498">
        <w:t xml:space="preserve"> and </w:t>
      </w:r>
      <w:r>
        <w:t xml:space="preserve">bequeathed by only three </w:t>
      </w:r>
      <w:r w:rsidRPr="004B5498">
        <w:t>Pres</w:t>
      </w:r>
      <w:r>
        <w:t>tbury testators. These scant references were marginally more telling, though, with bequests of two bibles showing that they carried c</w:t>
      </w:r>
      <w:r w:rsidRPr="00F87890">
        <w:t xml:space="preserve">onsiderable emotional </w:t>
      </w:r>
      <w:r>
        <w:t xml:space="preserve">and material </w:t>
      </w:r>
      <w:r w:rsidRPr="00F87890">
        <w:t>significance</w:t>
      </w:r>
      <w:r>
        <w:t xml:space="preserve"> for their owners. For</w:t>
      </w:r>
      <w:r w:rsidRPr="00F87890">
        <w:t xml:space="preserve"> Sutton chapman Hugh Stonehewer</w:t>
      </w:r>
      <w:r>
        <w:t>, a bible</w:t>
      </w:r>
      <w:r w:rsidRPr="00F87890">
        <w:t xml:space="preserve"> </w:t>
      </w:r>
      <w:r>
        <w:t>comprised on</w:t>
      </w:r>
      <w:r w:rsidRPr="00F87890">
        <w:t>e of only two bequests</w:t>
      </w:r>
      <w:r>
        <w:t xml:space="preserve"> made in his entire will.</w:t>
      </w:r>
      <w:r>
        <w:rPr>
          <w:rStyle w:val="FootnoteReference"/>
        </w:rPr>
        <w:footnoteReference w:id="415"/>
      </w:r>
      <w:r>
        <w:t xml:space="preserve"> A bequest of</w:t>
      </w:r>
      <w:r w:rsidRPr="00F87890">
        <w:t xml:space="preserve"> ‘my first husbands bible’</w:t>
      </w:r>
      <w:r>
        <w:t>,</w:t>
      </w:r>
      <w:r w:rsidRPr="00F87890">
        <w:t xml:space="preserve"> </w:t>
      </w:r>
      <w:r>
        <w:t xml:space="preserve">meanwhile, gifted </w:t>
      </w:r>
      <w:r w:rsidRPr="00F87890">
        <w:t>by Sutton woman Elizabeth Greaves</w:t>
      </w:r>
      <w:r>
        <w:t xml:space="preserve"> to her daughter, likely also acted as a means for her to protect the descent of an heirloom, given that her </w:t>
      </w:r>
      <w:r w:rsidRPr="00F87890">
        <w:t xml:space="preserve">second husband was still </w:t>
      </w:r>
      <w:r>
        <w:t>living upon her death</w:t>
      </w:r>
      <w:r w:rsidRPr="00F87890">
        <w:t>.</w:t>
      </w:r>
      <w:r w:rsidRPr="00F87890">
        <w:rPr>
          <w:vertAlign w:val="superscript"/>
        </w:rPr>
        <w:footnoteReference w:id="416"/>
      </w:r>
      <w:r w:rsidRPr="00F87890">
        <w:t xml:space="preserve"> For Sutton schoolmaster Daniel Hulme, three books gifted to two different tailors were all religious, comprising ‘</w:t>
      </w:r>
      <w:r w:rsidRPr="00F87890">
        <w:rPr>
          <w:i/>
          <w:iCs/>
        </w:rPr>
        <w:t xml:space="preserve">Bishop’s Hart’s </w:t>
      </w:r>
      <w:proofErr w:type="spellStart"/>
      <w:r w:rsidRPr="00F87890">
        <w:rPr>
          <w:i/>
          <w:iCs/>
        </w:rPr>
        <w:t>Thortes</w:t>
      </w:r>
      <w:proofErr w:type="spellEnd"/>
      <w:r w:rsidRPr="00F87890">
        <w:rPr>
          <w:i/>
          <w:iCs/>
        </w:rPr>
        <w:t xml:space="preserve">’, ‘Burkitt’s Exposition’, </w:t>
      </w:r>
      <w:r w:rsidRPr="00F87890">
        <w:t>and ‘</w:t>
      </w:r>
      <w:r w:rsidRPr="00F87890">
        <w:rPr>
          <w:i/>
          <w:iCs/>
        </w:rPr>
        <w:t>The Whole Sute of Prayer’.</w:t>
      </w:r>
      <w:r w:rsidRPr="00F87890">
        <w:rPr>
          <w:vertAlign w:val="superscript"/>
        </w:rPr>
        <w:footnoteReference w:id="417"/>
      </w:r>
      <w:r w:rsidRPr="00D955CE">
        <w:t xml:space="preserve"> </w:t>
      </w:r>
      <w:r>
        <w:t xml:space="preserve">The books named in these three Prestbury wills were consistent with Nesta Evans’ findings for South Elmham, Suffolk, where almost all books </w:t>
      </w:r>
      <w:r>
        <w:lastRenderedPageBreak/>
        <w:t>found in inventories and wills were religious in nature.</w:t>
      </w:r>
      <w:r>
        <w:rPr>
          <w:rStyle w:val="FootnoteReference"/>
        </w:rPr>
        <w:footnoteReference w:id="418"/>
      </w:r>
      <w:r>
        <w:t xml:space="preserve"> A</w:t>
      </w:r>
      <w:r w:rsidRPr="00D955CE">
        <w:t xml:space="preserve">ll wills </w:t>
      </w:r>
      <w:r>
        <w:t>describing</w:t>
      </w:r>
      <w:r w:rsidRPr="00D955CE">
        <w:t xml:space="preserve"> books belonged to testators whose inventories </w:t>
      </w:r>
      <w:r w:rsidRPr="00C70014">
        <w:rPr>
          <w:i/>
          <w:iCs/>
        </w:rPr>
        <w:t xml:space="preserve">already referenced </w:t>
      </w:r>
      <w:r w:rsidRPr="00D955CE">
        <w:t xml:space="preserve">reading materials, </w:t>
      </w:r>
      <w:r>
        <w:t>thereby not affecting overall proportions of book ownership in the survey</w:t>
      </w:r>
      <w:r w:rsidRPr="00D955CE">
        <w:t>.</w:t>
      </w:r>
    </w:p>
    <w:p w14:paraId="71F4AFA1" w14:textId="7E1A586F" w:rsidR="00220A86" w:rsidRDefault="00220A86" w:rsidP="00220A86">
      <w:pPr>
        <w:spacing w:after="0" w:line="480" w:lineRule="auto"/>
        <w:jc w:val="both"/>
      </w:pPr>
      <w:r>
        <w:tab/>
        <w:t xml:space="preserve">In contrast with this, much higher numbers of testators were literate than their possessions indicate. While inventory appraisers regularly ignored lower quality print, as previously discussed, often only the most emotionally or financially valuable books were mentioned in wills. Probate documents – and assessments of book ownership based upon them – consequently offer a very limited perspective on contemporary literacy. Reinforcing this, complete signatures at the foot of many wills from Bolton-le-Sands and Prestbury indicate that more testators were literate than the scarcity of books would suggest. Table 23 </w:t>
      </w:r>
      <w:r w:rsidR="00625B5B">
        <w:t>(p.</w:t>
      </w:r>
      <w:r w:rsidR="004B1CAA">
        <w:t>417</w:t>
      </w:r>
      <w:r w:rsidR="00625B5B">
        <w:t xml:space="preserve">) </w:t>
      </w:r>
      <w:r>
        <w:t>shows the total number of wills</w:t>
      </w:r>
      <w:r w:rsidRPr="004574DE">
        <w:t xml:space="preserve"> sampled</w:t>
      </w:r>
      <w:r>
        <w:t xml:space="preserve"> in each ten-year period between 1650 and 1750. It presents percentages of wills without any testators’ marks in each decade, alongside percentages of wills carrying full signatures – calculated both as a proportion of the full sample and as a proportion of wills with any kind of mark, including initials, crosses, lines, circles and all other pen-produced symbols. Rather than proof of illiteracy, unmarked wills provide no insight into literacy levels whatsoever: some were copies made presumably after the death of the testator, therefore unsigned; some were nuncupative, made orally and similarly unsigned; while others carry only a seal with no pen-mark, or have been damaged at their lower edge, meaning no mark survives. As seen in Table 23, such documents have necessarily been excluded from some calculations. Notably, even without excluding unmarked wills, 36% of testators in Bolton-le-Sands and 23% in Prestbury were signing using </w:t>
      </w:r>
      <w:r>
        <w:lastRenderedPageBreak/>
        <w:t xml:space="preserve">full signatures, demonstrating unequivocally that literacy was much higher than book ownership would suggest. </w:t>
      </w:r>
    </w:p>
    <w:p w14:paraId="5302A30F" w14:textId="2EE5D6C0" w:rsidR="00220A86" w:rsidRDefault="00220A86" w:rsidP="00220A86">
      <w:pPr>
        <w:spacing w:after="0" w:line="480" w:lineRule="auto"/>
        <w:jc w:val="both"/>
      </w:pPr>
      <w:r>
        <w:tab/>
        <w:t>The introduction of schools to the parishes considered here appears to have improved local literacy. In her research into</w:t>
      </w:r>
      <w:r w:rsidRPr="00102B2B">
        <w:t xml:space="preserve"> South </w:t>
      </w:r>
      <w:r>
        <w:t>E</w:t>
      </w:r>
      <w:r w:rsidRPr="00102B2B">
        <w:t xml:space="preserve">lmham </w:t>
      </w:r>
      <w:r>
        <w:t>parish</w:t>
      </w:r>
      <w:r w:rsidRPr="00102B2B">
        <w:t xml:space="preserve">, </w:t>
      </w:r>
      <w:r>
        <w:t>Nesta</w:t>
      </w:r>
      <w:r w:rsidRPr="00102B2B">
        <w:t xml:space="preserve"> Evans found that c</w:t>
      </w:r>
      <w:r>
        <w:t>.</w:t>
      </w:r>
      <w:r w:rsidRPr="00102B2B">
        <w:t>30% of marked wills contained testators</w:t>
      </w:r>
      <w:r>
        <w:t>’</w:t>
      </w:r>
      <w:r w:rsidRPr="00102B2B">
        <w:t xml:space="preserve"> full signatures</w:t>
      </w:r>
      <w:r>
        <w:t>.</w:t>
      </w:r>
      <w:r>
        <w:rPr>
          <w:rStyle w:val="FootnoteReference"/>
        </w:rPr>
        <w:footnoteReference w:id="419"/>
      </w:r>
      <w:r>
        <w:t xml:space="preserve"> A similar proportion of marked wills contained full signatures in Prestbury </w:t>
      </w:r>
      <w:r w:rsidRPr="004B36C7">
        <w:t xml:space="preserve">(26.1%) </w:t>
      </w:r>
      <w:r>
        <w:t>but figures from Bolton-le-Sands were considerably higher (43.4%). C</w:t>
      </w:r>
      <w:r w:rsidRPr="0003038B">
        <w:t xml:space="preserve">onsidering </w:t>
      </w:r>
      <w:r>
        <w:t>y</w:t>
      </w:r>
      <w:r w:rsidRPr="0003038B">
        <w:t>eom</w:t>
      </w:r>
      <w:r>
        <w:t>e</w:t>
      </w:r>
      <w:r w:rsidRPr="0003038B">
        <w:t>n</w:t>
      </w:r>
      <w:r>
        <w:t>’</w:t>
      </w:r>
      <w:r w:rsidRPr="0003038B">
        <w:t>s wills</w:t>
      </w:r>
      <w:r>
        <w:t xml:space="preserve"> in isolation (</w:t>
      </w:r>
      <w:r w:rsidRPr="00E029A1">
        <w:t xml:space="preserve">the occupational group </w:t>
      </w:r>
      <w:r>
        <w:t>primarily responsible for</w:t>
      </w:r>
      <w:r w:rsidRPr="00E029A1">
        <w:t xml:space="preserve"> initial</w:t>
      </w:r>
      <w:r>
        <w:t>ling</w:t>
      </w:r>
      <w:r w:rsidRPr="00E029A1">
        <w:t xml:space="preserve"> homes in both communities</w:t>
      </w:r>
      <w:r>
        <w:t>,</w:t>
      </w:r>
      <w:r w:rsidRPr="00E029A1">
        <w:t xml:space="preserve"> and among whom Evans also found a 30% full signature rate</w:t>
      </w:r>
      <w:r>
        <w:t xml:space="preserve">) </w:t>
      </w:r>
      <w:r w:rsidRPr="00E029A1">
        <w:t xml:space="preserve">the </w:t>
      </w:r>
      <w:r>
        <w:t>difference</w:t>
      </w:r>
      <w:r w:rsidRPr="00E029A1">
        <w:t xml:space="preserve"> between the two parishes</w:t>
      </w:r>
      <w:r>
        <w:t xml:space="preserve"> is more distinct</w:t>
      </w:r>
      <w:r w:rsidRPr="00E029A1">
        <w:t xml:space="preserve">. As </w:t>
      </w:r>
      <w:r>
        <w:t>T</w:t>
      </w:r>
      <w:r w:rsidRPr="00E029A1">
        <w:t>able</w:t>
      </w:r>
      <w:r>
        <w:t xml:space="preserve"> 24 </w:t>
      </w:r>
      <w:r w:rsidR="00625B5B">
        <w:t>(p.</w:t>
      </w:r>
      <w:r w:rsidR="004B1CAA">
        <w:t>418</w:t>
      </w:r>
      <w:r w:rsidR="00625B5B">
        <w:t xml:space="preserve">) </w:t>
      </w:r>
      <w:r w:rsidRPr="00E029A1">
        <w:t xml:space="preserve">shows, 51.2% of marked </w:t>
      </w:r>
      <w:r>
        <w:t>y</w:t>
      </w:r>
      <w:r w:rsidRPr="00E029A1">
        <w:t>eom</w:t>
      </w:r>
      <w:r>
        <w:t>en’s</w:t>
      </w:r>
      <w:r w:rsidRPr="00E029A1">
        <w:t xml:space="preserve"> wills contained full signatures in </w:t>
      </w:r>
      <w:r>
        <w:t>Bolton-le-Sands</w:t>
      </w:r>
      <w:r w:rsidRPr="00E029A1">
        <w:t>, compared with 2</w:t>
      </w:r>
      <w:r>
        <w:t>6</w:t>
      </w:r>
      <w:r w:rsidRPr="00E029A1">
        <w:t>.</w:t>
      </w:r>
      <w:r>
        <w:t>3</w:t>
      </w:r>
      <w:r w:rsidRPr="00E029A1">
        <w:t>% in Prestbury</w:t>
      </w:r>
      <w:r>
        <w:t>. This may have been partly due to differences in schooling in the two parishes.</w:t>
      </w:r>
      <w:r w:rsidRPr="002A731B">
        <w:t xml:space="preserve"> </w:t>
      </w:r>
      <w:r>
        <w:t>S</w:t>
      </w:r>
      <w:r w:rsidRPr="002A731B">
        <w:t xml:space="preserve">chools opened in </w:t>
      </w:r>
      <w:r>
        <w:t>Bolton-le-Sands</w:t>
      </w:r>
      <w:r w:rsidRPr="002A731B">
        <w:t xml:space="preserve"> township in 1625 and in Over Kellet township in 1650</w:t>
      </w:r>
      <w:r>
        <w:t>.</w:t>
      </w:r>
      <w:r w:rsidRPr="001978C2">
        <w:rPr>
          <w:vertAlign w:val="superscript"/>
        </w:rPr>
        <w:footnoteReference w:id="420"/>
      </w:r>
      <w:r w:rsidRPr="001978C2">
        <w:t xml:space="preserve"> </w:t>
      </w:r>
      <w:r>
        <w:t xml:space="preserve"> </w:t>
      </w:r>
      <w:r w:rsidRPr="002A731B">
        <w:t>Schools accessible for testators were founded somewhat later in Prestbury parish, opening in Prestbury village in 1665 and in Sutton township in 1689.</w:t>
      </w:r>
      <w:r w:rsidRPr="002A731B">
        <w:rPr>
          <w:vertAlign w:val="superscript"/>
        </w:rPr>
        <w:footnoteReference w:id="421"/>
      </w:r>
      <w:r>
        <w:t xml:space="preserve"> This tallies with a significant increase in literacy among Bolton-le-Sands testators after the 1680s, when those who would have been among the schools’ first pupils were more likely to be present in the sample, reaching their sixties and seventies. Proportions of full signatures in Bolton-le-Sands demonstrate some fluctuation but generally increased as the period progressed, from 18% in 1660-69 to 100% in 1740-50. There is no clear trend in literacy in Prestbury, where similar proportions of testators were signing wills with full signatures at </w:t>
      </w:r>
      <w:r>
        <w:lastRenderedPageBreak/>
        <w:t>the beginning and end of the period considered, with 50% doing so in both the 1650s and 1740s.</w:t>
      </w:r>
    </w:p>
    <w:p w14:paraId="273652B0" w14:textId="77777777" w:rsidR="00220A86" w:rsidRDefault="00220A86" w:rsidP="00220A86">
      <w:pPr>
        <w:spacing w:after="0" w:line="480" w:lineRule="auto"/>
        <w:ind w:firstLine="720"/>
        <w:jc w:val="both"/>
      </w:pPr>
      <w:r>
        <w:t xml:space="preserve"> ‘Signature studies’ scholars have used subscriptions to estimate literacy levels. Traditionally, they have interpreted the ability to form a signature as symbolising literacy and branded those unable to do so as illiterate.</w:t>
      </w:r>
      <w:r>
        <w:rPr>
          <w:rStyle w:val="FootnoteReference"/>
        </w:rPr>
        <w:footnoteReference w:id="422"/>
      </w:r>
      <w:r>
        <w:t xml:space="preserve"> </w:t>
      </w:r>
      <w:r w:rsidRPr="008E33E1">
        <w:t xml:space="preserve">Using signatures, David Cressy concluded that </w:t>
      </w:r>
      <w:r>
        <w:t>c.</w:t>
      </w:r>
      <w:r w:rsidRPr="008E33E1">
        <w:t xml:space="preserve">30% of men and 10% of women could sign their names by the </w:t>
      </w:r>
      <w:r>
        <w:t>early 1640s</w:t>
      </w:r>
      <w:r w:rsidRPr="008E33E1">
        <w:t>.</w:t>
      </w:r>
      <w:r w:rsidRPr="008E33E1">
        <w:rPr>
          <w:vertAlign w:val="superscript"/>
        </w:rPr>
        <w:footnoteReference w:id="423"/>
      </w:r>
      <w:r w:rsidRPr="008E33E1">
        <w:t xml:space="preserve"> He has </w:t>
      </w:r>
      <w:r>
        <w:t>suggested that this rose to</w:t>
      </w:r>
      <w:r w:rsidRPr="008E33E1">
        <w:t xml:space="preserve"> 50% of men and 25% of women by the </w:t>
      </w:r>
      <w:r>
        <w:t>late-</w:t>
      </w:r>
      <w:r w:rsidRPr="008E33E1">
        <w:t>seventeenth century, and has argued that 38% brides and ~62% of grooms had some level of literacy from the 1750s onwards</w:t>
      </w:r>
      <w:r>
        <w:t xml:space="preserve">, </w:t>
      </w:r>
      <w:r w:rsidRPr="00DE1FB7">
        <w:t>based on eighteenth-century marriage registers</w:t>
      </w:r>
      <w:r w:rsidRPr="008E33E1">
        <w:t>.</w:t>
      </w:r>
      <w:r w:rsidRPr="008E33E1">
        <w:rPr>
          <w:vertAlign w:val="superscript"/>
        </w:rPr>
        <w:footnoteReference w:id="424"/>
      </w:r>
      <w:r>
        <w:t xml:space="preserve"> Other signature studies scholars have used court depositions to understand literacy levels across social hierarchies. In using wills to assess literacy in Bolton-le-Sands and Prestbury, there is undoubtedly an issue previously acknowledged by R. A. Houston, whereby it is only possible to understand the narrow portion of the population making final testaments.</w:t>
      </w:r>
      <w:r>
        <w:rPr>
          <w:rStyle w:val="FootnoteReference"/>
        </w:rPr>
        <w:footnoteReference w:id="425"/>
      </w:r>
      <w:r>
        <w:t xml:space="preserve"> Nonetheless, inscriptions were applied to homes primarily by middling sort couples, who are best represented among surviving wills. In this context, examining literacy through wills offers a useful insight into the sphere within which inscribed initials were commissioned.</w:t>
      </w:r>
    </w:p>
    <w:p w14:paraId="6A0EF46A" w14:textId="69552C18" w:rsidR="00220A86" w:rsidRDefault="00220A86" w:rsidP="00220A86">
      <w:pPr>
        <w:spacing w:after="0" w:line="480" w:lineRule="auto"/>
        <w:ind w:firstLine="720"/>
        <w:jc w:val="both"/>
      </w:pPr>
      <w:r>
        <w:t>In early signature studies research, Roger Schofield suggested that subscriptions denoted a ‘middle range’ of literacy. In so doing Schofield framed literacy as a spectrum.</w:t>
      </w:r>
      <w:r>
        <w:rPr>
          <w:rStyle w:val="FootnoteReference"/>
        </w:rPr>
        <w:footnoteReference w:id="426"/>
      </w:r>
      <w:r>
        <w:t xml:space="preserve"> This approach is significant for Bolton-le-Sands and Prestbury, where the ability to read and </w:t>
      </w:r>
      <w:r>
        <w:lastRenderedPageBreak/>
        <w:t>use initials is a key category of investigation. Schofield advanced the idea of a gulf between the two skills of reading and writing and emphasised that since schools had taught reading before writing since the sixteenth century, many with intermittent schooling would likely have been able to read but not write.</w:t>
      </w:r>
      <w:r w:rsidRPr="00300044">
        <w:rPr>
          <w:vertAlign w:val="superscript"/>
        </w:rPr>
        <w:footnoteReference w:id="427"/>
      </w:r>
      <w:r>
        <w:t xml:space="preserve"> Eleanor Hubbard has nuanced older methods of literacy assessment with this in mind, arguing that initials should be included in assessments of reading and writing ability.</w:t>
      </w:r>
      <w:r>
        <w:rPr>
          <w:rStyle w:val="FootnoteReference"/>
        </w:rPr>
        <w:footnoteReference w:id="428"/>
      </w:r>
      <w:r>
        <w:t xml:space="preserve"> Examining late</w:t>
      </w:r>
      <w:r w:rsidR="00ED10E2">
        <w:t>-</w:t>
      </w:r>
      <w:r>
        <w:t>sixteenth- and early</w:t>
      </w:r>
      <w:r w:rsidR="00ED10E2">
        <w:t>-</w:t>
      </w:r>
      <w:r>
        <w:t xml:space="preserve">seventeenth-century legal depositions, Hubbard has shown that while 10% of women signing depositions within London used full signatures, 25% used either signatures </w:t>
      </w:r>
      <w:r w:rsidRPr="00EE4482">
        <w:rPr>
          <w:i/>
          <w:iCs/>
        </w:rPr>
        <w:t>or</w:t>
      </w:r>
      <w:r>
        <w:t xml:space="preserve"> initials.</w:t>
      </w:r>
      <w:r>
        <w:rPr>
          <w:rStyle w:val="FootnoteReference"/>
        </w:rPr>
        <w:footnoteReference w:id="429"/>
      </w:r>
      <w:r>
        <w:t xml:space="preserve"> </w:t>
      </w:r>
      <w:r w:rsidRPr="00D173A3">
        <w:t>In his recent reassessment of rural literacy in early modern England</w:t>
      </w:r>
      <w:r>
        <w:t>, Mark Hailwood also demonstrated that compared to the 24% of people using a full signature to sign church court depositions and quarter sessions examinations, 45% used either initials</w:t>
      </w:r>
      <w:r w:rsidRPr="00BE73CC">
        <w:rPr>
          <w:i/>
          <w:iCs/>
        </w:rPr>
        <w:t xml:space="preserve"> or</w:t>
      </w:r>
      <w:r>
        <w:t xml:space="preserve"> their full signature.</w:t>
      </w:r>
      <w:r>
        <w:rPr>
          <w:rStyle w:val="FootnoteReference"/>
        </w:rPr>
        <w:footnoteReference w:id="430"/>
      </w:r>
      <w:r>
        <w:t xml:space="preserve"> Broadening analysis in this way, both Hubbard and Hailwood have shown that – although variable – literacy was considerably more widespread than full signatures alone would suggest. In this context, the ability to produce initials indicated some understanding and recognition of the alphabet, signalling </w:t>
      </w:r>
      <w:r w:rsidRPr="005E5F54">
        <w:rPr>
          <w:i/>
          <w:iCs/>
        </w:rPr>
        <w:t>at least</w:t>
      </w:r>
      <w:r>
        <w:t xml:space="preserve"> some ability to read and write.</w:t>
      </w:r>
    </w:p>
    <w:p w14:paraId="5AC3757A" w14:textId="77777777" w:rsidR="00220A86" w:rsidRDefault="00220A86" w:rsidP="00220A86">
      <w:pPr>
        <w:spacing w:after="0" w:line="480" w:lineRule="auto"/>
        <w:ind w:firstLine="720"/>
        <w:jc w:val="both"/>
      </w:pPr>
      <w:r>
        <w:t>Hailwood has nuanced this broader approach to literacy yet further, examining the full range of subscription present on contemporary documents. As well as their full names or initials, Hailwood’s typology incorporated the circles, crosses, lines and occupational icons also used by signatories, which he argued denoted many different levels of dexterity and familiarity with a pen.</w:t>
      </w:r>
      <w:r>
        <w:rPr>
          <w:rStyle w:val="FootnoteReference"/>
        </w:rPr>
        <w:footnoteReference w:id="431"/>
      </w:r>
      <w:r>
        <w:t xml:space="preserve"> </w:t>
      </w:r>
      <w:r w:rsidRPr="00763835">
        <w:t>Ha</w:t>
      </w:r>
      <w:r>
        <w:t>il</w:t>
      </w:r>
      <w:r w:rsidRPr="00763835">
        <w:t xml:space="preserve">wood has emphasised that the determination to understand </w:t>
      </w:r>
      <w:r w:rsidRPr="00763835">
        <w:lastRenderedPageBreak/>
        <w:t>literacy has meant that</w:t>
      </w:r>
      <w:r>
        <w:t xml:space="preserve"> ‘</w:t>
      </w:r>
      <w:proofErr w:type="spellStart"/>
      <w:r>
        <w:t>letteracy</w:t>
      </w:r>
      <w:proofErr w:type="spellEnd"/>
      <w:r>
        <w:t xml:space="preserve">’ </w:t>
      </w:r>
      <w:r w:rsidRPr="00D26F23">
        <w:t xml:space="preserve">has been overlooked, failing to perceive </w:t>
      </w:r>
      <w:r>
        <w:t>‘</w:t>
      </w:r>
      <w:r w:rsidRPr="00D26F23">
        <w:t>a widespread ability to recognise and form individual letters</w:t>
      </w:r>
      <w:r>
        <w:t>’</w:t>
      </w:r>
      <w:r w:rsidRPr="00D26F23">
        <w:t xml:space="preserve"> but not</w:t>
      </w:r>
      <w:r>
        <w:t xml:space="preserve"> necessarily</w:t>
      </w:r>
      <w:r w:rsidRPr="00D26F23">
        <w:t xml:space="preserve"> </w:t>
      </w:r>
      <w:r>
        <w:t>‘</w:t>
      </w:r>
      <w:r w:rsidRPr="00D26F23">
        <w:t>whole words</w:t>
      </w:r>
      <w:r>
        <w:t>’.</w:t>
      </w:r>
      <w:r>
        <w:rPr>
          <w:rStyle w:val="FootnoteReference"/>
        </w:rPr>
        <w:footnoteReference w:id="432"/>
      </w:r>
      <w:r>
        <w:t xml:space="preserve"> This </w:t>
      </w:r>
      <w:r w:rsidRPr="002B3C60">
        <w:t xml:space="preserve">is hugely significant in examining the use of initials upon homes in </w:t>
      </w:r>
      <w:r>
        <w:t>Bolton-le-Sands</w:t>
      </w:r>
      <w:r w:rsidRPr="002B3C60">
        <w:t xml:space="preserve"> and </w:t>
      </w:r>
      <w:r>
        <w:t>P</w:t>
      </w:r>
      <w:r w:rsidRPr="002B3C60">
        <w:t>res</w:t>
      </w:r>
      <w:r>
        <w:t>t</w:t>
      </w:r>
      <w:r w:rsidRPr="002B3C60">
        <w:t>bury, where interrogating</w:t>
      </w:r>
      <w:r>
        <w:t xml:space="preserve"> ‘</w:t>
      </w:r>
      <w:proofErr w:type="spellStart"/>
      <w:r>
        <w:t>letteracy</w:t>
      </w:r>
      <w:proofErr w:type="spellEnd"/>
      <w:r>
        <w:t xml:space="preserve">’ </w:t>
      </w:r>
      <w:r w:rsidRPr="00872A55">
        <w:t xml:space="preserve">enables a deeper understanding of </w:t>
      </w:r>
      <w:r>
        <w:t>how these i</w:t>
      </w:r>
      <w:r w:rsidRPr="00872A55">
        <w:t xml:space="preserve">nscriptions </w:t>
      </w:r>
      <w:r>
        <w:t>would have been perceived in both areas</w:t>
      </w:r>
      <w:r w:rsidRPr="00872A55">
        <w:t>.</w:t>
      </w:r>
    </w:p>
    <w:p w14:paraId="177EA389" w14:textId="19DB012D" w:rsidR="00220A86" w:rsidRDefault="00220A86" w:rsidP="00220A86">
      <w:pPr>
        <w:spacing w:after="0" w:line="480" w:lineRule="auto"/>
        <w:ind w:firstLine="720"/>
        <w:jc w:val="both"/>
      </w:pPr>
      <w:r>
        <w:t xml:space="preserve">Table 25 </w:t>
      </w:r>
      <w:r w:rsidR="00625B5B">
        <w:t>(p.</w:t>
      </w:r>
      <w:r w:rsidR="004B1CAA">
        <w:t>419</w:t>
      </w:r>
      <w:r w:rsidR="00625B5B">
        <w:t xml:space="preserve">) </w:t>
      </w:r>
      <w:r w:rsidRPr="000A0A56">
        <w:t>presents a breakdown of mark</w:t>
      </w:r>
      <w:r>
        <w:t>-</w:t>
      </w:r>
      <w:r w:rsidRPr="000A0A56">
        <w:t>making</w:t>
      </w:r>
      <w:r>
        <w:t xml:space="preserve"> (and its absence) </w:t>
      </w:r>
      <w:r w:rsidRPr="000A0A56">
        <w:t xml:space="preserve">across </w:t>
      </w:r>
      <w:r>
        <w:t>the 99</w:t>
      </w:r>
      <w:r w:rsidRPr="000A0A56">
        <w:t xml:space="preserve"> will</w:t>
      </w:r>
      <w:r>
        <w:t>s</w:t>
      </w:r>
      <w:r w:rsidRPr="000A0A56">
        <w:t xml:space="preserve"> and inventor</w:t>
      </w:r>
      <w:r>
        <w:t>ies surveyed in each community</w:t>
      </w:r>
      <w:r w:rsidRPr="000A0A56">
        <w:t xml:space="preserve">. </w:t>
      </w:r>
      <w:r>
        <w:t>Among</w:t>
      </w:r>
      <w:r w:rsidRPr="000A0A56">
        <w:t xml:space="preserve"> test</w:t>
      </w:r>
      <w:r>
        <w:t>ato</w:t>
      </w:r>
      <w:r w:rsidRPr="000A0A56">
        <w:t>rs,</w:t>
      </w:r>
      <w:r>
        <w:t xml:space="preserve"> </w:t>
      </w:r>
      <w:r w:rsidRPr="000A0A56">
        <w:t xml:space="preserve">initials </w:t>
      </w:r>
      <w:r>
        <w:t xml:space="preserve">were used even more widely than signatures. </w:t>
      </w:r>
      <w:r w:rsidRPr="002E304A">
        <w:t xml:space="preserve">Following Hubbard and </w:t>
      </w:r>
      <w:r>
        <w:t>H</w:t>
      </w:r>
      <w:r w:rsidRPr="002E304A">
        <w:t>ailwood and combining initials and signatures</w:t>
      </w:r>
      <w:r>
        <w:t xml:space="preserve">, </w:t>
      </w:r>
      <w:proofErr w:type="gramStart"/>
      <w:r>
        <w:t>it is clear that</w:t>
      </w:r>
      <w:r w:rsidRPr="002E304A">
        <w:t xml:space="preserve"> over</w:t>
      </w:r>
      <w:proofErr w:type="gramEnd"/>
      <w:r w:rsidRPr="002E304A">
        <w:t xml:space="preserve"> </w:t>
      </w:r>
      <w:r>
        <w:t xml:space="preserve">two thirds </w:t>
      </w:r>
      <w:r w:rsidRPr="002E304A">
        <w:t>of will</w:t>
      </w:r>
      <w:r>
        <w:t>-</w:t>
      </w:r>
      <w:r w:rsidRPr="002E304A">
        <w:t xml:space="preserve">makers </w:t>
      </w:r>
      <w:r>
        <w:t>used the alphabet to sign their final testament: 86.7% in Bolton-le-Sands and 70.5% in Prestbury. As reading was often taught before writing, these testators may also have possessed an</w:t>
      </w:r>
      <w:r w:rsidRPr="002E304A">
        <w:t xml:space="preserve"> even higher ability to recognise </w:t>
      </w:r>
      <w:r>
        <w:t xml:space="preserve">lettering </w:t>
      </w:r>
      <w:r w:rsidRPr="00313C31">
        <w:t>tha</w:t>
      </w:r>
      <w:r>
        <w:t>n their</w:t>
      </w:r>
      <w:r w:rsidRPr="00313C31">
        <w:t xml:space="preserve"> penmanship betrayed</w:t>
      </w:r>
      <w:r>
        <w:t xml:space="preserve">. </w:t>
      </w:r>
      <w:r w:rsidRPr="009D7A9D">
        <w:t xml:space="preserve">It is also possible that </w:t>
      </w:r>
      <w:r>
        <w:t>basic</w:t>
      </w:r>
      <w:r w:rsidRPr="009D7A9D">
        <w:t xml:space="preserve"> </w:t>
      </w:r>
      <w:r>
        <w:t>literacy</w:t>
      </w:r>
      <w:r w:rsidRPr="009D7A9D">
        <w:t xml:space="preserve"> extended beyond those producing full signatures and initials</w:t>
      </w:r>
      <w:r>
        <w:t xml:space="preserve"> in Bolton-le-Sands and Prestbury.</w:t>
      </w:r>
      <w:r w:rsidRPr="009722C6">
        <w:t xml:space="preserve"> As seen in </w:t>
      </w:r>
      <w:r>
        <w:t>F</w:t>
      </w:r>
      <w:r w:rsidRPr="009722C6">
        <w:t>igure</w:t>
      </w:r>
      <w:r>
        <w:t xml:space="preserve"> </w:t>
      </w:r>
      <w:r w:rsidR="009B5B60">
        <w:t>4</w:t>
      </w:r>
      <w:r w:rsidR="00E84E99">
        <w:t>, (p.</w:t>
      </w:r>
      <w:r w:rsidR="002B6C4E">
        <w:t>318</w:t>
      </w:r>
      <w:r w:rsidR="00E84E99">
        <w:t>)</w:t>
      </w:r>
      <w:r w:rsidRPr="009722C6">
        <w:t>, cross</w:t>
      </w:r>
      <w:r>
        <w:t>es</w:t>
      </w:r>
      <w:r w:rsidRPr="009722C6">
        <w:t xml:space="preserve"> w</w:t>
      </w:r>
      <w:r>
        <w:t>ere</w:t>
      </w:r>
      <w:r w:rsidRPr="009722C6">
        <w:t xml:space="preserve"> the </w:t>
      </w:r>
      <w:r>
        <w:t>fir</w:t>
      </w:r>
      <w:r w:rsidRPr="009722C6">
        <w:t>st letter</w:t>
      </w:r>
      <w:r>
        <w:t>s</w:t>
      </w:r>
      <w:r w:rsidRPr="009722C6">
        <w:t xml:space="preserve"> encountered in</w:t>
      </w:r>
      <w:r>
        <w:t xml:space="preserve"> the ‘</w:t>
      </w:r>
      <w:r w:rsidRPr="009722C6">
        <w:t>horn books</w:t>
      </w:r>
      <w:r>
        <w:t>’</w:t>
      </w:r>
      <w:r w:rsidRPr="009722C6">
        <w:t xml:space="preserve"> widely used </w:t>
      </w:r>
      <w:r>
        <w:t>as</w:t>
      </w:r>
      <w:r w:rsidRPr="009722C6">
        <w:t xml:space="preserve"> teaching </w:t>
      </w:r>
      <w:r>
        <w:t xml:space="preserve">aides </w:t>
      </w:r>
      <w:r w:rsidRPr="009722C6">
        <w:t xml:space="preserve">from the </w:t>
      </w:r>
      <w:r>
        <w:t>sixteen</w:t>
      </w:r>
      <w:r w:rsidRPr="009722C6">
        <w:t>th century onwards</w:t>
      </w:r>
      <w:r>
        <w:t>.</w:t>
      </w:r>
      <w:r>
        <w:rPr>
          <w:rStyle w:val="FootnoteReference"/>
        </w:rPr>
        <w:footnoteReference w:id="433"/>
      </w:r>
      <w:r>
        <w:t xml:space="preserve"> Present</w:t>
      </w:r>
      <w:r w:rsidRPr="004B4D31">
        <w:t xml:space="preserve"> in several </w:t>
      </w:r>
      <w:r>
        <w:t>Bolton-le-Sands</w:t>
      </w:r>
      <w:r w:rsidRPr="004B4D31">
        <w:t xml:space="preserve"> </w:t>
      </w:r>
      <w:r>
        <w:t xml:space="preserve">wills </w:t>
      </w:r>
      <w:r w:rsidRPr="004B4D31">
        <w:t xml:space="preserve">and in </w:t>
      </w:r>
      <w:r>
        <w:t>18.7</w:t>
      </w:r>
      <w:r w:rsidRPr="004B4D31">
        <w:t>% of marked w</w:t>
      </w:r>
      <w:r>
        <w:t>i</w:t>
      </w:r>
      <w:r w:rsidRPr="004B4D31">
        <w:t>l</w:t>
      </w:r>
      <w:r>
        <w:t>l</w:t>
      </w:r>
      <w:r w:rsidRPr="004B4D31">
        <w:t>s</w:t>
      </w:r>
      <w:r w:rsidRPr="0093746B">
        <w:t xml:space="preserve"> </w:t>
      </w:r>
      <w:r>
        <w:t>from Prestbury</w:t>
      </w:r>
      <w:r w:rsidRPr="004B4D31">
        <w:t xml:space="preserve">, </w:t>
      </w:r>
      <w:r>
        <w:t>crosses</w:t>
      </w:r>
      <w:r w:rsidRPr="004B4D31">
        <w:t xml:space="preserve"> </w:t>
      </w:r>
      <w:r>
        <w:t>requir</w:t>
      </w:r>
      <w:r w:rsidRPr="004B4D31">
        <w:t xml:space="preserve">ed </w:t>
      </w:r>
      <w:r>
        <w:t>controlled use of a pen, leading Hailwood to interpret them as revealing considerable familiarity with text, even if not full literacy.</w:t>
      </w:r>
      <w:r>
        <w:rPr>
          <w:rStyle w:val="FootnoteReference"/>
        </w:rPr>
        <w:footnoteReference w:id="434"/>
      </w:r>
      <w:r>
        <w:t xml:space="preserve"> Including crosses in analysis, at least 92.8% of testators in Bolton-le-Sands and 88.6% from Prestbury may have received at least some formal instruction in reading and writing.</w:t>
      </w:r>
    </w:p>
    <w:p w14:paraId="70548CEB" w14:textId="2ED4F9B7" w:rsidR="00220A86" w:rsidRDefault="00220A86" w:rsidP="00220A86">
      <w:pPr>
        <w:spacing w:after="0" w:line="480" w:lineRule="auto"/>
        <w:ind w:firstLine="720"/>
        <w:jc w:val="both"/>
      </w:pPr>
      <w:r>
        <w:t xml:space="preserve">The quality of initials produced by testators also varied considerably. Some initials correspond with Hailwood’s description of </w:t>
      </w:r>
      <w:proofErr w:type="gramStart"/>
      <w:r>
        <w:t>fairly simplistic</w:t>
      </w:r>
      <w:proofErr w:type="gramEnd"/>
      <w:r>
        <w:t xml:space="preserve">, straight-line ‘Roman’ letters, </w:t>
      </w:r>
      <w:r>
        <w:lastRenderedPageBreak/>
        <w:t>qualitatively different from many signatures in cursive script.</w:t>
      </w:r>
      <w:r>
        <w:rPr>
          <w:rStyle w:val="FootnoteReference"/>
        </w:rPr>
        <w:footnoteReference w:id="435"/>
      </w:r>
      <w:r>
        <w:t xml:space="preserve"> While many were likely motivated by pragmatism, others exhibit some elements of conscious choice. Figure </w:t>
      </w:r>
      <w:r w:rsidR="00F9754B">
        <w:t>5</w:t>
      </w:r>
      <w:r>
        <w:t xml:space="preserve"> </w:t>
      </w:r>
      <w:r w:rsidR="002B6C4E">
        <w:t xml:space="preserve">(p.319) </w:t>
      </w:r>
      <w:r>
        <w:t>shows the subscription made by yeoman John Leaper of Over Kellet at the foot of his will.</w:t>
      </w:r>
      <w:r>
        <w:rPr>
          <w:rStyle w:val="FootnoteReference"/>
        </w:rPr>
        <w:footnoteReference w:id="436"/>
      </w:r>
      <w:r>
        <w:t xml:space="preserve"> At first glance, only one of Leaper’s initials – the upper right, a capital ‘R’ – is immediately comprehensible. However, further examination reveals that Leaper was emulating </w:t>
      </w:r>
      <w:proofErr w:type="gramStart"/>
      <w:r>
        <w:t>black-letter</w:t>
      </w:r>
      <w:proofErr w:type="gramEnd"/>
      <w:r>
        <w:t xml:space="preserve">: the typeface seen in the third and fourth row of the horn book in Figure </w:t>
      </w:r>
      <w:r w:rsidR="00F9754B">
        <w:t>4</w:t>
      </w:r>
      <w:r w:rsidR="00AB4A32">
        <w:t xml:space="preserve"> (p.318)</w:t>
      </w:r>
      <w:r>
        <w:t xml:space="preserve">. With this in mind, </w:t>
      </w:r>
      <w:proofErr w:type="gramStart"/>
      <w:r>
        <w:t>it is clear that the</w:t>
      </w:r>
      <w:proofErr w:type="gramEnd"/>
      <w:r>
        <w:t xml:space="preserve"> upper left letter is a capital ‘J</w:t>
      </w:r>
      <w:proofErr w:type="gramStart"/>
      <w:r>
        <w:t>’</w:t>
      </w:r>
      <w:proofErr w:type="gramEnd"/>
      <w:r>
        <w:t xml:space="preserve"> and the lower right initial a capital ‘L’, comprising two pen strokes like the version seen in print. Using lettering derived directly from print, Leaper may have possessed limited skill. Adam Fox has shown how contemporaries differentiated between the ability to read and write ‘print hand’ and ‘written hand’, with the latter deemed more complex.</w:t>
      </w:r>
      <w:r>
        <w:rPr>
          <w:rStyle w:val="FootnoteReference"/>
        </w:rPr>
        <w:footnoteReference w:id="437"/>
      </w:r>
      <w:r>
        <w:t xml:space="preserve"> Leaper’s decision to use black letter may have been either stylistic or pragmatic, but in setting his initials out in a triangle – echoing the style of initials found on lintels throughout his parish – he was clearly referencing an established form of self-identification. Adrian Green has argued that inscriptions of initials and dates were ‘mimetic upon print’, influenced </w:t>
      </w:r>
      <w:proofErr w:type="gramStart"/>
      <w:r>
        <w:t>by the use of</w:t>
      </w:r>
      <w:proofErr w:type="gramEnd"/>
      <w:r>
        <w:t xml:space="preserve"> initials in the title pages of printed books.</w:t>
      </w:r>
      <w:r>
        <w:rPr>
          <w:rStyle w:val="FootnoteReference"/>
        </w:rPr>
        <w:footnoteReference w:id="438"/>
      </w:r>
      <w:r>
        <w:t xml:space="preserve"> Whether or not this is the case, the subscription made by Leaper in his will undoubtedly represents a synthesis between print lettering and designs present upon the local built environment.</w:t>
      </w:r>
    </w:p>
    <w:p w14:paraId="76AEFE84" w14:textId="77777777" w:rsidR="00220A86" w:rsidRDefault="00220A86" w:rsidP="00220A86">
      <w:pPr>
        <w:spacing w:after="0" w:line="480" w:lineRule="auto"/>
        <w:ind w:firstLine="720"/>
        <w:jc w:val="both"/>
      </w:pPr>
      <w:r>
        <w:t>Discussing the socio-cultural significance of literacy, Keith Wrightson has argued that the seventeenth century witnessed gradual economic and cultural polarisation.</w:t>
      </w:r>
      <w:r>
        <w:rPr>
          <w:rStyle w:val="FootnoteReference"/>
        </w:rPr>
        <w:footnoteReference w:id="439"/>
      </w:r>
      <w:r>
        <w:t xml:space="preserve"> He has </w:t>
      </w:r>
      <w:r>
        <w:lastRenderedPageBreak/>
        <w:t>suggested that the middling sorts played a key role in the division of society not along the lines of the ‘gentry and the common people, but the ‘better sort’ and the mass of the labouring poor’.</w:t>
      </w:r>
      <w:r>
        <w:rPr>
          <w:rStyle w:val="FootnoteReference"/>
        </w:rPr>
        <w:footnoteReference w:id="440"/>
      </w:r>
      <w:r>
        <w:t xml:space="preserve"> Wrightson has contended that education was central to this shift, with the spread of literacy facilitating a ‘broadening of the mental horizons’ of the middling sorts, facilitating their assimilation with the ‘attitudes and values of their social superiors’.</w:t>
      </w:r>
      <w:r>
        <w:rPr>
          <w:rStyle w:val="FootnoteReference"/>
        </w:rPr>
        <w:footnoteReference w:id="441"/>
      </w:r>
      <w:r>
        <w:t xml:space="preserve"> In this context, initials on the façades of homes were potential outward projections of literacy attainment, which functioned as a signifier of status. John Leaper used initials in the formation seen on homes, in a hand copied from print. Although it is unclear </w:t>
      </w:r>
      <w:r w:rsidRPr="00D27300">
        <w:t xml:space="preserve">whether he was also able to sign his name in full, Leaper’s signature clearly involved conscious decision-making, </w:t>
      </w:r>
      <w:r>
        <w:t xml:space="preserve">appropriating a design commonly found upon homes and appealing to the many connotations of literacy and architectural display found in his locality, even if he was not fully literate himself. </w:t>
      </w:r>
    </w:p>
    <w:p w14:paraId="32670491" w14:textId="61D2DA7A" w:rsidR="00220A86" w:rsidRDefault="00220A86" w:rsidP="00220A86">
      <w:pPr>
        <w:spacing w:after="0" w:line="480" w:lineRule="auto"/>
        <w:ind w:firstLine="720"/>
        <w:jc w:val="both"/>
      </w:pPr>
      <w:r>
        <w:t>Estimating</w:t>
      </w:r>
      <w:r w:rsidRPr="006359C3">
        <w:t xml:space="preserve"> </w:t>
      </w:r>
      <w:r>
        <w:t xml:space="preserve">literacy from wills relies inescapably on expressions of </w:t>
      </w:r>
      <w:r w:rsidRPr="006359C3">
        <w:t>writing skill</w:t>
      </w:r>
      <w:r w:rsidRPr="00150F2D">
        <w:t xml:space="preserve"> </w:t>
      </w:r>
      <w:r>
        <w:t>made</w:t>
      </w:r>
      <w:r w:rsidRPr="00150F2D">
        <w:t xml:space="preserve"> </w:t>
      </w:r>
      <w:r>
        <w:t xml:space="preserve">primarily </w:t>
      </w:r>
      <w:r w:rsidRPr="00150F2D">
        <w:t xml:space="preserve">near the close of an individual's life. </w:t>
      </w:r>
      <w:r>
        <w:t xml:space="preserve">For the wider survey, this may mean literacy levels have in fact been underplayed. </w:t>
      </w:r>
      <w:r w:rsidRPr="00150F2D">
        <w:t>The will of Isabel</w:t>
      </w:r>
      <w:r>
        <w:t>l</w:t>
      </w:r>
      <w:r w:rsidRPr="00150F2D">
        <w:t xml:space="preserve"> </w:t>
      </w:r>
      <w:proofErr w:type="spellStart"/>
      <w:r w:rsidRPr="00150F2D">
        <w:t>Dick</w:t>
      </w:r>
      <w:r>
        <w:t>o</w:t>
      </w:r>
      <w:r w:rsidRPr="00150F2D">
        <w:t>nson</w:t>
      </w:r>
      <w:proofErr w:type="spellEnd"/>
      <w:r w:rsidRPr="00150F2D">
        <w:t xml:space="preserve"> of </w:t>
      </w:r>
      <w:r>
        <w:t xml:space="preserve">Bolton-le-Sands, for example, includes </w:t>
      </w:r>
      <w:r w:rsidRPr="00150F2D">
        <w:t>a mark not immediately discernible as initials.</w:t>
      </w:r>
      <w:r>
        <w:rPr>
          <w:rStyle w:val="FootnoteReference"/>
        </w:rPr>
        <w:footnoteReference w:id="442"/>
      </w:r>
      <w:r w:rsidRPr="00150F2D">
        <w:t xml:space="preserve"> As seen in </w:t>
      </w:r>
      <w:r>
        <w:t>F</w:t>
      </w:r>
      <w:r w:rsidRPr="00150F2D">
        <w:t>igure</w:t>
      </w:r>
      <w:r>
        <w:t xml:space="preserve"> </w:t>
      </w:r>
      <w:r w:rsidR="00F9754B">
        <w:t>6</w:t>
      </w:r>
      <w:r w:rsidR="00AB4A32">
        <w:t xml:space="preserve"> (p.320)</w:t>
      </w:r>
      <w:r w:rsidRPr="00150F2D">
        <w:t>, however, the left down</w:t>
      </w:r>
      <w:r>
        <w:t>-</w:t>
      </w:r>
      <w:r w:rsidRPr="00150F2D">
        <w:t>stroke is reminiscent of a</w:t>
      </w:r>
      <w:r>
        <w:t xml:space="preserve"> letter I</w:t>
      </w:r>
      <w:r w:rsidRPr="00150F2D">
        <w:t>, while the curved figure on the right is likely an attempt at a</w:t>
      </w:r>
      <w:r>
        <w:t xml:space="preserve"> letter</w:t>
      </w:r>
      <w:r w:rsidRPr="00150F2D">
        <w:t xml:space="preserve"> D.</w:t>
      </w:r>
      <w:r w:rsidRPr="00EF1F4A">
        <w:t xml:space="preserve"> Dated just</w:t>
      </w:r>
      <w:r>
        <w:t xml:space="preserve"> ten</w:t>
      </w:r>
      <w:r w:rsidRPr="00EF1F4A">
        <w:t xml:space="preserve"> days before her burial, and thereby produced only shortly before </w:t>
      </w:r>
      <w:r>
        <w:t xml:space="preserve">her </w:t>
      </w:r>
      <w:r w:rsidRPr="00EF1F4A">
        <w:t xml:space="preserve">death, </w:t>
      </w:r>
      <w:r>
        <w:t>D</w:t>
      </w:r>
      <w:r w:rsidRPr="00EF1F4A">
        <w:t>ickinson</w:t>
      </w:r>
      <w:r>
        <w:t>’</w:t>
      </w:r>
      <w:r w:rsidRPr="00EF1F4A">
        <w:t xml:space="preserve">s confused attempt </w:t>
      </w:r>
      <w:r>
        <w:t>at</w:t>
      </w:r>
      <w:r w:rsidRPr="00EF1F4A">
        <w:t xml:space="preserve"> </w:t>
      </w:r>
      <w:r>
        <w:t>writing</w:t>
      </w:r>
      <w:r w:rsidRPr="00EF1F4A">
        <w:t xml:space="preserve"> her initials cannot be taken as definitive evidence of her skill</w:t>
      </w:r>
      <w:r>
        <w:t xml:space="preserve"> level</w:t>
      </w:r>
      <w:r w:rsidRPr="00EF1F4A">
        <w:t>.</w:t>
      </w:r>
      <w:r>
        <w:rPr>
          <w:rStyle w:val="FootnoteReference"/>
        </w:rPr>
        <w:footnoteReference w:id="443"/>
      </w:r>
      <w:r w:rsidRPr="00EF1F4A">
        <w:t xml:space="preserve"> Likewise, schoolmaster Daniel Hulme of Sutton</w:t>
      </w:r>
      <w:r>
        <w:t>, whose inventory included over</w:t>
      </w:r>
      <w:r w:rsidRPr="00EF1F4A">
        <w:t xml:space="preserve"> £3 of books </w:t>
      </w:r>
      <w:r>
        <w:t xml:space="preserve">and whose occupation would have </w:t>
      </w:r>
      <w:r>
        <w:lastRenderedPageBreak/>
        <w:t>demanded full literacy,</w:t>
      </w:r>
      <w:r w:rsidRPr="00EF1F4A">
        <w:t xml:space="preserve"> marked his will with a cross</w:t>
      </w:r>
      <w:r>
        <w:t>.</w:t>
      </w:r>
      <w:r>
        <w:rPr>
          <w:rStyle w:val="FootnoteReference"/>
        </w:rPr>
        <w:footnoteReference w:id="444"/>
      </w:r>
      <w:r w:rsidRPr="0015096D">
        <w:t xml:space="preserve"> </w:t>
      </w:r>
      <w:r>
        <w:t xml:space="preserve">This </w:t>
      </w:r>
      <w:r w:rsidRPr="00EF1F4A">
        <w:t>undeniably signif</w:t>
      </w:r>
      <w:r>
        <w:t>ied</w:t>
      </w:r>
      <w:r w:rsidRPr="00EF1F4A">
        <w:t xml:space="preserve"> a decline in his condition and a misrepresentation</w:t>
      </w:r>
      <w:r w:rsidRPr="0015096D">
        <w:t xml:space="preserve"> </w:t>
      </w:r>
      <w:r>
        <w:t xml:space="preserve">of </w:t>
      </w:r>
      <w:r w:rsidRPr="0015096D">
        <w:t>literacy levels achieved throughout his life</w:t>
      </w:r>
      <w:r>
        <w:t>. In line with this, Nesta Evans has argued that it was ‘not uncommon for known literate individuals to be capable of making only a shaky cross on their wills’</w:t>
      </w:r>
      <w:r w:rsidRPr="0015096D">
        <w:t>.</w:t>
      </w:r>
      <w:r>
        <w:rPr>
          <w:rStyle w:val="FootnoteReference"/>
        </w:rPr>
        <w:footnoteReference w:id="445"/>
      </w:r>
      <w:r w:rsidRPr="0015096D">
        <w:t xml:space="preserve"> The appearance of an R initial at the foot of the will of Robert Gibson of </w:t>
      </w:r>
      <w:r>
        <w:t>O</w:t>
      </w:r>
      <w:r w:rsidRPr="0015096D">
        <w:t xml:space="preserve">ver </w:t>
      </w:r>
      <w:r>
        <w:t>K</w:t>
      </w:r>
      <w:r w:rsidRPr="0015096D">
        <w:t xml:space="preserve">ellet </w:t>
      </w:r>
      <w:r>
        <w:t>(1725)</w:t>
      </w:r>
      <w:r w:rsidRPr="0015096D">
        <w:t xml:space="preserve"> ought to be </w:t>
      </w:r>
      <w:r>
        <w:t>regarded</w:t>
      </w:r>
      <w:r w:rsidRPr="0015096D">
        <w:t xml:space="preserve"> in </w:t>
      </w:r>
      <w:r>
        <w:t>a</w:t>
      </w:r>
      <w:r w:rsidRPr="0015096D">
        <w:t xml:space="preserve"> s</w:t>
      </w:r>
      <w:r>
        <w:t>imilar</w:t>
      </w:r>
      <w:r w:rsidRPr="0015096D">
        <w:t xml:space="preserve"> light</w:t>
      </w:r>
      <w:r>
        <w:t>.</w:t>
      </w:r>
      <w:r>
        <w:rPr>
          <w:rStyle w:val="FootnoteReference"/>
        </w:rPr>
        <w:footnoteReference w:id="446"/>
      </w:r>
      <w:r>
        <w:t xml:space="preserve"> G</w:t>
      </w:r>
      <w:r w:rsidRPr="0015096D">
        <w:t>iven the presence of Gibson's full signature on a document dated 20 years earlier</w:t>
      </w:r>
      <w:r>
        <w:t xml:space="preserve">, the initial on his will evidently denoted a </w:t>
      </w:r>
      <w:r w:rsidRPr="0015096D">
        <w:t>chang</w:t>
      </w:r>
      <w:r>
        <w:t xml:space="preserve">e in </w:t>
      </w:r>
      <w:r w:rsidRPr="0015096D">
        <w:t>health</w:t>
      </w:r>
      <w:r>
        <w:t xml:space="preserve"> rather than his most skilful penmanship. Since testamentary documents were created near the close of</w:t>
      </w:r>
      <w:r w:rsidRPr="0015096D">
        <w:t xml:space="preserve"> test</w:t>
      </w:r>
      <w:r>
        <w:t>ator</w:t>
      </w:r>
      <w:r w:rsidRPr="0015096D">
        <w:t>s</w:t>
      </w:r>
      <w:r>
        <w:t>’</w:t>
      </w:r>
      <w:r w:rsidRPr="0015096D">
        <w:t xml:space="preserve"> li</w:t>
      </w:r>
      <w:r>
        <w:t>v</w:t>
      </w:r>
      <w:r w:rsidRPr="0015096D">
        <w:t>e</w:t>
      </w:r>
      <w:r>
        <w:t>s</w:t>
      </w:r>
      <w:r w:rsidRPr="0015096D">
        <w:t xml:space="preserve">, literacy rates </w:t>
      </w:r>
      <w:r>
        <w:t>were undoubtedly</w:t>
      </w:r>
      <w:r w:rsidRPr="0015096D">
        <w:t xml:space="preserve"> higher </w:t>
      </w:r>
      <w:r>
        <w:t xml:space="preserve">than wills </w:t>
      </w:r>
      <w:proofErr w:type="gramStart"/>
      <w:r>
        <w:t>are able to</w:t>
      </w:r>
      <w:proofErr w:type="gramEnd"/>
      <w:r>
        <w:t xml:space="preserve"> reveal.</w:t>
      </w:r>
    </w:p>
    <w:p w14:paraId="3526F6D5" w14:textId="77777777" w:rsidR="00220A86" w:rsidRDefault="00220A86" w:rsidP="00220A86">
      <w:pPr>
        <w:spacing w:after="0" w:line="480" w:lineRule="auto"/>
        <w:ind w:firstLine="720"/>
        <w:jc w:val="both"/>
      </w:pPr>
      <w:r>
        <w:t>It has been possible to identify changes in Robert Gibson’s literacy throughout his lifetime because other documents signed by him, besides his will, have been examined. In addition to Isabell Barker, George Preston and William Wilkinson, Gibson is one of the few individuals present in both the wider survey and core sample. All four inscribers were from Bolton-le-Sands, and no comparable overlaps existed for inscribers in Prestbury parish. Literacy was assessed for the 198 inventoried testators in the wider survey using wills alone. While sourcing other signed documents for those surveyed was infeasible because of scale, collating as many surviving sources as possible for the 38 inscribers comprising the core sample was key to understanding inscribed houses in greater depth. Consequently, a more accurate picture of literacy has been obtainable for inscribers, considering documents produced over the full course of their lives.</w:t>
      </w:r>
    </w:p>
    <w:p w14:paraId="32D82026" w14:textId="7D7FEE01" w:rsidR="00220A86" w:rsidRDefault="00220A86" w:rsidP="00220A86">
      <w:pPr>
        <w:spacing w:after="0" w:line="480" w:lineRule="auto"/>
        <w:ind w:firstLine="720"/>
        <w:jc w:val="both"/>
      </w:pPr>
      <w:r>
        <w:t xml:space="preserve">As Table 26 </w:t>
      </w:r>
      <w:r w:rsidR="00625B5B">
        <w:t>(p.</w:t>
      </w:r>
      <w:r w:rsidR="00FC2156">
        <w:t>420</w:t>
      </w:r>
      <w:r w:rsidR="00625B5B">
        <w:t xml:space="preserve">) </w:t>
      </w:r>
      <w:r>
        <w:t xml:space="preserve">shows, subscribed documents were traceable for just over half of all 38 core sample inscribers, available for ten individuals from Bolton-le-Sands and ten from </w:t>
      </w:r>
      <w:r>
        <w:lastRenderedPageBreak/>
        <w:t xml:space="preserve">Prestbury. Notably, of those for </w:t>
      </w:r>
      <w:r w:rsidRPr="000F3FFC">
        <w:t>whom subscribed documents survive</w:t>
      </w:r>
      <w:r>
        <w:t>, between 95-100</w:t>
      </w:r>
      <w:r w:rsidRPr="000F3FFC">
        <w:t xml:space="preserve">% </w:t>
      </w:r>
      <w:r>
        <w:t>had</w:t>
      </w:r>
      <w:r w:rsidRPr="000F3FFC">
        <w:t xml:space="preserve"> some awareness of the alphabet</w:t>
      </w:r>
      <w:r>
        <w:t xml:space="preserve"> and some familiarity with a pen, using signatures, initials and crosses. The one inscriber listed as signing with a circle, Elizabeth Hawthornthwaite, may have had higher literacy skills than immediately apparent. Like a cross, circles demanded considerable dexterity, and a second signature – a circle bisected with a horizontal line – may in fact be an imperfect attempt at a lower case ‘e’. Once again, while this by no means constituted full literacy, it is important to acknowledge the degree to which the skill was a spectrum rather than a binary. Among inscribers, at least half of those with traceable signatures </w:t>
      </w:r>
      <w:r w:rsidRPr="000F3FFC">
        <w:t xml:space="preserve">in each area </w:t>
      </w:r>
      <w:r>
        <w:t>used</w:t>
      </w:r>
      <w:r w:rsidRPr="000F3FFC">
        <w:t xml:space="preserve"> </w:t>
      </w:r>
      <w:r>
        <w:t>their full names in their subscriptions, with 50% doing so in Bolton-le-Sands and 90% in Prestbury</w:t>
      </w:r>
      <w:r w:rsidRPr="000F3FFC">
        <w:t>.</w:t>
      </w:r>
      <w:r>
        <w:t xml:space="preserve"> Although a relatively small sample size, this was the inverse of the situation among testators in the wider survey, where more testators used signatures and initials in Bolton-le-Sands than in Prestbury. Although all surviving sources linked to inscribers have been considered wherever practicable, it is possible that similar in-depth research for those in the wider survey would have revealed equivalent high levels of literacy. Regardless, surviving marks strongly suggest that literacy among the middling sorts was high in both areas, with inscribers exhibiting exceptionally high levels of literacy within their wider social group. Since inscribers were not necessarily the wealthiest within their communities, it is also apparent that literacy did not correspond perfectly with wealth, further reinforcing Wrightson’s point that literacy was a socio-cultural as much as a practical issue.</w:t>
      </w:r>
    </w:p>
    <w:p w14:paraId="28561252" w14:textId="77777777" w:rsidR="00220A86" w:rsidRPr="000F3FFC" w:rsidRDefault="00220A86" w:rsidP="00220A86">
      <w:pPr>
        <w:spacing w:after="0" w:line="480" w:lineRule="auto"/>
        <w:ind w:firstLine="720"/>
        <w:jc w:val="both"/>
      </w:pPr>
      <w:r w:rsidRPr="00EA5618">
        <w:t>This section</w:t>
      </w:r>
      <w:r w:rsidRPr="00294D44">
        <w:t xml:space="preserve"> has shown that an overwhelming majority of the will</w:t>
      </w:r>
      <w:r>
        <w:t>-</w:t>
      </w:r>
      <w:r w:rsidRPr="00294D44">
        <w:t xml:space="preserve">making middling sorts in </w:t>
      </w:r>
      <w:r>
        <w:t>Bolton-le-Sands</w:t>
      </w:r>
      <w:r w:rsidRPr="00294D44">
        <w:t xml:space="preserve"> and Prestbury had some degree of literacy. Almost 90% of those surveyed in both communities were either fully literate, able to read and write with a high degree of fluency, or were </w:t>
      </w:r>
      <w:r>
        <w:t>‘</w:t>
      </w:r>
      <w:proofErr w:type="spellStart"/>
      <w:r w:rsidRPr="00294D44">
        <w:t>letter</w:t>
      </w:r>
      <w:r>
        <w:t>ate</w:t>
      </w:r>
      <w:proofErr w:type="spellEnd"/>
      <w:r>
        <w:t>’</w:t>
      </w:r>
      <w:r w:rsidRPr="00294D44">
        <w:t>, able to recognise</w:t>
      </w:r>
      <w:r>
        <w:t xml:space="preserve"> and form</w:t>
      </w:r>
      <w:r w:rsidRPr="00294D44">
        <w:t xml:space="preserve"> individual letters with a pen</w:t>
      </w:r>
      <w:r>
        <w:t xml:space="preserve">. </w:t>
      </w:r>
      <w:r w:rsidRPr="006C204C">
        <w:t xml:space="preserve">This proportion was even higher among inscribers within the core sample, of whom </w:t>
      </w:r>
      <w:r>
        <w:t>95</w:t>
      </w:r>
      <w:r w:rsidRPr="006C204C">
        <w:t xml:space="preserve">% were </w:t>
      </w:r>
      <w:r w:rsidRPr="006C204C">
        <w:lastRenderedPageBreak/>
        <w:t xml:space="preserve">signing documents using full </w:t>
      </w:r>
      <w:r>
        <w:t>signatures</w:t>
      </w:r>
      <w:r w:rsidRPr="006C204C">
        <w:t>, initials or crosses. Initials were a widely used form by which people identified themselves and</w:t>
      </w:r>
      <w:r>
        <w:t>,</w:t>
      </w:r>
      <w:r w:rsidRPr="006C204C">
        <w:t xml:space="preserve"> rather than being a purely pragmatic choice, </w:t>
      </w:r>
      <w:r>
        <w:t>were</w:t>
      </w:r>
      <w:r w:rsidRPr="006C204C">
        <w:t xml:space="preserve"> a consciously chosen means </w:t>
      </w:r>
      <w:r>
        <w:t>for some people to</w:t>
      </w:r>
      <w:r w:rsidRPr="006C204C">
        <w:t xml:space="preserve"> styl</w:t>
      </w:r>
      <w:r>
        <w:t>e</w:t>
      </w:r>
      <w:r w:rsidRPr="006C204C">
        <w:t xml:space="preserve"> themselves, </w:t>
      </w:r>
      <w:r>
        <w:t xml:space="preserve">with some </w:t>
      </w:r>
      <w:r w:rsidRPr="006C204C">
        <w:t>echoing in ink the designs</w:t>
      </w:r>
      <w:r w:rsidRPr="00EA5C1E">
        <w:t xml:space="preserve"> carved upon local houses in stone</w:t>
      </w:r>
      <w:r>
        <w:t xml:space="preserve"> and seemingly appealing to the many social and cultural connotations these inscriptions carried</w:t>
      </w:r>
      <w:r w:rsidRPr="00EA5C1E">
        <w:t>. Some initial</w:t>
      </w:r>
      <w:r>
        <w:t>led signatures</w:t>
      </w:r>
      <w:r w:rsidRPr="00EA5C1E">
        <w:t xml:space="preserve"> </w:t>
      </w:r>
      <w:r>
        <w:t xml:space="preserve">were </w:t>
      </w:r>
      <w:r w:rsidRPr="00EA5C1E">
        <w:t>likely the product of limited schooling</w:t>
      </w:r>
      <w:r>
        <w:t>. However,</w:t>
      </w:r>
      <w:r w:rsidRPr="00EA5C1E">
        <w:t xml:space="preserve"> in </w:t>
      </w:r>
      <w:r>
        <w:t>recognising and charting</w:t>
      </w:r>
      <w:r w:rsidRPr="00EA5C1E">
        <w:t xml:space="preserve"> the many shades of literacy</w:t>
      </w:r>
      <w:r>
        <w:t xml:space="preserve"> exhibited within signatures upon wills</w:t>
      </w:r>
      <w:r w:rsidRPr="00EA5C1E">
        <w:t>, it is possible to ascertain that familiarity with text</w:t>
      </w:r>
      <w:r>
        <w:t xml:space="preserve"> was widespread in Bolton-le-Sands and Prestbury.</w:t>
      </w:r>
      <w:r w:rsidRPr="00EA5C1E">
        <w:t xml:space="preserve"> Those using initials or crosses upon wills may have experienced a decline in dexterity</w:t>
      </w:r>
      <w:r>
        <w:t xml:space="preserve"> towards the end of their lives and many l</w:t>
      </w:r>
      <w:r w:rsidRPr="00EA5C1E">
        <w:t>ikely recognised individual letters even whe</w:t>
      </w:r>
      <w:r>
        <w:t>n</w:t>
      </w:r>
      <w:r w:rsidRPr="00EA5C1E">
        <w:t xml:space="preserve"> they struggled to form them, with reading levels </w:t>
      </w:r>
      <w:r>
        <w:t xml:space="preserve">likely </w:t>
      </w:r>
      <w:r w:rsidRPr="00EA5C1E">
        <w:t>much higher than the ability to write</w:t>
      </w:r>
      <w:r>
        <w:t xml:space="preserve"> at all life stages, but especially so when testators were nearing the ends of the lives</w:t>
      </w:r>
      <w:r w:rsidRPr="00EA5C1E">
        <w:t>.</w:t>
      </w:r>
      <w:r w:rsidRPr="007A2346">
        <w:t xml:space="preserve"> </w:t>
      </w:r>
      <w:r>
        <w:t>When</w:t>
      </w:r>
      <w:r w:rsidRPr="007A2346">
        <w:t xml:space="preserve"> inscribers </w:t>
      </w:r>
      <w:r>
        <w:t>commissione</w:t>
      </w:r>
      <w:r w:rsidRPr="007A2346">
        <w:t>d initials</w:t>
      </w:r>
      <w:r>
        <w:t xml:space="preserve"> to be placed</w:t>
      </w:r>
      <w:r w:rsidRPr="007A2346">
        <w:t xml:space="preserve"> upon the frontispieces of their homes</w:t>
      </w:r>
      <w:r>
        <w:t xml:space="preserve"> in Bolton-le-Sands and Prestbury</w:t>
      </w:r>
      <w:r w:rsidRPr="007A2346">
        <w:t>, they identified themselves with and through text</w:t>
      </w:r>
      <w:r>
        <w:t>.</w:t>
      </w:r>
      <w:r w:rsidRPr="007A2346">
        <w:t xml:space="preserve"> </w:t>
      </w:r>
      <w:r>
        <w:t>T</w:t>
      </w:r>
      <w:r w:rsidRPr="007A2346">
        <w:t>hey signalled their own literacy and status but</w:t>
      </w:r>
      <w:r>
        <w:t>, importantly,</w:t>
      </w:r>
      <w:r w:rsidRPr="007A2346">
        <w:t xml:space="preserve"> did so in a form widely</w:t>
      </w:r>
      <w:r>
        <w:t xml:space="preserve"> u</w:t>
      </w:r>
      <w:r w:rsidRPr="00342166">
        <w:t>nderstood by others, communicating with a wide network of literate middling sort people within their community</w:t>
      </w:r>
      <w:r>
        <w:t>.</w:t>
      </w:r>
    </w:p>
    <w:p w14:paraId="09099654" w14:textId="77777777" w:rsidR="00220A86" w:rsidRDefault="00220A86" w:rsidP="00220A86">
      <w:pPr>
        <w:spacing w:after="0" w:line="480" w:lineRule="auto"/>
        <w:jc w:val="both"/>
      </w:pPr>
    </w:p>
    <w:p w14:paraId="4FD8D361" w14:textId="77CECD86" w:rsidR="00220A86" w:rsidRDefault="00220A86" w:rsidP="00220A86">
      <w:pPr>
        <w:spacing w:after="0" w:line="480" w:lineRule="auto"/>
        <w:jc w:val="both"/>
        <w:rPr>
          <w:b/>
          <w:bCs/>
        </w:rPr>
      </w:pPr>
      <w:r>
        <w:rPr>
          <w:b/>
          <w:bCs/>
        </w:rPr>
        <w:t>Bequeathing Practices in Bolton-le-Sands and Prestbury</w:t>
      </w:r>
    </w:p>
    <w:p w14:paraId="4C32194A" w14:textId="197A6C7B" w:rsidR="00220A86" w:rsidRDefault="00220A86" w:rsidP="00220A86">
      <w:pPr>
        <w:spacing w:after="0" w:line="480" w:lineRule="auto"/>
        <w:jc w:val="both"/>
      </w:pPr>
      <w:r>
        <w:tab/>
        <w:t xml:space="preserve">The final section of this chapter turns from analyses of wealth, status, work and literacy to consider patterns of bequeathing present in wills. In so doing, it examines whether inscribers approached bequests in the same ways as their peers. Given the close relationship between inscriptions upon buildings and objects and the ownership of real and personal property, bequests offer an important insight into the ways testators approached and distributed both categories of material culture. This chapter highlights one key difference </w:t>
      </w:r>
      <w:r>
        <w:lastRenderedPageBreak/>
        <w:t>between both case study areas in the predominance of copyhold land in Prestbury and the apparent absence of this form of landholding in Bolton-le-Sands. This section explores the effect these different forms of tenure had on residents in both areas, demonstrating that Prestbury inhabitants in both the core sample and wider survey were subject to restrictions in property transfer and mortgage raising that those in Bolton-le-Sands were not, and showing how the management of land through tightly-controlled leasing systems may be responsible for lower numbers of wills in Prestbury despite a larger relative population. Considering gifts in wills reveal</w:t>
      </w:r>
      <w:r w:rsidR="000F6289">
        <w:t>s</w:t>
      </w:r>
      <w:r>
        <w:t xml:space="preserve"> that similar proportions of testators were bequeathing real estate in both areas, but that bequests of household goods were more numerous in Prestbury. This is an indicator of something explored in greater depth and detail in chapter four, suggesting differences in the quantity and variety of goods consumed in each area. Examining cash bequests reveals customary differences, with Bolton-le-Sands testators prioritising close family and those in Prestbury more likely to share cash with their wider kin networks. A parallel distinction is also apparent among inscribers, who exhibited a higher propensity to bequeath cash only to their immediate relatives. Using wills to consider bequests in this way reveals key incongruities between the two parishes, as well as between inscribers and their peers.</w:t>
      </w:r>
    </w:p>
    <w:p w14:paraId="3900F8AF" w14:textId="5CACF982" w:rsidR="00220A86" w:rsidRDefault="000F6289" w:rsidP="00220A86">
      <w:pPr>
        <w:spacing w:after="0" w:line="480" w:lineRule="auto"/>
        <w:ind w:firstLine="720"/>
        <w:jc w:val="both"/>
      </w:pPr>
      <w:r>
        <w:t>Ninety-nine</w:t>
      </w:r>
      <w:r w:rsidR="00220A86">
        <w:t xml:space="preserve"> will and inventory pairs made </w:t>
      </w:r>
      <w:r w:rsidR="00220A86" w:rsidRPr="006E45D6">
        <w:t>between 1650 and 1750</w:t>
      </w:r>
      <w:r w:rsidR="00220A86">
        <w:t xml:space="preserve"> survive for testators in the Prestbury townships considered here. With more documents available for testators living in the north Lancashire case study area, wills and inventories linked to Bolton-le-Sands have been sampled to create a survey comprising just 99 testators for each parish. Given that the Prestbury townships were more populous than those in Bolton-le-Sands, lower numbers of Prestbury document pairs likely indicates differences in will-making behaviour. These differences appear to have been connected </w:t>
      </w:r>
      <w:r w:rsidR="00220A86" w:rsidRPr="00EE78DE">
        <w:t xml:space="preserve">to the jurisdiction of local landowners. In </w:t>
      </w:r>
      <w:r w:rsidR="00220A86" w:rsidRPr="00EE78DE">
        <w:lastRenderedPageBreak/>
        <w:t>Butley, Sutton and Wildboarclough, many properties</w:t>
      </w:r>
      <w:r w:rsidR="00220A86">
        <w:t xml:space="preserve"> lay</w:t>
      </w:r>
      <w:r w:rsidR="00220A86" w:rsidRPr="00EE78DE">
        <w:t xml:space="preserve"> within the bounds of the Adlington </w:t>
      </w:r>
      <w:r w:rsidR="00220A86">
        <w:t>e</w:t>
      </w:r>
      <w:r w:rsidR="00220A86" w:rsidRPr="00EE78DE">
        <w:t>state, belonging to the Leghs of Adlington</w:t>
      </w:r>
      <w:r w:rsidR="00220A86">
        <w:t>; within the Lyme estate, belonging to the Leghs of Lyme;</w:t>
      </w:r>
      <w:r w:rsidR="00220A86" w:rsidRPr="00EE78DE">
        <w:t xml:space="preserve"> or within lands owned by the Stanley family, who h</w:t>
      </w:r>
      <w:r w:rsidR="00220A86">
        <w:t>ad been earls</w:t>
      </w:r>
      <w:r w:rsidR="00220A86" w:rsidRPr="00EE78DE">
        <w:t xml:space="preserve"> of Derby since the fifteenth century.</w:t>
      </w:r>
      <w:r w:rsidR="00220A86" w:rsidRPr="00EE78DE">
        <w:rPr>
          <w:vertAlign w:val="superscript"/>
        </w:rPr>
        <w:footnoteReference w:id="447"/>
      </w:r>
      <w:r w:rsidR="00220A86" w:rsidRPr="00EE78DE">
        <w:t xml:space="preserve"> Traceable across documents held at Adlington Hall and within the</w:t>
      </w:r>
      <w:r w:rsidR="00220A86">
        <w:t xml:space="preserve"> papers of the</w:t>
      </w:r>
      <w:r w:rsidR="00220A86" w:rsidRPr="00EE78DE">
        <w:t xml:space="preserve"> Stanley </w:t>
      </w:r>
      <w:r w:rsidR="00220A86">
        <w:t>family</w:t>
      </w:r>
      <w:r w:rsidR="00220A86" w:rsidRPr="00EE78DE">
        <w:t xml:space="preserve"> at Lancashire Archives are the copyhold leasing agreements in which many Butley, Sutton and Wildboarclough properties were held.</w:t>
      </w:r>
      <w:r w:rsidR="00220A86" w:rsidRPr="00EE78DE">
        <w:rPr>
          <w:vertAlign w:val="superscript"/>
        </w:rPr>
        <w:footnoteReference w:id="448"/>
      </w:r>
    </w:p>
    <w:p w14:paraId="75513261" w14:textId="77777777" w:rsidR="00220A86" w:rsidRDefault="00220A86" w:rsidP="00220A86">
      <w:pPr>
        <w:spacing w:after="0" w:line="480" w:lineRule="auto"/>
        <w:ind w:firstLine="720"/>
        <w:jc w:val="both"/>
      </w:pPr>
      <w:r>
        <w:t xml:space="preserve">Surviving </w:t>
      </w:r>
      <w:r w:rsidRPr="00EE78DE">
        <w:t>Prestbury tenancies reveal a</w:t>
      </w:r>
      <w:r>
        <w:t xml:space="preserve"> </w:t>
      </w:r>
      <w:r w:rsidRPr="00FE362D">
        <w:t>‘copyhold for lives’</w:t>
      </w:r>
      <w:r w:rsidRPr="00EE78DE">
        <w:t xml:space="preserve"> </w:t>
      </w:r>
      <w:r>
        <w:t xml:space="preserve">leasing </w:t>
      </w:r>
      <w:r w:rsidRPr="00EE78DE">
        <w:t>system</w:t>
      </w:r>
      <w:r>
        <w:t xml:space="preserve"> – something seemingly </w:t>
      </w:r>
      <w:proofErr w:type="gramStart"/>
      <w:r>
        <w:t>absent</w:t>
      </w:r>
      <w:proofErr w:type="gramEnd"/>
      <w:r w:rsidRPr="00EE78DE">
        <w:t xml:space="preserve"> in </w:t>
      </w:r>
      <w:r>
        <w:t>all case study properties in Bolton-le-Sands.</w:t>
      </w:r>
      <w:r w:rsidRPr="00EE78DE">
        <w:t xml:space="preserve"> </w:t>
      </w:r>
      <w:r>
        <w:t>‘Copyhold for lives’ involved</w:t>
      </w:r>
      <w:r w:rsidRPr="00EE78DE">
        <w:t xml:space="preserve"> householders leas</w:t>
      </w:r>
      <w:r>
        <w:t>ing</w:t>
      </w:r>
      <w:r w:rsidRPr="00EE78DE">
        <w:t xml:space="preserve"> their homes for </w:t>
      </w:r>
      <w:r w:rsidRPr="00833DF2">
        <w:rPr>
          <w:i/>
          <w:iCs/>
        </w:rPr>
        <w:t>their</w:t>
      </w:r>
      <w:r w:rsidRPr="00EE78DE">
        <w:t xml:space="preserve"> lifetimes a</w:t>
      </w:r>
      <w:r>
        <w:t>nd</w:t>
      </w:r>
      <w:r w:rsidRPr="00EE78DE">
        <w:t xml:space="preserve"> for the ‘lives’ of two other individuals</w:t>
      </w:r>
      <w:r>
        <w:t>,</w:t>
      </w:r>
      <w:r w:rsidRPr="00EE78DE">
        <w:t xml:space="preserve"> who also had rights to the holding and would inherit ‘tenant right’ if the first tenant died.</w:t>
      </w:r>
      <w:r w:rsidRPr="00EE78DE">
        <w:rPr>
          <w:vertAlign w:val="superscript"/>
        </w:rPr>
        <w:footnoteReference w:id="449"/>
      </w:r>
      <w:r w:rsidRPr="00EE78DE">
        <w:t xml:space="preserve"> </w:t>
      </w:r>
      <w:r>
        <w:t>These</w:t>
      </w:r>
      <w:r w:rsidRPr="00EE78DE">
        <w:t xml:space="preserve"> agreements </w:t>
      </w:r>
      <w:r>
        <w:t>constituted</w:t>
      </w:r>
      <w:r w:rsidRPr="00EE78DE">
        <w:t xml:space="preserve"> complex and</w:t>
      </w:r>
      <w:r>
        <w:t xml:space="preserve"> often</w:t>
      </w:r>
      <w:r w:rsidRPr="00EE78DE">
        <w:t xml:space="preserve"> insecure means of ownership, but fines could be paid to introduce additional tenants, facilitating property transfer without recourse to wills.</w:t>
      </w:r>
      <w:r w:rsidRPr="00EE78DE">
        <w:rPr>
          <w:vertAlign w:val="superscript"/>
        </w:rPr>
        <w:footnoteReference w:id="450"/>
      </w:r>
      <w:r w:rsidRPr="00EE78DE">
        <w:t xml:space="preserve"> Glimpses of this practice are visible in the will of Roger Birtles of Butley</w:t>
      </w:r>
      <w:r>
        <w:t>, a testator within the wider survey</w:t>
      </w:r>
      <w:r w:rsidRPr="00EE78DE">
        <w:t>.</w:t>
      </w:r>
      <w:r>
        <w:rPr>
          <w:rStyle w:val="FootnoteReference"/>
        </w:rPr>
        <w:footnoteReference w:id="451"/>
      </w:r>
      <w:r w:rsidRPr="00EE78DE">
        <w:t xml:space="preserve"> Instead of transferring his tenement outright, Birtles used his will to add clauses to </w:t>
      </w:r>
      <w:r>
        <w:t>an</w:t>
      </w:r>
      <w:r w:rsidRPr="00EE78DE">
        <w:t xml:space="preserve"> existing</w:t>
      </w:r>
      <w:r>
        <w:t xml:space="preserve"> tenancy</w:t>
      </w:r>
      <w:r w:rsidRPr="00EE78DE">
        <w:t xml:space="preserve"> agreement, ensuring that ‘if my </w:t>
      </w:r>
      <w:proofErr w:type="spellStart"/>
      <w:r w:rsidRPr="00EE78DE">
        <w:t>sonne</w:t>
      </w:r>
      <w:proofErr w:type="spellEnd"/>
      <w:r w:rsidRPr="00EE78DE">
        <w:t xml:space="preserve"> Thomas dye that </w:t>
      </w:r>
      <w:r>
        <w:t>[property]</w:t>
      </w:r>
      <w:r w:rsidRPr="00EE78DE">
        <w:t xml:space="preserve"> assigned for his use shall descend &amp; come to his children if Allice Jackson who is a life in my lease be then </w:t>
      </w:r>
      <w:proofErr w:type="spellStart"/>
      <w:r w:rsidRPr="00EE78DE">
        <w:t>liveing</w:t>
      </w:r>
      <w:proofErr w:type="spellEnd"/>
      <w:r w:rsidRPr="00EE78DE">
        <w:t>’.</w:t>
      </w:r>
      <w:r w:rsidRPr="00EE78DE">
        <w:rPr>
          <w:vertAlign w:val="superscript"/>
        </w:rPr>
        <w:footnoteReference w:id="452"/>
      </w:r>
      <w:r>
        <w:t xml:space="preserve"> Birtles </w:t>
      </w:r>
      <w:r w:rsidRPr="00877EFB">
        <w:t>d</w:t>
      </w:r>
      <w:r>
        <w:t>iscussed</w:t>
      </w:r>
      <w:r w:rsidRPr="00877EFB">
        <w:t xml:space="preserve"> </w:t>
      </w:r>
      <w:r>
        <w:t xml:space="preserve">‘copyhold for lives’ property in his will to </w:t>
      </w:r>
      <w:r w:rsidRPr="00877EFB">
        <w:t xml:space="preserve">clarify pre-existing descent </w:t>
      </w:r>
      <w:r>
        <w:t xml:space="preserve">structures </w:t>
      </w:r>
      <w:r w:rsidRPr="00877EFB">
        <w:t>outlined in lease documents.</w:t>
      </w:r>
      <w:r>
        <w:t xml:space="preserve"> Comparably, the will of </w:t>
      </w:r>
      <w:r>
        <w:lastRenderedPageBreak/>
        <w:t xml:space="preserve">inscriber Thomas Frost stipulated that his son Robert would receive ‘all my tenements Land and Tenement I now </w:t>
      </w:r>
      <w:proofErr w:type="spellStart"/>
      <w:r>
        <w:t>hould</w:t>
      </w:r>
      <w:proofErr w:type="spellEnd"/>
      <w:r>
        <w:t xml:space="preserve"> by Lease from and under the Earle of Derby with all title term and interest therein’.</w:t>
      </w:r>
      <w:r w:rsidRPr="00CB1897">
        <w:rPr>
          <w:vertAlign w:val="superscript"/>
        </w:rPr>
        <w:t xml:space="preserve"> </w:t>
      </w:r>
      <w:r w:rsidRPr="00CB1897">
        <w:rPr>
          <w:vertAlign w:val="superscript"/>
        </w:rPr>
        <w:footnoteReference w:id="453"/>
      </w:r>
      <w:r>
        <w:t xml:space="preserve"> Again, rather than transferring property outright, Frost used his will like Birtles: he provided detailed instructions on property transfer that had clearly been established in other documents, stipulating that his son should compensate his siblings with £125, and outlining how this was to be divided among them.</w:t>
      </w:r>
    </w:p>
    <w:p w14:paraId="4706A727" w14:textId="77777777" w:rsidR="00220A86" w:rsidRPr="00D91ACD" w:rsidRDefault="00220A86" w:rsidP="00220A86">
      <w:pPr>
        <w:spacing w:after="0" w:line="480" w:lineRule="auto"/>
        <w:ind w:firstLine="720"/>
        <w:jc w:val="both"/>
      </w:pPr>
      <w:r>
        <w:t xml:space="preserve">Similar structures are visible in the wills of other Prestbury residents. </w:t>
      </w:r>
      <w:r w:rsidRPr="00D91ACD">
        <w:t>The will of Richard Chaddoc</w:t>
      </w:r>
      <w:r>
        <w:t xml:space="preserve">k, for example, reveals that his home was being </w:t>
      </w:r>
      <w:r w:rsidRPr="00D91ACD">
        <w:t>lease</w:t>
      </w:r>
      <w:r>
        <w:t>d</w:t>
      </w:r>
      <w:r w:rsidRPr="00D91ACD">
        <w:t xml:space="preserve"> from Peter Legh of Lyme.</w:t>
      </w:r>
      <w:r>
        <w:rPr>
          <w:rStyle w:val="FootnoteReference"/>
        </w:rPr>
        <w:footnoteReference w:id="454"/>
      </w:r>
      <w:r w:rsidRPr="00D91ACD">
        <w:t xml:space="preserve"> Outlining the division of </w:t>
      </w:r>
      <w:r>
        <w:t xml:space="preserve">his </w:t>
      </w:r>
      <w:r w:rsidRPr="00D91ACD">
        <w:t>property, Chaddock state</w:t>
      </w:r>
      <w:r>
        <w:t>d</w:t>
      </w:r>
      <w:r w:rsidRPr="00D91ACD">
        <w:t xml:space="preserve"> that half s</w:t>
      </w:r>
      <w:r>
        <w:t xml:space="preserve">hould </w:t>
      </w:r>
      <w:r w:rsidRPr="00D91ACD">
        <w:t xml:space="preserve">pass to his wife ‘during her life if the lives mentioned in the Lease thereof or any of them so long happen to live’. He </w:t>
      </w:r>
      <w:r>
        <w:t>conferred the o</w:t>
      </w:r>
      <w:r w:rsidRPr="00D91ACD">
        <w:t xml:space="preserve">ther half </w:t>
      </w:r>
      <w:r>
        <w:t>upon</w:t>
      </w:r>
      <w:r w:rsidRPr="00D91ACD">
        <w:t xml:space="preserve"> his son,</w:t>
      </w:r>
      <w:r>
        <w:t xml:space="preserve"> who</w:t>
      </w:r>
      <w:r w:rsidRPr="00D91ACD">
        <w:t xml:space="preserve"> </w:t>
      </w:r>
      <w:r>
        <w:t xml:space="preserve">would </w:t>
      </w:r>
      <w:r w:rsidRPr="00D91ACD">
        <w:t xml:space="preserve">inherit his ‘title </w:t>
      </w:r>
      <w:proofErr w:type="spellStart"/>
      <w:r w:rsidRPr="00D91ACD">
        <w:t>terme</w:t>
      </w:r>
      <w:proofErr w:type="spellEnd"/>
      <w:r w:rsidRPr="00D91ACD">
        <w:t xml:space="preserve"> tenant right and interest therein’.</w:t>
      </w:r>
      <w:r w:rsidRPr="00D91ACD">
        <w:rPr>
          <w:vertAlign w:val="superscript"/>
        </w:rPr>
        <w:footnoteReference w:id="455"/>
      </w:r>
      <w:r w:rsidRPr="00D91ACD">
        <w:t xml:space="preserve"> </w:t>
      </w:r>
      <w:r>
        <w:t xml:space="preserve">Like Frost’s son, </w:t>
      </w:r>
      <w:r w:rsidRPr="00D91ACD">
        <w:t>Chaddock’s son</w:t>
      </w:r>
      <w:r>
        <w:t xml:space="preserve"> would have been</w:t>
      </w:r>
      <w:r w:rsidRPr="00D91ACD">
        <w:t xml:space="preserve"> named in pre-existing leases, likely as the second ‘life’ after his father and thereby as heir to his tenant right. </w:t>
      </w:r>
      <w:r>
        <w:t xml:space="preserve">Since </w:t>
      </w:r>
      <w:r w:rsidRPr="00D91ACD">
        <w:t>Chaddock’s wife</w:t>
      </w:r>
      <w:r>
        <w:t xml:space="preserve"> wa</w:t>
      </w:r>
      <w:r w:rsidRPr="00D91ACD">
        <w:t>s dependent on the ‘lives’ of other named lessees rather than being instated as a ‘life’ herself</w:t>
      </w:r>
      <w:r>
        <w:t xml:space="preserve">, </w:t>
      </w:r>
      <w:r w:rsidRPr="00D91ACD">
        <w:t xml:space="preserve">Chaddock’s will </w:t>
      </w:r>
      <w:proofErr w:type="gramStart"/>
      <w:r>
        <w:t>created</w:t>
      </w:r>
      <w:proofErr w:type="gramEnd"/>
      <w:r>
        <w:t xml:space="preserve"> provision</w:t>
      </w:r>
      <w:r w:rsidRPr="00D91ACD">
        <w:t xml:space="preserve"> for her, clarifying that the house </w:t>
      </w:r>
      <w:r>
        <w:t xml:space="preserve">should </w:t>
      </w:r>
      <w:r w:rsidRPr="00D91ACD">
        <w:t xml:space="preserve">be split equally between his wife and son rather than inherited by his son wholesale. </w:t>
      </w:r>
      <w:r w:rsidRPr="00753F44">
        <w:t xml:space="preserve">When Frost referenced his son-in-law’s lease, stipulating that his daughter’s husband </w:t>
      </w:r>
      <w:r>
        <w:t>should</w:t>
      </w:r>
      <w:r w:rsidRPr="00753F44">
        <w:t xml:space="preserve"> </w:t>
      </w:r>
      <w:r>
        <w:t>‘</w:t>
      </w:r>
      <w:r w:rsidRPr="00753F44">
        <w:t xml:space="preserve">put [her] Life in a new Lease of his tenement and </w:t>
      </w:r>
      <w:proofErr w:type="spellStart"/>
      <w:r w:rsidRPr="00753F44">
        <w:t>seele</w:t>
      </w:r>
      <w:proofErr w:type="spellEnd"/>
      <w:r w:rsidRPr="00753F44">
        <w:t xml:space="preserve"> her a </w:t>
      </w:r>
      <w:proofErr w:type="spellStart"/>
      <w:r w:rsidRPr="00753F44">
        <w:t>joynter</w:t>
      </w:r>
      <w:proofErr w:type="spellEnd"/>
      <w:r w:rsidRPr="00753F44">
        <w:t xml:space="preserve"> upon the said tenement’, amounting to £6 a year in case of his death</w:t>
      </w:r>
      <w:r>
        <w:t>, Frost sought to create similar security for a female relative</w:t>
      </w:r>
      <w:r w:rsidRPr="00753F44">
        <w:t>.</w:t>
      </w:r>
      <w:r w:rsidRPr="00753F44">
        <w:rPr>
          <w:vertAlign w:val="superscript"/>
        </w:rPr>
        <w:footnoteReference w:id="456"/>
      </w:r>
      <w:r w:rsidRPr="00753F44">
        <w:t xml:space="preserve"> </w:t>
      </w:r>
      <w:r w:rsidRPr="00D91ACD">
        <w:t>Wills like</w:t>
      </w:r>
      <w:r>
        <w:t xml:space="preserve"> Frost’s, Birtles’ and Chaddock’s all</w:t>
      </w:r>
      <w:r w:rsidRPr="00D91ACD">
        <w:t xml:space="preserve"> worked in partnership with lease documents, defining the testators</w:t>
      </w:r>
      <w:r>
        <w:t>’</w:t>
      </w:r>
      <w:r w:rsidRPr="00D91ACD">
        <w:t xml:space="preserve"> wishes within structures of descent that were ultimately </w:t>
      </w:r>
      <w:r w:rsidRPr="00D91ACD">
        <w:lastRenderedPageBreak/>
        <w:t>established and enforced by other documentation.</w:t>
      </w:r>
      <w:r>
        <w:t xml:space="preserve"> In these cases, where property was managed and controlled through routinised access to lease documents, this likely contributed to lower relative numbers of wills among Prestbury inhabitants.</w:t>
      </w:r>
    </w:p>
    <w:p w14:paraId="65475D01" w14:textId="77777777" w:rsidR="00220A86" w:rsidRDefault="00220A86" w:rsidP="00220A86">
      <w:pPr>
        <w:spacing w:after="0" w:line="480" w:lineRule="auto"/>
        <w:ind w:firstLine="720"/>
        <w:jc w:val="both"/>
      </w:pPr>
      <w:r>
        <w:t xml:space="preserve">Even in Prestbury wills not directly referencing copyhold tenure, many described ‘heriots’: </w:t>
      </w:r>
      <w:r w:rsidRPr="00DB6E07">
        <w:t>a form of death duty paid to manorial lord</w:t>
      </w:r>
      <w:r>
        <w:t>s</w:t>
      </w:r>
      <w:r w:rsidRPr="00DB6E07">
        <w:t xml:space="preserve"> upon the death of a tenant, either </w:t>
      </w:r>
      <w:r>
        <w:t>in</w:t>
      </w:r>
      <w:r w:rsidRPr="00DB6E07">
        <w:t xml:space="preserve"> livestock, goods or money</w:t>
      </w:r>
      <w:r>
        <w:t>.</w:t>
      </w:r>
      <w:r w:rsidRPr="00DB6E07">
        <w:rPr>
          <w:vertAlign w:val="superscript"/>
        </w:rPr>
        <w:footnoteReference w:id="457"/>
      </w:r>
      <w:r>
        <w:t xml:space="preserve"> Heriots were explicitly tied to copyhold leasing systems and were wholly absent from wills surveyed in Bolton-le-Sands</w:t>
      </w:r>
      <w:r w:rsidRPr="00DB6E07">
        <w:t>.</w:t>
      </w:r>
      <w:r>
        <w:t xml:space="preserve"> Before outlining any bequests, the will of inscriber John Johnson of Fern Lee Farmhouse in Sutton stated ‘it is my Will and mind that my debts </w:t>
      </w:r>
      <w:proofErr w:type="spellStart"/>
      <w:r>
        <w:t>Herriots</w:t>
      </w:r>
      <w:proofErr w:type="spellEnd"/>
      <w:r>
        <w:t xml:space="preserve"> and funeral </w:t>
      </w:r>
      <w:proofErr w:type="spellStart"/>
      <w:r>
        <w:t>Expences</w:t>
      </w:r>
      <w:proofErr w:type="spellEnd"/>
      <w:r>
        <w:t xml:space="preserve"> shall be first paid and discharged out of my </w:t>
      </w:r>
      <w:proofErr w:type="spellStart"/>
      <w:r>
        <w:t>personall</w:t>
      </w:r>
      <w:proofErr w:type="spellEnd"/>
      <w:r>
        <w:t xml:space="preserve"> estate’.</w:t>
      </w:r>
      <w:r>
        <w:rPr>
          <w:rStyle w:val="FootnoteReference"/>
        </w:rPr>
        <w:footnoteReference w:id="458"/>
      </w:r>
      <w:r>
        <w:t xml:space="preserve"> The payment of debts and funeral expenses was a routine part of the probate process and was often mentioned in prefaces to early modern English wills.</w:t>
      </w:r>
      <w:r w:rsidRPr="00F71FC7">
        <w:rPr>
          <w:vertAlign w:val="superscript"/>
        </w:rPr>
        <w:footnoteReference w:id="459"/>
      </w:r>
      <w:r w:rsidRPr="00F71FC7">
        <w:t xml:space="preserve"> </w:t>
      </w:r>
      <w:r>
        <w:t xml:space="preserve"> The concurrent reference to heriots in prefaces like Johnson’s casts their payment as a similarly essential, practical procedure. Heriots appear in fifteen wills from the wider survey in an array of contexts. Given that they are often mentioned in passing, as an implicit expectation, it is likely that the fifteen appearances of the term may not be an exhaustive list of all testators liable for heriot payment.</w:t>
      </w:r>
    </w:p>
    <w:p w14:paraId="7DC7E765" w14:textId="77777777" w:rsidR="00220A86" w:rsidRDefault="00220A86" w:rsidP="00220A86">
      <w:pPr>
        <w:spacing w:after="0" w:line="480" w:lineRule="auto"/>
        <w:ind w:firstLine="720"/>
        <w:jc w:val="both"/>
      </w:pPr>
      <w:r w:rsidRPr="00044390">
        <w:t>It</w:t>
      </w:r>
      <w:r>
        <w:t xml:space="preserve"> seems </w:t>
      </w:r>
      <w:r w:rsidRPr="00044390">
        <w:t xml:space="preserve">that tenants could not control </w:t>
      </w:r>
      <w:r>
        <w:t>what goods were seized for h</w:t>
      </w:r>
      <w:r w:rsidRPr="00044390">
        <w:t>eriots. The will of Edward Plant of Butley</w:t>
      </w:r>
      <w:r>
        <w:t>, for example,</w:t>
      </w:r>
      <w:r w:rsidRPr="00044390">
        <w:t xml:space="preserve"> includes a bequest ‘unto my beloved </w:t>
      </w:r>
      <w:proofErr w:type="spellStart"/>
      <w:r w:rsidRPr="00044390">
        <w:t>Wyfe</w:t>
      </w:r>
      <w:proofErr w:type="spellEnd"/>
      <w:r w:rsidRPr="00044390">
        <w:t xml:space="preserve"> Anne </w:t>
      </w:r>
      <w:proofErr w:type="spellStart"/>
      <w:r w:rsidRPr="00044390">
        <w:t>Plantt</w:t>
      </w:r>
      <w:proofErr w:type="spellEnd"/>
      <w:r w:rsidRPr="00044390">
        <w:t xml:space="preserve"> One Cowe which </w:t>
      </w:r>
      <w:proofErr w:type="spellStart"/>
      <w:r w:rsidRPr="00044390">
        <w:t>shee</w:t>
      </w:r>
      <w:proofErr w:type="spellEnd"/>
      <w:r w:rsidRPr="00044390">
        <w:t xml:space="preserve"> called her </w:t>
      </w:r>
      <w:proofErr w:type="spellStart"/>
      <w:r w:rsidRPr="00044390">
        <w:t>Owwne</w:t>
      </w:r>
      <w:proofErr w:type="spellEnd"/>
      <w:r w:rsidRPr="00044390">
        <w:t xml:space="preserve"> and the Blacke Mare’.</w:t>
      </w:r>
      <w:r>
        <w:rPr>
          <w:rStyle w:val="FootnoteReference"/>
        </w:rPr>
        <w:footnoteReference w:id="460"/>
      </w:r>
      <w:r w:rsidRPr="00044390">
        <w:t xml:space="preserve"> Plant is conscious that h</w:t>
      </w:r>
      <w:r>
        <w:t>is bequest</w:t>
      </w:r>
      <w:r w:rsidRPr="00044390">
        <w:t xml:space="preserve"> may be overruled, stipulating that ‘if it </w:t>
      </w:r>
      <w:proofErr w:type="spellStart"/>
      <w:r w:rsidRPr="00044390">
        <w:t>hapen</w:t>
      </w:r>
      <w:proofErr w:type="spellEnd"/>
      <w:r w:rsidRPr="00044390">
        <w:t xml:space="preserve"> that either the s[ai]d Cowe or Mare be taken for a Harriot, then my Will and Mynde further is that my s[ai]d </w:t>
      </w:r>
      <w:proofErr w:type="spellStart"/>
      <w:r w:rsidRPr="00044390">
        <w:t>Wyfe</w:t>
      </w:r>
      <w:proofErr w:type="spellEnd"/>
      <w:r w:rsidRPr="00044390">
        <w:t xml:space="preserve"> shall have such </w:t>
      </w:r>
      <w:r w:rsidRPr="00044390">
        <w:lastRenderedPageBreak/>
        <w:t xml:space="preserve">Cowe as </w:t>
      </w:r>
      <w:proofErr w:type="spellStart"/>
      <w:r w:rsidRPr="00044390">
        <w:t>shee</w:t>
      </w:r>
      <w:proofErr w:type="spellEnd"/>
      <w:r w:rsidRPr="00044390">
        <w:t xml:space="preserve"> </w:t>
      </w:r>
      <w:proofErr w:type="spellStart"/>
      <w:r w:rsidRPr="00044390">
        <w:t>lykes</w:t>
      </w:r>
      <w:proofErr w:type="spellEnd"/>
      <w:r w:rsidRPr="00044390">
        <w:t xml:space="preserve"> of </w:t>
      </w:r>
      <w:proofErr w:type="spellStart"/>
      <w:r w:rsidRPr="00044390">
        <w:t>myne</w:t>
      </w:r>
      <w:proofErr w:type="spellEnd"/>
      <w:r w:rsidRPr="00044390">
        <w:t xml:space="preserve"> in her </w:t>
      </w:r>
      <w:proofErr w:type="spellStart"/>
      <w:r w:rsidRPr="00044390">
        <w:t>choyce</w:t>
      </w:r>
      <w:proofErr w:type="spellEnd"/>
      <w:r w:rsidRPr="00044390">
        <w:t>’.</w:t>
      </w:r>
      <w:r w:rsidRPr="00044390">
        <w:rPr>
          <w:vertAlign w:val="superscript"/>
        </w:rPr>
        <w:footnoteReference w:id="461"/>
      </w:r>
      <w:r w:rsidRPr="00044390">
        <w:t xml:space="preserve"> </w:t>
      </w:r>
      <w:r>
        <w:t xml:space="preserve">Lloyd </w:t>
      </w:r>
      <w:r w:rsidRPr="00044390">
        <w:t>Bonfield has stressed that in</w:t>
      </w:r>
      <w:r>
        <w:t xml:space="preserve"> </w:t>
      </w:r>
      <w:r w:rsidRPr="00044390">
        <w:t xml:space="preserve">early modern England, heriots were due in particular upon the death of individuals occupying their land </w:t>
      </w:r>
      <w:r>
        <w:t>under</w:t>
      </w:r>
      <w:r w:rsidRPr="00044390">
        <w:t xml:space="preserve"> copyhold tenure.</w:t>
      </w:r>
      <w:r w:rsidRPr="00044390">
        <w:rPr>
          <w:vertAlign w:val="superscript"/>
        </w:rPr>
        <w:footnoteReference w:id="462"/>
      </w:r>
      <w:r w:rsidRPr="00044390">
        <w:t xml:space="preserve"> The consultation of manorial records is beyond the scope of this study, but explicit descriptions of copyhold structures and the presence of heriots in many wills and inventories (combined with surviving leases for numerous initialled homes, which will be explored in the following chapter) are nonetheless sufficient to conclude that copyhold ‘for lives’ remained active in Prestbury</w:t>
      </w:r>
      <w:r>
        <w:t>. Conversely, it was</w:t>
      </w:r>
      <w:r w:rsidRPr="00044390">
        <w:t xml:space="preserve"> much less significant in </w:t>
      </w:r>
      <w:r>
        <w:t>Bolton-le-Sands</w:t>
      </w:r>
      <w:r w:rsidRPr="00044390">
        <w:t>, if present at all.</w:t>
      </w:r>
    </w:p>
    <w:p w14:paraId="79050D71" w14:textId="77777777" w:rsidR="00220A86" w:rsidRDefault="00220A86" w:rsidP="00220A86">
      <w:pPr>
        <w:spacing w:after="0" w:line="480" w:lineRule="auto"/>
        <w:ind w:firstLine="720"/>
        <w:jc w:val="both"/>
      </w:pPr>
      <w:r>
        <w:t xml:space="preserve">In Bolton-le-Sands, testators owned real property in a combination of freehold and ‘copyhold of inheritance’. The will of Christopher Bell of Over Kellet, for example, describes </w:t>
      </w:r>
      <w:r w:rsidRPr="00CC6543">
        <w:t>‘my ancient customary Estate as Lands Tenements and Hereditaments</w:t>
      </w:r>
      <w:r>
        <w:t>’ – where ‘customary estate’ represents an alternative term for copyhold tenure</w:t>
      </w:r>
      <w:r w:rsidRPr="00CC6543">
        <w:t>.</w:t>
      </w:r>
      <w:r w:rsidRPr="00CC6543">
        <w:rPr>
          <w:vertAlign w:val="superscript"/>
        </w:rPr>
        <w:footnoteReference w:id="463"/>
      </w:r>
      <w:r>
        <w:t xml:space="preserve"> Compared with </w:t>
      </w:r>
      <w:r w:rsidRPr="00AB634F">
        <w:t xml:space="preserve">copyhold </w:t>
      </w:r>
      <w:r>
        <w:t>‘</w:t>
      </w:r>
      <w:r w:rsidRPr="00AB634F">
        <w:t>for lives</w:t>
      </w:r>
      <w:r>
        <w:t>’</w:t>
      </w:r>
      <w:r w:rsidRPr="00AB634F">
        <w:t xml:space="preserve">, copyhold </w:t>
      </w:r>
      <w:r>
        <w:t>‘</w:t>
      </w:r>
      <w:r w:rsidRPr="00AB634F">
        <w:t>of inheritance</w:t>
      </w:r>
      <w:r>
        <w:t>’</w:t>
      </w:r>
      <w:r w:rsidRPr="00AB634F">
        <w:t xml:space="preserve"> was more secure: held by a single tenant, it could b</w:t>
      </w:r>
      <w:r>
        <w:t>e</w:t>
      </w:r>
      <w:r w:rsidRPr="00AB634F">
        <w:t xml:space="preserve"> more easily bought or sold,</w:t>
      </w:r>
      <w:r>
        <w:t xml:space="preserve"> with </w:t>
      </w:r>
      <w:r w:rsidRPr="00AB634F">
        <w:t>securities so much greater</w:t>
      </w:r>
      <w:r>
        <w:t xml:space="preserve"> that Juliet Gayton has argued</w:t>
      </w:r>
      <w:r w:rsidRPr="00AB634F">
        <w:t xml:space="preserve"> </w:t>
      </w:r>
      <w:r>
        <w:t>that it</w:t>
      </w:r>
      <w:r w:rsidRPr="00AB634F">
        <w:t xml:space="preserve"> could be considered ‘almost freehold’.</w:t>
      </w:r>
      <w:r w:rsidRPr="00AB634F">
        <w:rPr>
          <w:vertAlign w:val="superscript"/>
        </w:rPr>
        <w:footnoteReference w:id="464"/>
      </w:r>
      <w:r>
        <w:t xml:space="preserve"> Importantly, like freehold, estates possessed in copyhold of inheritance could be used to raise mortgages, thereby functioning as collateral for loans in a way that more restrictive copyhold ‘for lives’ could not.</w:t>
      </w:r>
      <w:r>
        <w:rPr>
          <w:rStyle w:val="FootnoteReference"/>
        </w:rPr>
        <w:footnoteReference w:id="465"/>
      </w:r>
      <w:r>
        <w:t xml:space="preserve"> Although the wills of some Prestbury testators mention freehold estate, they were in a minority, and the majority </w:t>
      </w:r>
      <w:r>
        <w:lastRenderedPageBreak/>
        <w:t xml:space="preserve">of will-makers and inscribers inhabited leased property, subject to its accompanying constraints. </w:t>
      </w:r>
    </w:p>
    <w:p w14:paraId="51E19CB7" w14:textId="77777777" w:rsidR="00220A86" w:rsidRPr="00C37FE3" w:rsidRDefault="00220A86" w:rsidP="00220A86">
      <w:pPr>
        <w:spacing w:after="0" w:line="480" w:lineRule="auto"/>
        <w:ind w:firstLine="720"/>
        <w:jc w:val="both"/>
      </w:pPr>
      <w:r>
        <w:t>O</w:t>
      </w:r>
      <w:r w:rsidRPr="001E4834">
        <w:t xml:space="preserve">f the five wills connected to Prestbury </w:t>
      </w:r>
      <w:r>
        <w:t xml:space="preserve">inscribers, four </w:t>
      </w:r>
      <w:r w:rsidRPr="001E4834">
        <w:t xml:space="preserve">reference </w:t>
      </w:r>
      <w:r>
        <w:t>property</w:t>
      </w:r>
      <w:r w:rsidRPr="001E4834">
        <w:t xml:space="preserve"> held </w:t>
      </w:r>
      <w:r>
        <w:t>by</w:t>
      </w:r>
      <w:r w:rsidRPr="001E4834">
        <w:t xml:space="preserve"> </w:t>
      </w:r>
      <w:r>
        <w:t xml:space="preserve">copyhold </w:t>
      </w:r>
      <w:r w:rsidRPr="001E4834">
        <w:t>lease from local landholders.</w:t>
      </w:r>
      <w:r>
        <w:rPr>
          <w:rStyle w:val="FootnoteReference"/>
        </w:rPr>
        <w:footnoteReference w:id="466"/>
      </w:r>
      <w:r w:rsidRPr="001E4834">
        <w:t xml:space="preserve"> </w:t>
      </w:r>
      <w:r>
        <w:t>While the will of</w:t>
      </w:r>
      <w:r w:rsidRPr="001E4834">
        <w:t xml:space="preserve"> Thomas Deane of Yew Tree House</w:t>
      </w:r>
      <w:r>
        <w:t xml:space="preserve"> did not mention copyhold property, </w:t>
      </w:r>
      <w:r w:rsidRPr="001E4834">
        <w:t>references in other documents</w:t>
      </w:r>
      <w:r>
        <w:t xml:space="preserve"> nonetheless</w:t>
      </w:r>
      <w:r w:rsidRPr="001E4834">
        <w:t xml:space="preserve"> confirm that</w:t>
      </w:r>
      <w:r>
        <w:t xml:space="preserve"> Deane’s</w:t>
      </w:r>
      <w:r w:rsidRPr="001E4834">
        <w:t xml:space="preserve"> inscribed </w:t>
      </w:r>
      <w:r>
        <w:t xml:space="preserve">home </w:t>
      </w:r>
      <w:r w:rsidRPr="001E4834">
        <w:t>was</w:t>
      </w:r>
      <w:r>
        <w:t xml:space="preserve"> leased</w:t>
      </w:r>
      <w:r w:rsidRPr="001E4834">
        <w:t xml:space="preserve"> </w:t>
      </w:r>
      <w:r>
        <w:t xml:space="preserve">‘for lives’ </w:t>
      </w:r>
      <w:r w:rsidRPr="001E4834">
        <w:t>from the Leghs of Adlington.</w:t>
      </w:r>
      <w:r>
        <w:rPr>
          <w:rStyle w:val="FootnoteReference"/>
        </w:rPr>
        <w:footnoteReference w:id="467"/>
      </w:r>
      <w:r>
        <w:t xml:space="preserve"> Three more male copyhold tenants – Thomas Crowther of Heybridge Farmhouse in Butley, Roger Brooks of Brooks Cottage, also in Butley, and Edmund Thornley of Bank Top Cottage in Wildboarclough – died intestate. Consequently, at least eight of the ten inscribed Prestbury properties comprising the core sample were held in copyhold ‘for lives’ agreements. </w:t>
      </w:r>
      <w:r w:rsidRPr="00C37FE3">
        <w:t>As well as</w:t>
      </w:r>
      <w:r>
        <w:t xml:space="preserve"> facing</w:t>
      </w:r>
      <w:r w:rsidRPr="00C37FE3">
        <w:t xml:space="preserve"> complications </w:t>
      </w:r>
      <w:r>
        <w:t>whe</w:t>
      </w:r>
      <w:r w:rsidRPr="00C37FE3">
        <w:t xml:space="preserve">n buying and selling their homes, Prestbury tenants inhabited a more insecure system. </w:t>
      </w:r>
      <w:r>
        <w:t>If they attempted to secure their properties, they were chargeable for</w:t>
      </w:r>
      <w:r w:rsidRPr="00C37FE3">
        <w:t xml:space="preserve"> fines to re-lease the</w:t>
      </w:r>
      <w:r>
        <w:t xml:space="preserve">m; they </w:t>
      </w:r>
      <w:r w:rsidRPr="00C37FE3">
        <w:t>were chargeable for heriots upon their death</w:t>
      </w:r>
      <w:r>
        <w:t>;</w:t>
      </w:r>
      <w:r w:rsidRPr="00C37FE3">
        <w:t xml:space="preserve"> and</w:t>
      </w:r>
      <w:r>
        <w:t xml:space="preserve"> they </w:t>
      </w:r>
      <w:r w:rsidRPr="00C37FE3">
        <w:t xml:space="preserve">had fewer financial freedoms, unable to raise mortgages against their </w:t>
      </w:r>
      <w:r>
        <w:t>real estate</w:t>
      </w:r>
      <w:r w:rsidRPr="00C37FE3">
        <w:t>.</w:t>
      </w:r>
      <w:r>
        <w:t xml:space="preserve"> The full effect this had upon inscription will be explored in the following chapter, but this represents a marked difference between the two areas.</w:t>
      </w:r>
    </w:p>
    <w:p w14:paraId="5745EB46" w14:textId="41D86218" w:rsidR="00220A86" w:rsidRDefault="00220A86" w:rsidP="00220A86">
      <w:pPr>
        <w:spacing w:after="0" w:line="480" w:lineRule="auto"/>
        <w:ind w:firstLine="720"/>
        <w:jc w:val="both"/>
      </w:pPr>
      <w:r w:rsidRPr="00185F82">
        <w:t xml:space="preserve">Table </w:t>
      </w:r>
      <w:r>
        <w:t>27</w:t>
      </w:r>
      <w:r w:rsidR="00625B5B">
        <w:t xml:space="preserve"> (p.</w:t>
      </w:r>
      <w:r w:rsidR="00FC2156">
        <w:t>421</w:t>
      </w:r>
      <w:r w:rsidR="00625B5B">
        <w:t>)</w:t>
      </w:r>
      <w:r w:rsidRPr="00185F82">
        <w:t xml:space="preserve"> shows the composition of bequests of real estate and moveable goods in </w:t>
      </w:r>
      <w:r>
        <w:t>Bolton-le-Sands</w:t>
      </w:r>
      <w:r w:rsidRPr="00185F82">
        <w:t xml:space="preserve"> and Prestbury.</w:t>
      </w:r>
      <w:r>
        <w:t xml:space="preserve"> Numbers of testators bequeathing real estate were similar, at 65 in Bolton-le-Sands and 62 in Prestbury. Notably, numbers of all other kinds of </w:t>
      </w:r>
      <w:r>
        <w:lastRenderedPageBreak/>
        <w:t xml:space="preserve">bequests (except livestock) were higher in Prestbury, consistently either close to or more than double the number made in Bolton-le-Sands. This notable distinction is an early indicator of a situation which will be discussed in depth in chapter four, where examining household goods in inventories will demonstrate that Prestbury homes contained a greater variety and number of objects. Table 28 </w:t>
      </w:r>
      <w:r w:rsidR="00625B5B">
        <w:t>(p.</w:t>
      </w:r>
      <w:r w:rsidR="00FC2156">
        <w:t>422</w:t>
      </w:r>
      <w:r w:rsidR="00625B5B">
        <w:t xml:space="preserve">) </w:t>
      </w:r>
      <w:r>
        <w:t>shows numbers of bequests as a proportion of testators both bequeathing and not bequeathing real estate, demonstrating that in both communities those not bequeathing real property were more likely to make bequests of almost all types of goods.</w:t>
      </w:r>
      <w:r w:rsidRPr="00F5045D">
        <w:t xml:space="preserve"> Among testators from both parishes, similar proportions of wills contained bequests of </w:t>
      </w:r>
      <w:r w:rsidRPr="00F5045D">
        <w:rPr>
          <w:i/>
          <w:iCs/>
        </w:rPr>
        <w:t xml:space="preserve">only </w:t>
      </w:r>
      <w:r w:rsidRPr="00F5045D">
        <w:t xml:space="preserve">real property and cash – present on </w:t>
      </w:r>
      <w:r w:rsidR="00A97A4B">
        <w:t>30</w:t>
      </w:r>
      <w:r w:rsidRPr="00F5045D">
        <w:t xml:space="preserve"> occasions in </w:t>
      </w:r>
      <w:r>
        <w:t>Bolton-le-Sands</w:t>
      </w:r>
      <w:r w:rsidRPr="00F5045D">
        <w:t xml:space="preserve"> and in </w:t>
      </w:r>
      <w:r w:rsidR="00A97A4B">
        <w:t>27</w:t>
      </w:r>
      <w:r w:rsidRPr="00F5045D">
        <w:t xml:space="preserve"> instances in Prestbury.</w:t>
      </w:r>
    </w:p>
    <w:p w14:paraId="305FD19E" w14:textId="77777777" w:rsidR="00220A86" w:rsidRDefault="00220A86" w:rsidP="00220A86">
      <w:pPr>
        <w:spacing w:after="0" w:line="480" w:lineRule="auto"/>
        <w:ind w:firstLine="720"/>
        <w:jc w:val="both"/>
      </w:pPr>
      <w:r>
        <w:t xml:space="preserve">In her review of different sources for understanding property ownership among women in early modern England, </w:t>
      </w:r>
      <w:r w:rsidRPr="007E49A9">
        <w:t xml:space="preserve">Amy Erickson found that cash was the most common bequest </w:t>
      </w:r>
      <w:r>
        <w:t>among</w:t>
      </w:r>
      <w:r w:rsidRPr="007E49A9">
        <w:t xml:space="preserve"> both male and female testators.</w:t>
      </w:r>
      <w:r w:rsidRPr="007E49A9">
        <w:rPr>
          <w:vertAlign w:val="superscript"/>
        </w:rPr>
        <w:footnoteReference w:id="468"/>
      </w:r>
      <w:r w:rsidRPr="007E49A9">
        <w:t xml:space="preserve"> This was the case in</w:t>
      </w:r>
      <w:r>
        <w:t xml:space="preserve"> both Bolton-le-Sands and </w:t>
      </w:r>
      <w:r w:rsidRPr="007E49A9">
        <w:t>Prestbury</w:t>
      </w:r>
      <w:r>
        <w:t xml:space="preserve"> </w:t>
      </w:r>
      <w:proofErr w:type="gramStart"/>
      <w:r>
        <w:t xml:space="preserve">alike </w:t>
      </w:r>
      <w:r w:rsidRPr="007E49A9">
        <w:t>,</w:t>
      </w:r>
      <w:proofErr w:type="gramEnd"/>
      <w:r w:rsidRPr="007E49A9">
        <w:t xml:space="preserve"> where over 75% of w</w:t>
      </w:r>
      <w:r>
        <w:t>ills in each area referenced cash</w:t>
      </w:r>
      <w:r w:rsidRPr="007E49A9">
        <w:t xml:space="preserve">. </w:t>
      </w:r>
      <w:r>
        <w:t>N</w:t>
      </w:r>
      <w:r w:rsidRPr="007E49A9">
        <w:t xml:space="preserve">umbers of cash bequests </w:t>
      </w:r>
      <w:r>
        <w:t xml:space="preserve">per will </w:t>
      </w:r>
      <w:r w:rsidRPr="007E49A9">
        <w:t>were</w:t>
      </w:r>
      <w:r>
        <w:t xml:space="preserve"> significantly different in </w:t>
      </w:r>
      <w:r w:rsidRPr="007E49A9">
        <w:t>the two communities</w:t>
      </w:r>
      <w:r>
        <w:t xml:space="preserve">, however. Just </w:t>
      </w:r>
      <w:r w:rsidRPr="007E49A9">
        <w:t xml:space="preserve">as </w:t>
      </w:r>
      <w:r>
        <w:t xml:space="preserve">Prestbury wills included more references to </w:t>
      </w:r>
      <w:r w:rsidRPr="007E49A9">
        <w:t xml:space="preserve">household goods, </w:t>
      </w:r>
      <w:r>
        <w:t>a</w:t>
      </w:r>
      <w:r w:rsidRPr="007E49A9">
        <w:t xml:space="preserve"> total of 713 </w:t>
      </w:r>
      <w:r>
        <w:t>cash bequests by</w:t>
      </w:r>
      <w:r w:rsidRPr="007E49A9">
        <w:t xml:space="preserve"> Prestbury </w:t>
      </w:r>
      <w:r>
        <w:t xml:space="preserve">testators </w:t>
      </w:r>
      <w:r w:rsidRPr="007E49A9">
        <w:t>overwhelm</w:t>
      </w:r>
      <w:r>
        <w:t>ed</w:t>
      </w:r>
      <w:r w:rsidRPr="007E49A9">
        <w:t xml:space="preserve"> the 304 </w:t>
      </w:r>
      <w:r>
        <w:t>made in all Bolton-le-Sands wills</w:t>
      </w:r>
      <w:r w:rsidRPr="007E49A9">
        <w:t xml:space="preserve">. </w:t>
      </w:r>
      <w:r>
        <w:t>Cash bequests were complex and there is no universal framework for interpreting their meaning. Cash gifts in wills followed wider patterns of gift exchange which, as Pierre Bourdieu has argued, gained meanings in each individual moment of exchange, with both giver and receiver participating in meaning creation.</w:t>
      </w:r>
      <w:r>
        <w:rPr>
          <w:rStyle w:val="FootnoteReference"/>
        </w:rPr>
        <w:footnoteReference w:id="469"/>
      </w:r>
      <w:r>
        <w:t xml:space="preserve"> Testators visibly bequeathed cash for different reasons: while some prescribed annual sums or stipulated the creation of trusts to support dependent family </w:t>
      </w:r>
      <w:r>
        <w:lastRenderedPageBreak/>
        <w:t>members, others specified sums intended for individual goods, as in the will of Thomas Mason, who gave ten shillings to a woman in a neighbouring village and two shillings and sixpence to her son, to buy him a coat.</w:t>
      </w:r>
      <w:r>
        <w:rPr>
          <w:rStyle w:val="FootnoteReference"/>
        </w:rPr>
        <w:footnoteReference w:id="470"/>
      </w:r>
      <w:r>
        <w:t xml:space="preserve"> Just as some amounts constituted a recipient’s full inheritance, others could be small tokens of affection and esteem. </w:t>
      </w:r>
      <w:r w:rsidRPr="003250E6">
        <w:t>Lloyd Bonfield</w:t>
      </w:r>
      <w:r>
        <w:t>, for example,</w:t>
      </w:r>
      <w:r w:rsidRPr="003250E6">
        <w:t xml:space="preserve"> has noted that insubstantial sums </w:t>
      </w:r>
      <w:r>
        <w:t>often</w:t>
      </w:r>
      <w:r w:rsidRPr="003250E6">
        <w:t xml:space="preserve"> given to sons and daughters were inaccurate reflections of total wealth passed to the next generation, instead showing parents ‘topping up’ money previously given when children had married or reached their majority.</w:t>
      </w:r>
      <w:r w:rsidRPr="003250E6">
        <w:rPr>
          <w:vertAlign w:val="superscript"/>
        </w:rPr>
        <w:footnoteReference w:id="471"/>
      </w:r>
      <w:r>
        <w:t xml:space="preserve"> </w:t>
      </w:r>
    </w:p>
    <w:p w14:paraId="66F97788" w14:textId="29E0950F" w:rsidR="00220A86" w:rsidRDefault="00220A86" w:rsidP="00220A86">
      <w:pPr>
        <w:spacing w:after="0" w:line="480" w:lineRule="auto"/>
        <w:ind w:firstLine="720"/>
        <w:jc w:val="both"/>
      </w:pPr>
      <w:r w:rsidRPr="007E49A9">
        <w:t>Table 2</w:t>
      </w:r>
      <w:r>
        <w:t>9</w:t>
      </w:r>
      <w:r w:rsidRPr="007E49A9">
        <w:t xml:space="preserve"> </w:t>
      </w:r>
      <w:r w:rsidR="00625B5B">
        <w:t>(p.</w:t>
      </w:r>
      <w:r w:rsidR="00FC2156">
        <w:t>423</w:t>
      </w:r>
      <w:r w:rsidR="00625B5B">
        <w:t xml:space="preserve">) </w:t>
      </w:r>
      <w:r w:rsidRPr="007E49A9">
        <w:t xml:space="preserve">presents a breakdown of </w:t>
      </w:r>
      <w:r>
        <w:t>cash</w:t>
      </w:r>
      <w:r w:rsidRPr="007E49A9">
        <w:t xml:space="preserve"> bequests by sex and marital status, demonstrating the mean number of bequests made by individuals in each category. Women in both areas exhibited higher average</w:t>
      </w:r>
      <w:r>
        <w:t xml:space="preserve"> numbers of cash bequests</w:t>
      </w:r>
      <w:r w:rsidRPr="007E49A9">
        <w:t xml:space="preserve"> than men. </w:t>
      </w:r>
      <w:r>
        <w:t xml:space="preserve">Even while many women’s wills </w:t>
      </w:r>
      <w:r w:rsidRPr="007E49A9">
        <w:t xml:space="preserve">involved more limited means, Sara Mendelson and Patricia Crawford have detailed </w:t>
      </w:r>
      <w:r>
        <w:t xml:space="preserve">how women often </w:t>
      </w:r>
      <w:r w:rsidRPr="007E49A9">
        <w:t>careful</w:t>
      </w:r>
      <w:r>
        <w:t>ly</w:t>
      </w:r>
      <w:r w:rsidRPr="007E49A9">
        <w:t xml:space="preserve"> distribut</w:t>
      </w:r>
      <w:r>
        <w:t>ed</w:t>
      </w:r>
      <w:r w:rsidRPr="007E49A9">
        <w:t xml:space="preserve"> ‘meagre possessions’ among a wide circle of friends and family.</w:t>
      </w:r>
      <w:r w:rsidRPr="007E49A9">
        <w:rPr>
          <w:vertAlign w:val="superscript"/>
        </w:rPr>
        <w:footnoteReference w:id="472"/>
      </w:r>
      <w:r w:rsidRPr="007E49A9">
        <w:t xml:space="preserve"> </w:t>
      </w:r>
      <w:r>
        <w:t xml:space="preserve">While </w:t>
      </w:r>
      <w:r w:rsidRPr="007E49A9">
        <w:t xml:space="preserve">Lloyd Davies has </w:t>
      </w:r>
      <w:r>
        <w:t xml:space="preserve">also </w:t>
      </w:r>
      <w:r w:rsidRPr="007E49A9">
        <w:t xml:space="preserve">argued that women’s wills reveal a deep concern with interpersonal relationships, </w:t>
      </w:r>
      <w:r>
        <w:t>Amy Erickson has challenged the idea that women’s bequests were innately more affectionate than men’s, stating that the apparently more careful, particular dispersal of individual household goods by women was ‘actually an artefact of England’s peculiar rules of coverture’ whereby married men more commonly bequeathed their entire personal estate to their wives</w:t>
      </w:r>
      <w:r w:rsidRPr="00707333">
        <w:t xml:space="preserve"> </w:t>
      </w:r>
      <w:r>
        <w:t xml:space="preserve">or children </w:t>
      </w:r>
      <w:r w:rsidRPr="00707333">
        <w:t>wholesale</w:t>
      </w:r>
      <w:r>
        <w:t>.</w:t>
      </w:r>
      <w:r>
        <w:rPr>
          <w:rStyle w:val="FootnoteReference"/>
        </w:rPr>
        <w:footnoteReference w:id="473"/>
      </w:r>
      <w:r w:rsidRPr="007E49A9">
        <w:t xml:space="preserve"> </w:t>
      </w:r>
      <w:r>
        <w:t>Elevated</w:t>
      </w:r>
      <w:r w:rsidRPr="007E49A9">
        <w:t xml:space="preserve"> numbers of cash bequests </w:t>
      </w:r>
      <w:r>
        <w:t xml:space="preserve">among women </w:t>
      </w:r>
      <w:r w:rsidRPr="007E49A9">
        <w:t xml:space="preserve">may be linked to this, </w:t>
      </w:r>
      <w:r>
        <w:t xml:space="preserve">with widows left to divide their husbands’ </w:t>
      </w:r>
      <w:r>
        <w:lastRenderedPageBreak/>
        <w:t>estates in their own wills or able to administer cash gifts even when the rest of the home and its contents had been bequeathed to other parties by their spouse.</w:t>
      </w:r>
    </w:p>
    <w:p w14:paraId="0B6B9425" w14:textId="2A158A5E" w:rsidR="00220A86" w:rsidRDefault="00220A86" w:rsidP="00220A86">
      <w:pPr>
        <w:spacing w:after="0" w:line="480" w:lineRule="auto"/>
        <w:ind w:firstLine="720"/>
        <w:jc w:val="both"/>
      </w:pPr>
      <w:r w:rsidRPr="007E49A9">
        <w:t xml:space="preserve">In both areas, bachelors </w:t>
      </w:r>
      <w:r>
        <w:t>made</w:t>
      </w:r>
      <w:r w:rsidRPr="007E49A9">
        <w:t xml:space="preserve"> the highest average number of cash bequests overall. David Cressy has emphasised that cash bequests were a key means of renewing and strengthening bonds with kin, but that this concern </w:t>
      </w:r>
      <w:r>
        <w:t xml:space="preserve">was </w:t>
      </w:r>
      <w:r w:rsidRPr="007E49A9">
        <w:t>secondary to providing for more immediate family.</w:t>
      </w:r>
      <w:r w:rsidRPr="007E49A9">
        <w:rPr>
          <w:vertAlign w:val="superscript"/>
        </w:rPr>
        <w:footnoteReference w:id="474"/>
      </w:r>
      <w:r w:rsidRPr="007E49A9">
        <w:t xml:space="preserve"> </w:t>
      </w:r>
      <w:r>
        <w:t>Cressy</w:t>
      </w:r>
      <w:r w:rsidRPr="007E49A9">
        <w:t xml:space="preserve"> has highlighted how the cash bequests made to a wide range of kin by </w:t>
      </w:r>
      <w:r>
        <w:t>one</w:t>
      </w:r>
      <w:r w:rsidRPr="007E49A9">
        <w:t xml:space="preserve"> Essex bachelor</w:t>
      </w:r>
      <w:r>
        <w:t xml:space="preserve"> within his study</w:t>
      </w:r>
      <w:r w:rsidRPr="007E49A9">
        <w:t xml:space="preserve"> would unlikely have been made </w:t>
      </w:r>
      <w:r>
        <w:t>had</w:t>
      </w:r>
      <w:r w:rsidRPr="007E49A9">
        <w:t xml:space="preserve"> he had a wife and children of his own.</w:t>
      </w:r>
      <w:r w:rsidRPr="007E49A9">
        <w:rPr>
          <w:vertAlign w:val="superscript"/>
        </w:rPr>
        <w:footnoteReference w:id="475"/>
      </w:r>
      <w:r>
        <w:t xml:space="preserve"> </w:t>
      </w:r>
      <w:r w:rsidRPr="00506F98">
        <w:t>As Table 29 revealed, the mean number of cash bequests was higher across all sex and marital status categories in Prestbury, averaging 8.7 bequests per will compared with 4.1 in Bolton-le-Sands. Table 3</w:t>
      </w:r>
      <w:r>
        <w:t>0</w:t>
      </w:r>
      <w:r w:rsidRPr="00506F98">
        <w:t xml:space="preserve"> </w:t>
      </w:r>
      <w:r w:rsidR="00625B5B">
        <w:t>(p.</w:t>
      </w:r>
      <w:r w:rsidR="00FC2156">
        <w:t>424</w:t>
      </w:r>
      <w:r w:rsidR="00625B5B">
        <w:t xml:space="preserve">) </w:t>
      </w:r>
      <w:r w:rsidRPr="00506F98">
        <w:t xml:space="preserve">shows the </w:t>
      </w:r>
      <w:r>
        <w:t xml:space="preserve">content of these bequests, charting the </w:t>
      </w:r>
      <w:r w:rsidRPr="00506F98">
        <w:t xml:space="preserve">relationship between testators and the recipients of their cash </w:t>
      </w:r>
      <w:r>
        <w:t>gifts</w:t>
      </w:r>
      <w:r w:rsidRPr="00506F98">
        <w:t>. In</w:t>
      </w:r>
      <w:r>
        <w:t xml:space="preserve"> </w:t>
      </w:r>
      <w:r w:rsidRPr="00506F98">
        <w:t xml:space="preserve">keeping with a higher number of bequests per will in Prestbury than in Bolton-le-Sands, </w:t>
      </w:r>
      <w:r>
        <w:t xml:space="preserve">cash </w:t>
      </w:r>
      <w:r w:rsidRPr="00506F98">
        <w:t xml:space="preserve">bequests </w:t>
      </w:r>
      <w:r>
        <w:t>of</w:t>
      </w:r>
      <w:r w:rsidRPr="00506F98">
        <w:t xml:space="preserve"> almost all </w:t>
      </w:r>
      <w:r>
        <w:t>kinds</w:t>
      </w:r>
      <w:r w:rsidRPr="00506F98">
        <w:t xml:space="preserve"> were more common in Prestbury.</w:t>
      </w:r>
      <w:r>
        <w:t xml:space="preserve"> Notably, though, while bequests to most groups were proportionally higher, bequests to kin and friends were considerably elevated in Prestbury, suggesting different approaches to giving in both areas. Cash gifts to executors were similarly much more common in Prestbury, with many testators leaving customary amounts between five and twenty shillings to those administering their estates. This difference may be partly explained by the tendency to appoint kin and friends as executors in Prestbury, while will-makers in Bolton-le-Sands were much more likely to appoint executors from among their wives and immediate family members – who may have been less expectant of token gifts of thanks or who had received other testamentary provision. </w:t>
      </w:r>
    </w:p>
    <w:p w14:paraId="391F0CF5" w14:textId="610B4AF7" w:rsidR="00220A86" w:rsidRDefault="00220A86" w:rsidP="00220A86">
      <w:pPr>
        <w:spacing w:after="0" w:line="480" w:lineRule="auto"/>
        <w:ind w:firstLine="720"/>
        <w:jc w:val="both"/>
      </w:pPr>
      <w:r>
        <w:lastRenderedPageBreak/>
        <w:t xml:space="preserve">Claudia Minett has suggested that differences in the number and extent of cash bequests may be connected to wealth, but this is not directly apparent in Bolton-le-Sands and Prestbury. </w:t>
      </w:r>
      <w:r w:rsidRPr="004A5D54">
        <w:t xml:space="preserve">Examining cash </w:t>
      </w:r>
      <w:r>
        <w:t>gifts</w:t>
      </w:r>
      <w:r w:rsidRPr="004A5D54">
        <w:t xml:space="preserve"> and prosperity in </w:t>
      </w:r>
      <w:proofErr w:type="spellStart"/>
      <w:r w:rsidRPr="004A5D54">
        <w:t>Giggleswick</w:t>
      </w:r>
      <w:proofErr w:type="spellEnd"/>
      <w:r w:rsidRPr="004A5D54">
        <w:t xml:space="preserve">, North Yorkshire across a 150-year period, Minett has shown that kin networks </w:t>
      </w:r>
      <w:r>
        <w:t>visible</w:t>
      </w:r>
      <w:r w:rsidRPr="004A5D54">
        <w:t xml:space="preserve"> in wills underwent ‘shrinkage’ in times of economic hardship, with money </w:t>
      </w:r>
      <w:r>
        <w:t>shared among</w:t>
      </w:r>
      <w:r w:rsidRPr="004A5D54">
        <w:t xml:space="preserve"> </w:t>
      </w:r>
      <w:r>
        <w:t>fewer</w:t>
      </w:r>
      <w:r w:rsidRPr="004A5D54">
        <w:t xml:space="preserve"> beneficiaries.</w:t>
      </w:r>
      <w:r w:rsidRPr="004A5D54">
        <w:rPr>
          <w:vertAlign w:val="superscript"/>
        </w:rPr>
        <w:footnoteReference w:id="476"/>
      </w:r>
      <w:r>
        <w:t xml:space="preserve"> Consistently </w:t>
      </w:r>
      <w:r w:rsidRPr="004A5D54">
        <w:t xml:space="preserve">lower </w:t>
      </w:r>
      <w:r>
        <w:t xml:space="preserve">numbers of bequests </w:t>
      </w:r>
      <w:r w:rsidRPr="004A5D54">
        <w:t>in Bolton-le-Sands</w:t>
      </w:r>
      <w:r>
        <w:t xml:space="preserve"> might</w:t>
      </w:r>
      <w:r w:rsidRPr="004A5D54">
        <w:t xml:space="preserve"> reflect</w:t>
      </w:r>
      <w:r>
        <w:t xml:space="preserve"> </w:t>
      </w:r>
      <w:r w:rsidRPr="004A5D54">
        <w:t xml:space="preserve">differing financial circumstances </w:t>
      </w:r>
      <w:r>
        <w:t xml:space="preserve">in </w:t>
      </w:r>
      <w:r w:rsidRPr="004A5D54">
        <w:t xml:space="preserve">the two communities, </w:t>
      </w:r>
      <w:r>
        <w:t xml:space="preserve">congruent </w:t>
      </w:r>
      <w:r w:rsidRPr="004A5D54">
        <w:t>with lower assessed wealth in Bolton-le-Sands than in Prestbury.</w:t>
      </w:r>
      <w:r>
        <w:t xml:space="preserve"> </w:t>
      </w:r>
      <w:r w:rsidRPr="00021870">
        <w:t>Table 3</w:t>
      </w:r>
      <w:r>
        <w:t>1</w:t>
      </w:r>
      <w:r w:rsidR="00625B5B">
        <w:t xml:space="preserve"> (p.</w:t>
      </w:r>
      <w:r w:rsidR="00F30F17">
        <w:t>425</w:t>
      </w:r>
      <w:r w:rsidR="00625B5B">
        <w:t>)</w:t>
      </w:r>
      <w:r w:rsidRPr="00021870">
        <w:t xml:space="preserve"> </w:t>
      </w:r>
      <w:r>
        <w:t xml:space="preserve">however </w:t>
      </w:r>
      <w:r w:rsidRPr="00021870">
        <w:t xml:space="preserve">shows </w:t>
      </w:r>
      <w:r>
        <w:t xml:space="preserve">that </w:t>
      </w:r>
      <w:r w:rsidRPr="00021870">
        <w:t xml:space="preserve">the mean of cash </w:t>
      </w:r>
      <w:r>
        <w:t>bequeathed</w:t>
      </w:r>
      <w:r w:rsidRPr="00021870">
        <w:t xml:space="preserve"> </w:t>
      </w:r>
      <w:r>
        <w:t xml:space="preserve">by different </w:t>
      </w:r>
      <w:r w:rsidRPr="00021870">
        <w:t>sex and marital status</w:t>
      </w:r>
      <w:r>
        <w:t xml:space="preserve"> groups was consistently higher in Bolton-le-Sands, suggesting that this conclusion may not be accurate</w:t>
      </w:r>
      <w:r w:rsidRPr="00021870">
        <w:t>. Prestbury bachelors bequeath</w:t>
      </w:r>
      <w:r>
        <w:t>ed</w:t>
      </w:r>
      <w:r w:rsidRPr="00021870">
        <w:t xml:space="preserve"> the highest sums, which – taken alongside Tables 29 and 3</w:t>
      </w:r>
      <w:r>
        <w:t>0</w:t>
      </w:r>
      <w:r w:rsidRPr="00021870">
        <w:t xml:space="preserve"> – they were clearly sharing with many beneficiaries. Where Bolton-le-Sands spinsters </w:t>
      </w:r>
      <w:r>
        <w:t xml:space="preserve">seemingly also </w:t>
      </w:r>
      <w:r w:rsidRPr="00021870">
        <w:t xml:space="preserve">bequeathed </w:t>
      </w:r>
      <w:r>
        <w:t>large amounts</w:t>
      </w:r>
      <w:r w:rsidRPr="00021870">
        <w:t xml:space="preserve">, the mean has been raised significantly by wealthy spinster Agnes Ward, </w:t>
      </w:r>
      <w:r>
        <w:t xml:space="preserve">dominated by her </w:t>
      </w:r>
      <w:r w:rsidRPr="00021870">
        <w:t xml:space="preserve">£237 </w:t>
      </w:r>
      <w:r>
        <w:t>of</w:t>
      </w:r>
      <w:r w:rsidRPr="00021870">
        <w:t xml:space="preserve"> cash bequests.</w:t>
      </w:r>
      <w:r>
        <w:rPr>
          <w:rStyle w:val="FootnoteReference"/>
        </w:rPr>
        <w:footnoteReference w:id="477"/>
      </w:r>
      <w:r w:rsidRPr="00021870">
        <w:t xml:space="preserve"> </w:t>
      </w:r>
      <w:r>
        <w:t xml:space="preserve">With </w:t>
      </w:r>
      <w:r w:rsidRPr="00021870">
        <w:t>mean cash bequeathed per will almost £10 higher in Bolton-le-Sands than Prestbury, and Bolton-le-Sands the poore</w:t>
      </w:r>
      <w:r>
        <w:t>st</w:t>
      </w:r>
      <w:r w:rsidRPr="00021870">
        <w:t xml:space="preserve"> of the two areas, wealth alone was </w:t>
      </w:r>
      <w:r>
        <w:t xml:space="preserve">likely </w:t>
      </w:r>
      <w:r w:rsidRPr="00021870">
        <w:t xml:space="preserve">not responsible for </w:t>
      </w:r>
      <w:r>
        <w:t xml:space="preserve">these </w:t>
      </w:r>
      <w:r w:rsidRPr="00021870">
        <w:t>differences.</w:t>
      </w:r>
      <w:r>
        <w:t xml:space="preserve"> Instead, it appears that testators were motivated by custom, sharing larger sums with their immediate families in Bolton-le-Sands and primarily using cash gifts to maintain wide-ranging friendships and kin relationships in Prestbury.</w:t>
      </w:r>
    </w:p>
    <w:p w14:paraId="7740F1B6" w14:textId="6D345446" w:rsidR="00220A86" w:rsidRDefault="00220A86" w:rsidP="00220A86">
      <w:pPr>
        <w:spacing w:after="0" w:line="480" w:lineRule="auto"/>
        <w:ind w:firstLine="720"/>
        <w:jc w:val="both"/>
      </w:pPr>
      <w:r>
        <w:t xml:space="preserve">Cash bequests do not provide direct insights into wealth. Bequests represented different proportions of different testators’ estates and commonly referenced cash that testators did not immediately have to hand, requiring executors to sell real or moveable </w:t>
      </w:r>
      <w:r>
        <w:lastRenderedPageBreak/>
        <w:t>property to raise sums intended for beneficiaries.</w:t>
      </w:r>
      <w:r w:rsidRPr="00E87B4D">
        <w:rPr>
          <w:vertAlign w:val="superscript"/>
        </w:rPr>
        <w:footnoteReference w:id="478"/>
      </w:r>
      <w:r>
        <w:t xml:space="preserve"> As complex nexuses of custom and emotion, cash bequests are better suited to providing insights into differences in priority. Notably, cash bequests were as prevalent in surviving inscribers’ wills as in the wider survey, with all will-making inscribers in Bolton-le-Sands and 80% of will-making inscribers in Prestbury bequeathing cash. As seen in Table 32</w:t>
      </w:r>
      <w:r w:rsidR="00625B5B">
        <w:t xml:space="preserve"> (p.</w:t>
      </w:r>
      <w:r w:rsidR="00F30F17">
        <w:t>426</w:t>
      </w:r>
      <w:r w:rsidR="00625B5B">
        <w:t>)</w:t>
      </w:r>
      <w:r>
        <w:t xml:space="preserve">, inscribers in Bolton-le-Sands made more cash bequests on average than in the wider survey (6.3 per will, compared with 4.1 per will) while numbers were roughly equivalent in both categories for Prestbury (8.5 in inscribers’ wills compared with 8.7 in surveyed wills). Inscribers in both communities, though, bequeathed significantly more cash overall, averaging £97.7 in Bolton-le-Sands (compared to £61.8 among surveyed testators) and £162.5 (rather than £52 within the survey) in Prestbury. </w:t>
      </w:r>
    </w:p>
    <w:p w14:paraId="1185C3BD" w14:textId="0B7B4CB6" w:rsidR="00220A86" w:rsidRDefault="00220A86" w:rsidP="00220A86">
      <w:pPr>
        <w:spacing w:after="0" w:line="480" w:lineRule="auto"/>
        <w:ind w:firstLine="720"/>
        <w:jc w:val="both"/>
      </w:pPr>
      <w:r>
        <w:t>As seen in Table 33</w:t>
      </w:r>
      <w:r w:rsidR="00625B5B">
        <w:t xml:space="preserve"> (p.</w:t>
      </w:r>
      <w:r w:rsidR="00F30F17">
        <w:t>427</w:t>
      </w:r>
      <w:r w:rsidR="00625B5B">
        <w:t>)</w:t>
      </w:r>
      <w:r>
        <w:t>, inscribers also differed from testators in the wider survey, exhibiting a much greater tendency to bequeath wealth within their immediate families. As most will-making inscribers were men, the table also shows percentages of bequests to different recipients made by married testators in the wider survey, for comparison. With spinsters and bachelors excluded from analysis, it is apparent that married testators were more likely to gift cash to immediate family than other groups. Nevertheless, these preferences were present among married inscribers to an even greater degree. If, as Marcel Mauss has suggested, the value of gift exchange lies both in satisfying material needs and strengthening social bonds, it is notable that inscribers’ wills embody an even greater intention to protect and prioritise their immediate families.</w:t>
      </w:r>
      <w:r>
        <w:rPr>
          <w:rStyle w:val="FootnoteReference"/>
        </w:rPr>
        <w:footnoteReference w:id="479"/>
      </w:r>
      <w:r>
        <w:t xml:space="preserve"> In the context of inscriptions upon homes celebrating the family and household, it is notable that inscribers’ wills manifest similar heightened concerns with family and inheritance.</w:t>
      </w:r>
    </w:p>
    <w:p w14:paraId="53B2DD6F" w14:textId="77777777" w:rsidR="00220A86" w:rsidRDefault="00220A86" w:rsidP="00220A86">
      <w:pPr>
        <w:spacing w:after="0" w:line="480" w:lineRule="auto"/>
        <w:ind w:firstLine="720"/>
        <w:jc w:val="both"/>
      </w:pPr>
      <w:r>
        <w:lastRenderedPageBreak/>
        <w:t xml:space="preserve">Bequeathing practices in Bolton-le-Sands and Prestbury reveal notable differences between the two parishes. Bolton-le-Sands testators were more likely to possess freehold land. Prestbury residents, meanwhile, more often tenanted lands within the estates of wealthy local landowners, subject to complex leasing agreements. The full effect this had upon inscription will be explored in later chapters, but this section has demonstrated that such leasing agreements afforded Prestbury </w:t>
      </w:r>
      <w:proofErr w:type="gramStart"/>
      <w:r>
        <w:t>inhabitants</w:t>
      </w:r>
      <w:proofErr w:type="gramEnd"/>
      <w:r>
        <w:t xml:space="preserve"> fewer freedoms than their Bolton-le-Sands counterparts. These circumstances were also experienced by inscribers. The two areas also diverged significantly in relation to cash bequests. Prestbury testators gifted money more widely than in Bolton-le-Sands, where will-makers bequeathed larger sums within smaller networks. Examining cash bequests also revealed how the priorities of inscribers differed from those in the wider survey, focusing on their immediate families and gifting high sums within even smaller circles than their peers. Building on previous sections, this discussion has once again highlighted issues in using probate materials to measure wealth. </w:t>
      </w:r>
      <w:proofErr w:type="gramStart"/>
      <w:r>
        <w:t>Instead</w:t>
      </w:r>
      <w:proofErr w:type="gramEnd"/>
      <w:r>
        <w:t xml:space="preserve"> it has shown that inscribers exhibited different or more heightened interests in linear inheritance than their peers and that the relationship between wealth and inscription is complex, peppered with other key socio-cultural factors and meanings.</w:t>
      </w:r>
    </w:p>
    <w:p w14:paraId="0FE5D8DF" w14:textId="77777777" w:rsidR="00220A86" w:rsidRDefault="00220A86" w:rsidP="00220A86">
      <w:pPr>
        <w:spacing w:after="0" w:line="480" w:lineRule="auto"/>
        <w:jc w:val="both"/>
      </w:pPr>
    </w:p>
    <w:p w14:paraId="7FBDABEA" w14:textId="77777777" w:rsidR="00220A86" w:rsidRDefault="00220A86" w:rsidP="00220A86">
      <w:pPr>
        <w:spacing w:after="0" w:line="480" w:lineRule="auto"/>
        <w:jc w:val="both"/>
        <w:rPr>
          <w:b/>
          <w:bCs/>
        </w:rPr>
      </w:pPr>
      <w:r>
        <w:rPr>
          <w:b/>
          <w:bCs/>
        </w:rPr>
        <w:t>Conclusion</w:t>
      </w:r>
    </w:p>
    <w:p w14:paraId="2A792619" w14:textId="77777777" w:rsidR="00220A86" w:rsidRDefault="00220A86" w:rsidP="00220A86">
      <w:pPr>
        <w:spacing w:after="0" w:line="480" w:lineRule="auto"/>
        <w:ind w:firstLine="720"/>
        <w:jc w:val="both"/>
      </w:pPr>
      <w:r>
        <w:t xml:space="preserve">In conclusion, this chapter has elucidated two key points. Firstly, it has demonstrated that inscription was not solely determined by wealth. Inscribers in neither community were as wealthy as would be expected if only the most prosperous in early modern society were commissioning inscriptions for the façades of their homes. Instead, probate materials indicate that other factors informed inscription: inscribers were among some of the most highly literate people in their respective localities, showcasing their literacy on their homes and </w:t>
      </w:r>
      <w:r>
        <w:lastRenderedPageBreak/>
        <w:t>appealing to the many cultural significations associated with both literacy and text in contemporary society, and exhibiting a heightened inclination to preserve wealth within their immediate families.</w:t>
      </w:r>
    </w:p>
    <w:p w14:paraId="029E7E54" w14:textId="7E89D0DB" w:rsidR="00282314" w:rsidRDefault="00220A86" w:rsidP="00220A86">
      <w:pPr>
        <w:spacing w:after="0" w:line="480" w:lineRule="auto"/>
        <w:ind w:firstLine="720"/>
        <w:jc w:val="both"/>
      </w:pPr>
      <w:r>
        <w:t>Despite these noteworthy findings, this chapter has also consistently evinced a second key point: that probate materials are limited in what they can tell us about inscription practices and the meanings that householders attached to inscribed text. Rare occasions where inscribers featured in multiple hearth tax returns or where two sets of probate documents provided insights into both inscribing marriage partners several years apart have demonstrated how inadequate wills and inventories are for understanding the complex social practice of inscription, given that they offer a glimpse of only a single moment in inscribers’ lives. This is compounded by the fact that relatively few wills and inventories are available for inscribers in the core sample. Consequently, while tracing the vital insights that these sources can provide into both communities and the position of inscribers within them, this chapter has also underscored the necessity of additional, alternative approaches. Built upon extensive archival research, the following chapter will investigate several instances of inscription in each locality in turn. In examining multiple initialled homes in Bolton-le-Sands and Prestbury alongside the people responsible for inscribing them, it will build on findings discussed in this chapter, developing a richer perspective of inscription and its meanings for people living in early modern England.</w:t>
      </w:r>
    </w:p>
    <w:p w14:paraId="3F7F9064" w14:textId="77777777" w:rsidR="00655E4C" w:rsidRDefault="00655E4C" w:rsidP="00E4140E">
      <w:pPr>
        <w:spacing w:after="0" w:line="240" w:lineRule="auto"/>
        <w:rPr>
          <w:b/>
          <w:bCs/>
          <w:sz w:val="32"/>
          <w:szCs w:val="32"/>
          <w:u w:val="single"/>
        </w:rPr>
        <w:sectPr w:rsidR="00655E4C">
          <w:footnotePr>
            <w:numRestart w:val="eachSect"/>
          </w:footnotePr>
          <w:pgSz w:w="11906" w:h="16838"/>
          <w:pgMar w:top="1440" w:right="1440" w:bottom="1440" w:left="1440" w:header="720" w:footer="720" w:gutter="0"/>
          <w:cols w:space="720"/>
          <w:docGrid w:linePitch="360"/>
        </w:sectPr>
      </w:pPr>
    </w:p>
    <w:p w14:paraId="1F8504A6" w14:textId="75C8C92A" w:rsidR="00302D44" w:rsidRPr="00E4140E" w:rsidRDefault="00302D44" w:rsidP="00655E4C">
      <w:pPr>
        <w:spacing w:after="0" w:line="480" w:lineRule="auto"/>
      </w:pPr>
      <w:r w:rsidRPr="006814B5">
        <w:rPr>
          <w:b/>
          <w:bCs/>
          <w:sz w:val="32"/>
          <w:szCs w:val="32"/>
          <w:u w:val="single"/>
        </w:rPr>
        <w:lastRenderedPageBreak/>
        <w:t xml:space="preserve">Chapter </w:t>
      </w:r>
      <w:r>
        <w:rPr>
          <w:b/>
          <w:bCs/>
          <w:sz w:val="32"/>
          <w:szCs w:val="32"/>
          <w:u w:val="single"/>
        </w:rPr>
        <w:t>Three</w:t>
      </w:r>
      <w:r w:rsidRPr="006814B5">
        <w:rPr>
          <w:b/>
          <w:bCs/>
          <w:sz w:val="32"/>
          <w:szCs w:val="32"/>
          <w:u w:val="single"/>
        </w:rPr>
        <w:t xml:space="preserve">: Household Formation and </w:t>
      </w:r>
      <w:r>
        <w:rPr>
          <w:b/>
          <w:bCs/>
          <w:sz w:val="32"/>
          <w:szCs w:val="32"/>
          <w:u w:val="single"/>
        </w:rPr>
        <w:t>Inscription Practices</w:t>
      </w:r>
      <w:r w:rsidRPr="006814B5">
        <w:rPr>
          <w:b/>
          <w:bCs/>
          <w:sz w:val="32"/>
          <w:szCs w:val="32"/>
          <w:u w:val="single"/>
        </w:rPr>
        <w:t xml:space="preserve"> in </w:t>
      </w:r>
      <w:r>
        <w:rPr>
          <w:b/>
          <w:bCs/>
          <w:sz w:val="32"/>
          <w:szCs w:val="32"/>
          <w:u w:val="single"/>
        </w:rPr>
        <w:t>Bolton-le-Sands</w:t>
      </w:r>
      <w:r w:rsidRPr="006814B5">
        <w:rPr>
          <w:b/>
          <w:bCs/>
          <w:sz w:val="32"/>
          <w:szCs w:val="32"/>
          <w:u w:val="single"/>
        </w:rPr>
        <w:t xml:space="preserve"> and Prestbury</w:t>
      </w:r>
    </w:p>
    <w:p w14:paraId="4D101BDC" w14:textId="77777777" w:rsidR="00302D44" w:rsidRDefault="00302D44" w:rsidP="00655E4C">
      <w:pPr>
        <w:spacing w:after="0" w:line="480" w:lineRule="auto"/>
        <w:rPr>
          <w:b/>
          <w:bCs/>
        </w:rPr>
      </w:pPr>
      <w:r>
        <w:rPr>
          <w:b/>
          <w:bCs/>
        </w:rPr>
        <w:t>Introduction</w:t>
      </w:r>
    </w:p>
    <w:p w14:paraId="7E6DEBA5" w14:textId="1928BDCF" w:rsidR="00EB7701" w:rsidRDefault="000F635C" w:rsidP="00EB7701">
      <w:pPr>
        <w:spacing w:after="0" w:line="480" w:lineRule="auto"/>
        <w:ind w:firstLine="720"/>
        <w:jc w:val="both"/>
      </w:pPr>
      <w:r>
        <w:t xml:space="preserve">Based on </w:t>
      </w:r>
      <w:r w:rsidRPr="000F635C">
        <w:t>inscribed houses in north Lancashire</w:t>
      </w:r>
      <w:r>
        <w:t>,</w:t>
      </w:r>
      <w:r w:rsidRPr="000F635C">
        <w:t xml:space="preserve"> </w:t>
      </w:r>
      <w:r w:rsidR="00EB7701" w:rsidRPr="00E5763B">
        <w:t xml:space="preserve">Emmeline Garnett has </w:t>
      </w:r>
      <w:r w:rsidR="00EB7701">
        <w:t>revisited</w:t>
      </w:r>
      <w:r w:rsidR="00EB7701" w:rsidRPr="00E5763B">
        <w:t xml:space="preserve"> W. G. Hoskins’ concept of the Great Rebuilding</w:t>
      </w:r>
      <w:r w:rsidR="00EB7701">
        <w:t>.</w:t>
      </w:r>
      <w:r w:rsidR="00EB7701" w:rsidRPr="00936A07">
        <w:rPr>
          <w:vertAlign w:val="superscript"/>
        </w:rPr>
        <w:footnoteReference w:id="480"/>
      </w:r>
      <w:r w:rsidR="00EB7701" w:rsidRPr="00936A07">
        <w:t xml:space="preserve"> </w:t>
      </w:r>
      <w:r w:rsidR="00E7753C">
        <w:t xml:space="preserve">Through reference to a wide range of </w:t>
      </w:r>
      <w:r w:rsidR="00F7758C">
        <w:t>written sources,</w:t>
      </w:r>
      <w:r w:rsidR="00EB7701" w:rsidRPr="009C063C">
        <w:t xml:space="preserve"> </w:t>
      </w:r>
      <w:r w:rsidR="00EB7701">
        <w:t xml:space="preserve">Garnett </w:t>
      </w:r>
      <w:r w:rsidR="00EB7701" w:rsidRPr="00E5763B">
        <w:t>exami</w:t>
      </w:r>
      <w:r w:rsidR="00EB7701">
        <w:t>ned</w:t>
      </w:r>
      <w:r w:rsidR="00EB7701" w:rsidRPr="00E5763B">
        <w:t xml:space="preserve"> the timing of middling sort couples making architectural alterations to their homes</w:t>
      </w:r>
      <w:r w:rsidR="00EB7701">
        <w:t xml:space="preserve">. </w:t>
      </w:r>
      <w:r w:rsidR="005C4B7A">
        <w:t>Her primary interest,</w:t>
      </w:r>
      <w:r w:rsidR="00EB7701">
        <w:t xml:space="preserve"> though, </w:t>
      </w:r>
      <w:r w:rsidR="005C4B7A">
        <w:t>was</w:t>
      </w:r>
      <w:r w:rsidR="00EB7701" w:rsidRPr="00E5763B">
        <w:t xml:space="preserve"> the economics and mechanics of rebuilding, </w:t>
      </w:r>
      <w:r w:rsidR="007B2108">
        <w:t>and she used</w:t>
      </w:r>
      <w:r w:rsidR="00EB7701" w:rsidRPr="00E5763B">
        <w:t xml:space="preserve"> </w:t>
      </w:r>
      <w:r w:rsidR="00EB7701">
        <w:t>document</w:t>
      </w:r>
      <w:r w:rsidR="007D1260">
        <w:t>s</w:t>
      </w:r>
      <w:r w:rsidR="00D52746">
        <w:t xml:space="preserve"> particularly</w:t>
      </w:r>
      <w:r w:rsidR="00EB7701" w:rsidRPr="00E5763B">
        <w:t xml:space="preserve"> to trace property transfer and understand the financial circumstances </w:t>
      </w:r>
      <w:r w:rsidR="00EB7701">
        <w:t>of</w:t>
      </w:r>
      <w:r w:rsidR="00EB7701" w:rsidRPr="00E5763B">
        <w:t xml:space="preserve"> those commissioning changes to their homes.</w:t>
      </w:r>
      <w:r w:rsidR="00EB7701">
        <w:t xml:space="preserve"> Also focusing on processes of rebuilding, Adrian Green has speculated on the socio-cultural reasons for inscription</w:t>
      </w:r>
      <w:r w:rsidR="00523C33">
        <w:t>.</w:t>
      </w:r>
      <w:r w:rsidR="000626E6">
        <w:rPr>
          <w:rStyle w:val="FootnoteReference"/>
        </w:rPr>
        <w:footnoteReference w:id="481"/>
      </w:r>
      <w:r w:rsidR="004F1ADB">
        <w:t xml:space="preserve"> He has</w:t>
      </w:r>
      <w:r w:rsidR="00EB7701">
        <w:t xml:space="preserve"> </w:t>
      </w:r>
      <w:r w:rsidR="00697E8C">
        <w:t>hypothesis</w:t>
      </w:r>
      <w:r w:rsidR="004F1ADB">
        <w:t>ed</w:t>
      </w:r>
      <w:r w:rsidR="00EB7701">
        <w:t xml:space="preserve"> that engraved initials and dates</w:t>
      </w:r>
      <w:r w:rsidR="00EB7701" w:rsidRPr="009C063C">
        <w:t xml:space="preserve"> were ‘related to rising rates of literacy’ and were ‘mimetic upon print’, </w:t>
      </w:r>
      <w:r w:rsidR="00EB7701">
        <w:t xml:space="preserve">and </w:t>
      </w:r>
      <w:r w:rsidR="00F62137">
        <w:t xml:space="preserve">has </w:t>
      </w:r>
      <w:r w:rsidR="00EB7701">
        <w:t>argu</w:t>
      </w:r>
      <w:r w:rsidR="004F1ADB">
        <w:t>ed</w:t>
      </w:r>
      <w:r w:rsidR="00EB7701">
        <w:t xml:space="preserve"> that </w:t>
      </w:r>
      <w:r w:rsidR="00EB7701" w:rsidRPr="009C063C">
        <w:t>the peak in the production of marital inscriptions in the late-1600s was intimately connected with declining rates of marriage.</w:t>
      </w:r>
      <w:r w:rsidR="00EB7701" w:rsidRPr="009C063C">
        <w:rPr>
          <w:vertAlign w:val="superscript"/>
        </w:rPr>
        <w:footnoteReference w:id="482"/>
      </w:r>
      <w:r w:rsidR="00EB7701">
        <w:t xml:space="preserve"> </w:t>
      </w:r>
      <w:r w:rsidR="00EB7701" w:rsidRPr="009C063C">
        <w:t>Green has suggested that in an environment where rising standards of living and the expense of establishing an independent household placed marriage beyond reach for many (who therefore opted to remain single) the use of marriage initials on homes served as an outward assertion of the ability to marry and build – or rebuild – a shared marital home.</w:t>
      </w:r>
      <w:r w:rsidR="00EB7701" w:rsidRPr="009C063C">
        <w:rPr>
          <w:vertAlign w:val="superscript"/>
        </w:rPr>
        <w:footnoteReference w:id="483"/>
      </w:r>
    </w:p>
    <w:p w14:paraId="59F61180" w14:textId="77777777" w:rsidR="00EB7701" w:rsidRDefault="00EB7701" w:rsidP="00EB7701">
      <w:pPr>
        <w:spacing w:after="0" w:line="480" w:lineRule="auto"/>
        <w:ind w:firstLine="720"/>
        <w:jc w:val="both"/>
      </w:pPr>
      <w:r>
        <w:lastRenderedPageBreak/>
        <w:t xml:space="preserve">This chapter adopts Garnett’s method as a means of investigating Green’s contention. It uses a micro-historical </w:t>
      </w:r>
      <w:r w:rsidRPr="006D0BBE">
        <w:t xml:space="preserve">approach to understand rebuilding and inscription at </w:t>
      </w:r>
      <w:r>
        <w:t>11</w:t>
      </w:r>
      <w:r w:rsidRPr="006D0BBE">
        <w:t xml:space="preserve"> different properties in Bolton-le-Sands and Prestbury. Rather than focusing on inscription primarily as a means of understanding and dating rebuilding as Garnett </w:t>
      </w:r>
      <w:proofErr w:type="gramStart"/>
      <w:r w:rsidRPr="006D0BBE">
        <w:t>has</w:t>
      </w:r>
      <w:r>
        <w:t>, or</w:t>
      </w:r>
      <w:proofErr w:type="gramEnd"/>
      <w:r>
        <w:t xml:space="preserve"> considering the meaning of inscriptions as an issue secondary to rebuilding as Green has, this chapter identifies and analyses the many different factors influencing the use of inscriptions upon the home. Combining an economic and socio-cultural lens, this chapter considers the financial and life cycle circumstances that contributed to the ability to rebuild while also using documentary sources to explore the different meanings </w:t>
      </w:r>
      <w:r w:rsidRPr="00EC4EC7">
        <w:t>individuals, couples and communities attached to inscriptions.</w:t>
      </w:r>
    </w:p>
    <w:p w14:paraId="1B4D98ED" w14:textId="07D8E4C1" w:rsidR="00302D44" w:rsidRDefault="00302D44" w:rsidP="00C7609D">
      <w:pPr>
        <w:spacing w:after="0" w:line="480" w:lineRule="auto"/>
        <w:ind w:firstLine="720"/>
        <w:jc w:val="both"/>
      </w:pPr>
      <w:r>
        <w:t xml:space="preserve">The following discussion comprises detailed analysis of a </w:t>
      </w:r>
      <w:r w:rsidR="00814380">
        <w:t xml:space="preserve">range </w:t>
      </w:r>
      <w:r>
        <w:t xml:space="preserve">of archival </w:t>
      </w:r>
      <w:r w:rsidR="00F654A9">
        <w:t>sources</w:t>
      </w:r>
      <w:r>
        <w:t xml:space="preserve">. It untangles property transfer and familial relationships associated with each inscribed building to understand the different factors informing inscription and explore common (or divergent) experiences within and between both parishes. The </w:t>
      </w:r>
      <w:r w:rsidR="007B05A1">
        <w:t>11</w:t>
      </w:r>
      <w:r>
        <w:t xml:space="preserve"> case study homes considered here all appear within the core sample of </w:t>
      </w:r>
      <w:r w:rsidR="007B05A1">
        <w:t>20</w:t>
      </w:r>
      <w:r>
        <w:t xml:space="preserve"> inscribed properties discussed in the previous chapter. From among the </w:t>
      </w:r>
      <w:r w:rsidR="007B05A1">
        <w:t>20</w:t>
      </w:r>
      <w:r>
        <w:t xml:space="preserve"> inscribed houses, six have been selected from Bolton-le-Sands and five from Prestbury</w:t>
      </w:r>
      <w:r w:rsidRPr="0050051F">
        <w:t xml:space="preserve"> </w:t>
      </w:r>
      <w:r>
        <w:t>parish.</w:t>
      </w:r>
      <w:r>
        <w:rPr>
          <w:rStyle w:val="FootnoteReference"/>
        </w:rPr>
        <w:footnoteReference w:id="484"/>
      </w:r>
      <w:r>
        <w:t xml:space="preserve"> </w:t>
      </w:r>
      <w:r w:rsidR="001E18D2">
        <w:t xml:space="preserve">Properties have been chosen based on availability of written sources </w:t>
      </w:r>
      <w:r w:rsidR="00C14F44">
        <w:t xml:space="preserve">either before or after inscription, </w:t>
      </w:r>
      <w:r w:rsidR="002C492F">
        <w:t>providing</w:t>
      </w:r>
      <w:r w:rsidR="00C14F44">
        <w:t xml:space="preserve"> an insight into the </w:t>
      </w:r>
      <w:r w:rsidR="00183CBF">
        <w:t xml:space="preserve">social and material circumstances </w:t>
      </w:r>
      <w:r w:rsidR="00C82078">
        <w:t>in which different inscriptions were used</w:t>
      </w:r>
      <w:r w:rsidR="00183CBF">
        <w:t>.</w:t>
      </w:r>
      <w:r w:rsidR="00C82078">
        <w:t xml:space="preserve"> </w:t>
      </w:r>
      <w:r>
        <w:t xml:space="preserve">Investigating each inscribed home in depth, this chapter examines all surviving documents related to the families who rebuilt and inscribed them. Documents consulted include parish registers, marriage licences, wills and inventories wherever available, as well as letters and legal documents involving inscribers, </w:t>
      </w:r>
      <w:r>
        <w:lastRenderedPageBreak/>
        <w:t>land and hearth tax records, indices of officeholders, and school and university admissions. For Prestbury, lease documents in the archive of the Adlington Estate have also proven invaluable in tracing the stories of inscribed properties and their inhabitants.</w:t>
      </w:r>
    </w:p>
    <w:p w14:paraId="462E7DFA" w14:textId="62157294" w:rsidR="00302D44" w:rsidRDefault="00302D44" w:rsidP="00302D44">
      <w:pPr>
        <w:spacing w:after="0" w:line="480" w:lineRule="auto"/>
        <w:ind w:firstLine="720"/>
        <w:jc w:val="both"/>
      </w:pPr>
      <w:r>
        <w:t xml:space="preserve">The chapter </w:t>
      </w:r>
      <w:r w:rsidR="00CB1D16">
        <w:t>is grouped into two sections according to parish</w:t>
      </w:r>
      <w:r>
        <w:t xml:space="preserve"> to elucidate common patterns in each area. Houses within each section are then examined in turn. Properties are mostly ordered by theme rather than by chronology or location, but in Prestbury parish three houses held under copyhold ‘for lives’ tenancies from the Adlington Estate have been grouped for clarity. The first section explores six homes in Bolton-le-Sands. Four exhibit </w:t>
      </w:r>
      <w:r w:rsidRPr="009B4F35">
        <w:t>short gaps between marriage and inscription</w:t>
      </w:r>
      <w:r>
        <w:t xml:space="preserve">, while three were built and inscribed by couples who already had children, </w:t>
      </w:r>
      <w:r w:rsidRPr="000A47AC">
        <w:t xml:space="preserve">confident in their fertility and </w:t>
      </w:r>
      <w:r>
        <w:t>that their property would descend</w:t>
      </w:r>
      <w:r w:rsidRPr="000A47AC">
        <w:t xml:space="preserve"> within their immediate family.</w:t>
      </w:r>
      <w:r>
        <w:t xml:space="preserve"> The last two houses feature marital inscriptions made before any marriage had been formalised in church, </w:t>
      </w:r>
      <w:r w:rsidRPr="00E64E6C">
        <w:t xml:space="preserve">seemingly cementing a commitment to marry between a contracted couple </w:t>
      </w:r>
      <w:r>
        <w:t>in one case and</w:t>
      </w:r>
      <w:r w:rsidRPr="00E64E6C">
        <w:t xml:space="preserve"> used by a single man to advertise his eligibility in another.</w:t>
      </w:r>
      <w:r>
        <w:t xml:space="preserve"> </w:t>
      </w:r>
    </w:p>
    <w:p w14:paraId="00A3C461" w14:textId="77777777" w:rsidR="00302D44" w:rsidRDefault="00302D44" w:rsidP="00302D44">
      <w:pPr>
        <w:spacing w:after="0" w:line="480" w:lineRule="auto"/>
        <w:ind w:firstLine="720"/>
        <w:jc w:val="both"/>
      </w:pPr>
      <w:r>
        <w:t xml:space="preserve">The second section demonstrates how five homes in Prestbury reveal parallel concerns in altogether different contexts. Crucially, differences in tenure emerge as a key factor in the timing of inscription. </w:t>
      </w:r>
      <w:r w:rsidRPr="007B1A1A">
        <w:t xml:space="preserve">The first two properties showcase the </w:t>
      </w:r>
      <w:r>
        <w:t>role</w:t>
      </w:r>
      <w:r w:rsidRPr="007B1A1A">
        <w:t xml:space="preserve"> of inscriptions</w:t>
      </w:r>
      <w:r>
        <w:t xml:space="preserve"> in communicating inheritance within families. Some homes also feature multiple </w:t>
      </w:r>
      <w:r w:rsidRPr="00076B75">
        <w:t>epigraphs on the same façade,</w:t>
      </w:r>
      <w:r>
        <w:t xml:space="preserve"> signalling the continuing significance of inscriptions </w:t>
      </w:r>
      <w:r w:rsidRPr="00CD0F0C">
        <w:t xml:space="preserve">as well as the different meanings attached to them by several generations of the same family. </w:t>
      </w:r>
      <w:r w:rsidRPr="0033396E">
        <w:t>The final three properties – all situated within the historic Adlington Estate –</w:t>
      </w:r>
      <w:r>
        <w:t xml:space="preserve"> </w:t>
      </w:r>
      <w:r w:rsidRPr="00AC65EB">
        <w:t xml:space="preserve">underscore the importance of security of tenure. </w:t>
      </w:r>
      <w:r>
        <w:t>S</w:t>
      </w:r>
      <w:r w:rsidRPr="00A91F90">
        <w:t>ome couples inscrib</w:t>
      </w:r>
      <w:r>
        <w:t>ed</w:t>
      </w:r>
      <w:r w:rsidRPr="00A91F90">
        <w:t xml:space="preserve"> immediately after marriage </w:t>
      </w:r>
      <w:r>
        <w:t>while</w:t>
      </w:r>
      <w:r w:rsidRPr="00A91F90">
        <w:t xml:space="preserve"> others </w:t>
      </w:r>
      <w:r>
        <w:t xml:space="preserve">neither </w:t>
      </w:r>
      <w:r w:rsidRPr="00A91F90">
        <w:t>rebuil</w:t>
      </w:r>
      <w:r>
        <w:t>t</w:t>
      </w:r>
      <w:r w:rsidRPr="00A91F90">
        <w:t xml:space="preserve"> </w:t>
      </w:r>
      <w:r>
        <w:t>nor</w:t>
      </w:r>
      <w:r w:rsidRPr="00A91F90">
        <w:t xml:space="preserve"> personalis</w:t>
      </w:r>
      <w:r>
        <w:t>ed</w:t>
      </w:r>
      <w:r w:rsidRPr="00A91F90">
        <w:t xml:space="preserve"> their properties until they had an heir</w:t>
      </w:r>
      <w:r>
        <w:t>. Consequently,</w:t>
      </w:r>
      <w:r w:rsidRPr="00A91F90">
        <w:t xml:space="preserve"> </w:t>
      </w:r>
      <w:r>
        <w:t xml:space="preserve">the influence of different forms of land ownership on inscriptions is clear, with inscribers </w:t>
      </w:r>
      <w:r>
        <w:lastRenderedPageBreak/>
        <w:t>possessing insecure copyhold tenancies significantly more hesitant to commission expensive architectural changes to their homes.</w:t>
      </w:r>
    </w:p>
    <w:p w14:paraId="25B16793" w14:textId="09402382" w:rsidR="00302D44" w:rsidRDefault="00E34D5A" w:rsidP="00302D44">
      <w:pPr>
        <w:spacing w:after="0" w:line="480" w:lineRule="auto"/>
        <w:ind w:firstLine="720"/>
        <w:jc w:val="both"/>
      </w:pPr>
      <w:r>
        <w:t>More</w:t>
      </w:r>
      <w:r w:rsidR="00302D44">
        <w:t xml:space="preserve"> written sources generally survive for wealthier members of early modern society. Since properties included within this chapter all have some surviving written sources associated with them, </w:t>
      </w:r>
      <w:r w:rsidR="00302D44" w:rsidRPr="005E31EB">
        <w:t>wealthier inscribers may be better represented</w:t>
      </w:r>
      <w:r w:rsidR="00302D44">
        <w:t xml:space="preserve">. Wealth undoubtedly rendered rebuilding and inscription possible, creating an economic threshold above which most inscribers were situated. However, as will be seen, the display of wealth was never the sole meaning of inscriptions added to the outside of homes. Inscription was a layered practice connected with the celebration and establishment of lineage. Inscriptions were </w:t>
      </w:r>
      <w:r w:rsidR="00302D44" w:rsidRPr="00F618F3">
        <w:t>used to assert ownership of properties gained</w:t>
      </w:r>
      <w:r w:rsidR="00302D44">
        <w:t>, purchased</w:t>
      </w:r>
      <w:r w:rsidR="00302D44" w:rsidRPr="00F618F3">
        <w:t xml:space="preserve"> or rebuilt upon marriage</w:t>
      </w:r>
      <w:r w:rsidR="00302D44" w:rsidRPr="009676D5">
        <w:t xml:space="preserve"> </w:t>
      </w:r>
      <w:r w:rsidR="00302D44">
        <w:t>as well as those</w:t>
      </w:r>
      <w:r w:rsidR="00302D44" w:rsidRPr="009676D5">
        <w:t xml:space="preserve"> </w:t>
      </w:r>
      <w:r w:rsidR="00302D44">
        <w:t>inherited later in life</w:t>
      </w:r>
      <w:r w:rsidR="00302D44" w:rsidRPr="00F618F3">
        <w:t>.</w:t>
      </w:r>
      <w:r w:rsidR="00302D44">
        <w:t xml:space="preserve"> Inscriptions could communicate status and were used variously by established families keen to confirm their place within the social hierarchy and by aspirational, </w:t>
      </w:r>
      <w:proofErr w:type="gramStart"/>
      <w:r w:rsidR="00302D44">
        <w:t>upwardly-mobile</w:t>
      </w:r>
      <w:proofErr w:type="gramEnd"/>
      <w:r w:rsidR="00302D44">
        <w:t xml:space="preserve"> couples and individuals attempting to increase their social standing. Importantly, marital inscriptions also implicitly communicated a commitment to family and home. Their role in reinforcing marriage promises and emotional connections, carved in stone as authoritative statements of loyalty, speaks to the diversity of meanings they embodied far beyond wealth alone. </w:t>
      </w:r>
    </w:p>
    <w:p w14:paraId="21DF3DEF" w14:textId="77777777" w:rsidR="00302D44" w:rsidRDefault="00302D44" w:rsidP="00302D44">
      <w:pPr>
        <w:spacing w:after="0" w:line="480" w:lineRule="auto"/>
        <w:jc w:val="both"/>
        <w:rPr>
          <w:b/>
          <w:bCs/>
        </w:rPr>
      </w:pPr>
    </w:p>
    <w:p w14:paraId="0C57BC67" w14:textId="2DD736C5" w:rsidR="00302D44" w:rsidRDefault="006266CB" w:rsidP="00302D44">
      <w:pPr>
        <w:spacing w:after="0" w:line="480" w:lineRule="auto"/>
        <w:jc w:val="both"/>
        <w:rPr>
          <w:b/>
          <w:bCs/>
        </w:rPr>
      </w:pPr>
      <w:r>
        <w:rPr>
          <w:b/>
          <w:bCs/>
        </w:rPr>
        <w:t xml:space="preserve">Case Study Properties in </w:t>
      </w:r>
      <w:r w:rsidR="00302D44">
        <w:rPr>
          <w:b/>
          <w:bCs/>
        </w:rPr>
        <w:t>Bolton-le-Sands Parish</w:t>
      </w:r>
    </w:p>
    <w:p w14:paraId="1CE36A96" w14:textId="420965ED" w:rsidR="00302D44" w:rsidRDefault="00302D44" w:rsidP="00302D44">
      <w:pPr>
        <w:spacing w:after="0" w:line="480" w:lineRule="auto"/>
        <w:jc w:val="both"/>
      </w:pPr>
      <w:r>
        <w:tab/>
        <w:t xml:space="preserve">The following section considers six inscribed houses in Bolton-le-Sands parish. Three </w:t>
      </w:r>
      <w:proofErr w:type="gramStart"/>
      <w:r>
        <w:t>are located in</w:t>
      </w:r>
      <w:proofErr w:type="gramEnd"/>
      <w:r>
        <w:t xml:space="preserve"> Bolton-le-Sands township, within the village itself and in surrounding areas, two are in the township of Over Kellet to the north-east of the parish, and one is within Slyne-with-Hest, at its southern edge. Rather than by location, the houses have been ordered according to theme</w:t>
      </w:r>
      <w:r w:rsidR="00A641AA">
        <w:t>.</w:t>
      </w:r>
      <w:r>
        <w:t xml:space="preserve"> </w:t>
      </w:r>
      <w:r w:rsidR="00A641AA">
        <w:t>T</w:t>
      </w:r>
      <w:r>
        <w:t>he section commences with more straightforward examples</w:t>
      </w:r>
      <w:r w:rsidR="003E09ED">
        <w:t>,</w:t>
      </w:r>
      <w:r>
        <w:t xml:space="preserve"> where </w:t>
      </w:r>
      <w:r>
        <w:lastRenderedPageBreak/>
        <w:t>wealth and social aggrandizement are evident factors in inscription</w:t>
      </w:r>
      <w:r w:rsidR="003E09ED">
        <w:t>.</w:t>
      </w:r>
      <w:r>
        <w:t xml:space="preserve"> </w:t>
      </w:r>
      <w:r w:rsidR="003E09ED">
        <w:t>It then</w:t>
      </w:r>
      <w:r>
        <w:t xml:space="preserve"> moves into more complex case studies where the factors surrounding inscription are more nuanced, including the apparent commemoration of spousals and the commissioning of marriage initials by unmarried inscribers.</w:t>
      </w:r>
    </w:p>
    <w:p w14:paraId="3B6A366E" w14:textId="0B986839" w:rsidR="005874F7" w:rsidRDefault="00302D44" w:rsidP="00302D44">
      <w:pPr>
        <w:spacing w:after="0" w:line="480" w:lineRule="auto"/>
        <w:ind w:firstLine="720"/>
        <w:jc w:val="both"/>
      </w:pPr>
      <w:r>
        <w:t xml:space="preserve">The exact locations of all initialled properties considered in this section can be found in </w:t>
      </w:r>
      <w:r w:rsidR="009F59FE">
        <w:t>Map 4</w:t>
      </w:r>
      <w:r w:rsidR="000E27C9">
        <w:t xml:space="preserve"> </w:t>
      </w:r>
      <w:r w:rsidR="00021795">
        <w:t>(p.</w:t>
      </w:r>
      <w:r w:rsidR="00A06B1E">
        <w:t>311</w:t>
      </w:r>
      <w:r w:rsidR="00021795">
        <w:t>)</w:t>
      </w:r>
      <w:r>
        <w:t>. The first house, Thwaite End Farmhouse, lies within Bolton-le-Sands township, to the north of the village in an area known as Thwaite End</w:t>
      </w:r>
      <w:r w:rsidR="001071AB">
        <w:t xml:space="preserve"> –</w:t>
      </w:r>
      <w:r>
        <w:t xml:space="preserve"> adjacent to a hill known as Thwaite Brow. The second house, known as the ‘Manor House’, </w:t>
      </w:r>
      <w:proofErr w:type="gramStart"/>
      <w:r>
        <w:t>is located in</w:t>
      </w:r>
      <w:proofErr w:type="gramEnd"/>
      <w:r>
        <w:t xml:space="preserve"> the township of Slyne-with-Hest, positioned on the main road connecting the village of Bolton-le-Sands to the north with Lancaster to the south. The third property, Hall Farmhouse, stands on the western edge of Over Kellet village, on the road to Carnforth. End Cottage, the fourth case study, is again within Bolton-le-Sands township, close to the shore in an area known mostly as Bolton Holmes but occasionally referred to as ‘Sandside’. </w:t>
      </w:r>
      <w:proofErr w:type="gramStart"/>
      <w:r>
        <w:t>Also</w:t>
      </w:r>
      <w:proofErr w:type="gramEnd"/>
      <w:r>
        <w:t xml:space="preserve"> within Bolton-le-Sands township, the fifth property – Cobblers’ Lodge – stands nearer to the centre of the village, just 0.2 miles from the parish church by modern roads. The final case study, known now as Old Hall Farmhouse, stands near to the heart of Over Kellet village, close to the crossroads comprising its centre-point. </w:t>
      </w:r>
    </w:p>
    <w:p w14:paraId="5E4FE6F6" w14:textId="6C2ADDA7" w:rsidR="00302D44" w:rsidRDefault="00302D44" w:rsidP="00302D44">
      <w:pPr>
        <w:spacing w:after="0" w:line="480" w:lineRule="auto"/>
        <w:ind w:firstLine="720"/>
        <w:jc w:val="both"/>
      </w:pPr>
      <w:r>
        <w:t>In bringing together disparate documentary traces relating to couples responsible for carved initials, as well as their parents and successive generations wherever available, it is possible to better understand the life cycle circumstances and meanings bound up in remodelling or rebuilding a home and, consequently, inscription.</w:t>
      </w:r>
      <w:r w:rsidR="005874F7">
        <w:t xml:space="preserve"> </w:t>
      </w:r>
      <w:r>
        <w:t>As will be seen, inscription</w:t>
      </w:r>
      <w:r w:rsidR="00DA3CF8">
        <w:t>s</w:t>
      </w:r>
      <w:r>
        <w:t xml:space="preserve"> in Bolton-le-Sands w</w:t>
      </w:r>
      <w:r w:rsidR="00DA3CF8">
        <w:t>ere</w:t>
      </w:r>
      <w:r>
        <w:t xml:space="preserve"> used to confirm partnership. The following examples demonstrate that initials were added to houses by couples secure in their tenure as an affirmation of their union</w:t>
      </w:r>
      <w:r w:rsidR="004E5BFE">
        <w:t>,</w:t>
      </w:r>
      <w:r>
        <w:t xml:space="preserve"> used to cement newly rebuilt properties as homes for themselves and their families. </w:t>
      </w:r>
      <w:r>
        <w:lastRenderedPageBreak/>
        <w:t>Inscriptions were also used to confirm partnership by couples who were not yet married, and the use of incomplete marriage initials by a bachelor yet to marry suggests they could even be used to advertise eligibility. In Bolton-le-Sands, inscriptions on the façades of houses were closely connected to concepts of union and lineage. Wherever they were used they appear to have been as important for couples’ understandings of themselves as for any outward projection of identity, allowing people to personalise and define their joint domestic property.</w:t>
      </w:r>
    </w:p>
    <w:p w14:paraId="3A5C4A60" w14:textId="77777777" w:rsidR="00302D44" w:rsidRDefault="00302D44" w:rsidP="00302D44">
      <w:pPr>
        <w:spacing w:after="0" w:line="480" w:lineRule="auto"/>
        <w:jc w:val="both"/>
      </w:pPr>
    </w:p>
    <w:p w14:paraId="019E2B02" w14:textId="77777777" w:rsidR="00302D44" w:rsidRDefault="00302D44" w:rsidP="00302D44">
      <w:pPr>
        <w:spacing w:after="0" w:line="480" w:lineRule="auto"/>
        <w:jc w:val="both"/>
        <w:rPr>
          <w:i/>
          <w:iCs/>
        </w:rPr>
      </w:pPr>
      <w:r>
        <w:rPr>
          <w:i/>
          <w:iCs/>
        </w:rPr>
        <w:t>Case Study 1: Thwaite End Farmhouse, Bolton-le-Sands</w:t>
      </w:r>
    </w:p>
    <w:p w14:paraId="2BE48EF2" w14:textId="18DE81FA" w:rsidR="00302D44" w:rsidRDefault="00302D44" w:rsidP="00302D44">
      <w:pPr>
        <w:spacing w:after="0" w:line="480" w:lineRule="auto"/>
        <w:jc w:val="both"/>
      </w:pPr>
      <w:r>
        <w:tab/>
        <w:t xml:space="preserve">Briefly discussed in the previous chapter, </w:t>
      </w:r>
      <w:r w:rsidRPr="00201AF9">
        <w:t>Thwaite End Farmhouse in Bolton-le-Sands</w:t>
      </w:r>
      <w:r>
        <w:t xml:space="preserve"> township</w:t>
      </w:r>
      <w:r w:rsidRPr="00201AF9">
        <w:t xml:space="preserve"> was</w:t>
      </w:r>
      <w:r>
        <w:t xml:space="preserve"> inscribed by </w:t>
      </w:r>
      <w:r w:rsidRPr="00EF7E04">
        <w:t>Richard and Isabell Barker</w:t>
      </w:r>
      <w:r>
        <w:t xml:space="preserve">. The initials carved upon the lintel above the main doorway read </w:t>
      </w:r>
      <w:r w:rsidRPr="00EA5B0A">
        <w:t>‘R</w:t>
      </w:r>
      <w:r w:rsidRPr="00EA5B0A">
        <w:rPr>
          <w:vertAlign w:val="superscript"/>
        </w:rPr>
        <w:t>B</w:t>
      </w:r>
      <w:r w:rsidRPr="00EA5B0A">
        <w:t xml:space="preserve">I 1687’ (Figure </w:t>
      </w:r>
      <w:r w:rsidR="00722E9E">
        <w:t>7, p.</w:t>
      </w:r>
      <w:r w:rsidR="00AB4A32">
        <w:t>321</w:t>
      </w:r>
      <w:r w:rsidRPr="00EA5B0A">
        <w:t>)</w:t>
      </w:r>
      <w:r>
        <w:t>. M</w:t>
      </w:r>
      <w:r w:rsidRPr="00F75F3A">
        <w:t>arried in the parish church nearby in June 1685</w:t>
      </w:r>
      <w:r>
        <w:t>, the Barkers were sufficiently wealthy to undertake rebuilding work within two years of their wedding.</w:t>
      </w:r>
      <w:r w:rsidRPr="00F75F3A">
        <w:rPr>
          <w:vertAlign w:val="superscript"/>
        </w:rPr>
        <w:footnoteReference w:id="485"/>
      </w:r>
      <w:r>
        <w:t xml:space="preserve"> As the previous chapter mentioned, Richard died young and intestate with an inventory – like all male inscribers – valued considerably lower than other men of the same social status within his parish. Isabell, however, was assessed with much higher personal wealth upon her death nine years later. The range of sources available suggests that, </w:t>
      </w:r>
      <w:proofErr w:type="gramStart"/>
      <w:r>
        <w:t>in spite of</w:t>
      </w:r>
      <w:proofErr w:type="gramEnd"/>
      <w:r>
        <w:t xml:space="preserve"> Richard’s apparent limited funds, the house was a tool of social aggrandizement, built by a couple whose combined wealth at marriage allowed them to improve the material circumstances inhabited by their family for future generations.</w:t>
      </w:r>
    </w:p>
    <w:p w14:paraId="7A4C9BA0" w14:textId="77777777" w:rsidR="00302D44" w:rsidRDefault="00302D44" w:rsidP="00302D44">
      <w:pPr>
        <w:spacing w:after="0" w:line="480" w:lineRule="auto"/>
        <w:ind w:firstLine="720"/>
        <w:jc w:val="both"/>
      </w:pPr>
      <w:r w:rsidRPr="00C030B7">
        <w:t>The</w:t>
      </w:r>
      <w:r>
        <w:t xml:space="preserve"> Barkers’ marriage entry</w:t>
      </w:r>
      <w:r w:rsidRPr="00C030B7">
        <w:t xml:space="preserve"> describes Richard as ‘of </w:t>
      </w:r>
      <w:proofErr w:type="spellStart"/>
      <w:r w:rsidRPr="00C030B7">
        <w:t>Thwayte</w:t>
      </w:r>
      <w:proofErr w:type="spellEnd"/>
      <w:r w:rsidRPr="00C030B7">
        <w:t xml:space="preserve"> end’</w:t>
      </w:r>
      <w:r>
        <w:t>.</w:t>
      </w:r>
      <w:r>
        <w:rPr>
          <w:rStyle w:val="FootnoteReference"/>
        </w:rPr>
        <w:footnoteReference w:id="486"/>
      </w:r>
      <w:r>
        <w:t xml:space="preserve"> The house itself now carries this name, located near to Thwaite Brow – a hill on the northern edge of Bolton-le-Sands village.</w:t>
      </w:r>
      <w:r w:rsidRPr="00C030B7">
        <w:t xml:space="preserve"> </w:t>
      </w:r>
      <w:r>
        <w:t>The first</w:t>
      </w:r>
      <w:r w:rsidRPr="00C030B7">
        <w:t xml:space="preserve"> </w:t>
      </w:r>
      <w:r>
        <w:t>parish register entry</w:t>
      </w:r>
      <w:r w:rsidRPr="00C030B7">
        <w:t xml:space="preserve"> </w:t>
      </w:r>
      <w:r>
        <w:t xml:space="preserve">using the name belonged to Robert Barker, </w:t>
      </w:r>
      <w:r>
        <w:lastRenderedPageBreak/>
        <w:t xml:space="preserve">described as a resident ‘of </w:t>
      </w:r>
      <w:proofErr w:type="spellStart"/>
      <w:r>
        <w:t>Wheate</w:t>
      </w:r>
      <w:proofErr w:type="spellEnd"/>
      <w:r>
        <w:t xml:space="preserve"> end’ upon his</w:t>
      </w:r>
      <w:r w:rsidRPr="00C030B7">
        <w:t xml:space="preserve"> burial in July 1673.</w:t>
      </w:r>
      <w:r w:rsidRPr="00C636A3">
        <w:rPr>
          <w:vertAlign w:val="superscript"/>
        </w:rPr>
        <w:footnoteReference w:id="487"/>
      </w:r>
      <w:r w:rsidRPr="00C030B7">
        <w:t xml:space="preserve"> </w:t>
      </w:r>
      <w:r>
        <w:t xml:space="preserve">Although no surviving </w:t>
      </w:r>
      <w:r w:rsidRPr="00C030B7">
        <w:t>documents explicitly confirm their relationship</w:t>
      </w:r>
      <w:r>
        <w:t>, Robert was likely Richard’s father,</w:t>
      </w:r>
      <w:r w:rsidRPr="00C030B7">
        <w:t xml:space="preserve"> </w:t>
      </w:r>
      <w:r>
        <w:t>living in a house on the current site at least eight years before</w:t>
      </w:r>
      <w:r w:rsidRPr="00C030B7">
        <w:t xml:space="preserve"> the</w:t>
      </w:r>
      <w:r>
        <w:t xml:space="preserve"> </w:t>
      </w:r>
      <w:r w:rsidRPr="00C030B7">
        <w:t>inscription</w:t>
      </w:r>
      <w:r>
        <w:t xml:space="preserve"> was added</w:t>
      </w:r>
      <w:r w:rsidRPr="00C030B7">
        <w:t xml:space="preserve">. The official list entry </w:t>
      </w:r>
      <w:r>
        <w:t>for Thwaite End notes</w:t>
      </w:r>
      <w:r w:rsidRPr="00C030B7">
        <w:t xml:space="preserve"> a second-storey window with ‘a chamfered surround of C17th type’</w:t>
      </w:r>
      <w:r>
        <w:t>.</w:t>
      </w:r>
      <w:r w:rsidRPr="00C030B7">
        <w:rPr>
          <w:rStyle w:val="FootnoteReference"/>
        </w:rPr>
        <w:footnoteReference w:id="488"/>
      </w:r>
      <w:r>
        <w:t xml:space="preserve"> As is often the case with inscribed buildings, the listing does not </w:t>
      </w:r>
      <w:r w:rsidRPr="00C030B7">
        <w:t xml:space="preserve">attempt to date the </w:t>
      </w:r>
      <w:r>
        <w:t>house</w:t>
      </w:r>
      <w:r w:rsidRPr="00C030B7">
        <w:t xml:space="preserve"> beyond the </w:t>
      </w:r>
      <w:r>
        <w:t>year</w:t>
      </w:r>
      <w:r w:rsidRPr="00C030B7">
        <w:t xml:space="preserve"> carved upon it</w:t>
      </w:r>
      <w:r>
        <w:t>, and although Richard and Isabell undoubtedly undertook some rebuilding work at the property, it is uncertain whether they added the inscribed lintel to a previously-standing building or reconstructed the house.</w:t>
      </w:r>
    </w:p>
    <w:p w14:paraId="67FB39ED" w14:textId="77777777" w:rsidR="00302D44" w:rsidRDefault="00302D44" w:rsidP="00302D44">
      <w:pPr>
        <w:spacing w:after="0" w:line="480" w:lineRule="auto"/>
        <w:ind w:firstLine="720"/>
        <w:jc w:val="both"/>
      </w:pPr>
      <w:r>
        <w:t>Garnett has concluded that Isabell and Richard rebuilt Thwaite End Farmhouse entirely.</w:t>
      </w:r>
      <w:r>
        <w:rPr>
          <w:rStyle w:val="FootnoteReference"/>
        </w:rPr>
        <w:footnoteReference w:id="489"/>
      </w:r>
      <w:r>
        <w:t xml:space="preserve"> Richard’s burial does not appear in the Bolton-le-Sands register, but the inventory taken thereafter signals that he died soon before 6</w:t>
      </w:r>
      <w:r w:rsidRPr="00A14ABF">
        <w:rPr>
          <w:vertAlign w:val="superscript"/>
        </w:rPr>
        <w:t>th</w:t>
      </w:r>
      <w:r>
        <w:t xml:space="preserve"> August 1694.</w:t>
      </w:r>
      <w:r>
        <w:rPr>
          <w:rStyle w:val="FootnoteReference"/>
        </w:rPr>
        <w:footnoteReference w:id="490"/>
      </w:r>
      <w:r>
        <w:rPr>
          <w:rStyle w:val="Heading3Char"/>
          <w:sz w:val="24"/>
          <w:szCs w:val="24"/>
        </w:rPr>
        <w:t xml:space="preserve"> </w:t>
      </w:r>
      <w:r>
        <w:rPr>
          <w:rStyle w:val="Heading3Char"/>
          <w:color w:val="auto"/>
          <w:sz w:val="24"/>
          <w:szCs w:val="24"/>
        </w:rPr>
        <w:t>The inventory includes</w:t>
      </w:r>
      <w:r w:rsidRPr="009707A4">
        <w:rPr>
          <w:rStyle w:val="Heading3Char"/>
          <w:color w:val="auto"/>
          <w:sz w:val="24"/>
          <w:szCs w:val="24"/>
        </w:rPr>
        <w:t xml:space="preserve"> £90 in ‘Debts </w:t>
      </w:r>
      <w:proofErr w:type="spellStart"/>
      <w:r w:rsidRPr="009707A4">
        <w:rPr>
          <w:rStyle w:val="Heading3Char"/>
          <w:color w:val="auto"/>
          <w:sz w:val="24"/>
          <w:szCs w:val="24"/>
        </w:rPr>
        <w:t>owinge</w:t>
      </w:r>
      <w:proofErr w:type="spellEnd"/>
      <w:r w:rsidRPr="009707A4">
        <w:rPr>
          <w:rStyle w:val="Heading3Char"/>
          <w:color w:val="auto"/>
          <w:sz w:val="24"/>
          <w:szCs w:val="24"/>
        </w:rPr>
        <w:t>’ by him,</w:t>
      </w:r>
      <w:r>
        <w:rPr>
          <w:rStyle w:val="Heading3Char"/>
          <w:color w:val="auto"/>
          <w:sz w:val="24"/>
          <w:szCs w:val="24"/>
        </w:rPr>
        <w:t xml:space="preserve"> which </w:t>
      </w:r>
      <w:r w:rsidRPr="009707A4">
        <w:rPr>
          <w:rStyle w:val="Heading3Char"/>
          <w:color w:val="auto"/>
          <w:sz w:val="24"/>
          <w:szCs w:val="24"/>
        </w:rPr>
        <w:t xml:space="preserve">Garnett </w:t>
      </w:r>
      <w:r>
        <w:rPr>
          <w:rStyle w:val="Heading3Char"/>
          <w:color w:val="auto"/>
          <w:sz w:val="24"/>
          <w:szCs w:val="24"/>
        </w:rPr>
        <w:t xml:space="preserve">has </w:t>
      </w:r>
      <w:r w:rsidRPr="009707A4">
        <w:rPr>
          <w:rStyle w:val="Heading3Char"/>
          <w:color w:val="auto"/>
          <w:sz w:val="24"/>
          <w:szCs w:val="24"/>
        </w:rPr>
        <w:t>speculate</w:t>
      </w:r>
      <w:r>
        <w:rPr>
          <w:rStyle w:val="Heading3Char"/>
          <w:color w:val="auto"/>
          <w:sz w:val="24"/>
          <w:szCs w:val="24"/>
        </w:rPr>
        <w:t>d stemmed from</w:t>
      </w:r>
      <w:r w:rsidRPr="009707A4">
        <w:rPr>
          <w:rStyle w:val="Heading3Char"/>
          <w:color w:val="auto"/>
          <w:sz w:val="24"/>
          <w:szCs w:val="24"/>
        </w:rPr>
        <w:t xml:space="preserve"> </w:t>
      </w:r>
      <w:r>
        <w:rPr>
          <w:rStyle w:val="Heading3Char"/>
          <w:color w:val="auto"/>
          <w:sz w:val="24"/>
          <w:szCs w:val="24"/>
        </w:rPr>
        <w:t xml:space="preserve">the </w:t>
      </w:r>
      <w:r w:rsidRPr="009707A4">
        <w:rPr>
          <w:rStyle w:val="Heading3Char"/>
          <w:color w:val="auto"/>
          <w:sz w:val="24"/>
          <w:szCs w:val="24"/>
        </w:rPr>
        <w:t xml:space="preserve">remodelling </w:t>
      </w:r>
      <w:r>
        <w:rPr>
          <w:rStyle w:val="Heading3Char"/>
          <w:color w:val="auto"/>
          <w:sz w:val="24"/>
          <w:szCs w:val="24"/>
        </w:rPr>
        <w:t xml:space="preserve">of </w:t>
      </w:r>
      <w:r w:rsidRPr="009707A4">
        <w:rPr>
          <w:rStyle w:val="Heading3Char"/>
          <w:color w:val="auto"/>
          <w:sz w:val="24"/>
          <w:szCs w:val="24"/>
        </w:rPr>
        <w:t xml:space="preserve">Thwaite End </w:t>
      </w:r>
      <w:r>
        <w:rPr>
          <w:rStyle w:val="Heading3Char"/>
          <w:color w:val="auto"/>
          <w:sz w:val="24"/>
          <w:szCs w:val="24"/>
        </w:rPr>
        <w:t xml:space="preserve">Farmhouse </w:t>
      </w:r>
      <w:r w:rsidRPr="009707A4">
        <w:rPr>
          <w:rStyle w:val="Heading3Char"/>
          <w:color w:val="auto"/>
          <w:sz w:val="24"/>
          <w:szCs w:val="24"/>
        </w:rPr>
        <w:t>some years earlier.</w:t>
      </w:r>
      <w:r w:rsidRPr="00AD4A0F">
        <w:rPr>
          <w:rStyle w:val="FootnoteReference"/>
        </w:rPr>
        <w:footnoteReference w:id="491"/>
      </w:r>
      <w:r w:rsidRPr="009707A4">
        <w:rPr>
          <w:rStyle w:val="Heading3Char"/>
          <w:color w:val="auto"/>
          <w:sz w:val="24"/>
          <w:szCs w:val="24"/>
        </w:rPr>
        <w:t xml:space="preserve"> This is certainly possible</w:t>
      </w:r>
      <w:r>
        <w:rPr>
          <w:rStyle w:val="Heading3Char"/>
          <w:color w:val="auto"/>
          <w:sz w:val="24"/>
          <w:szCs w:val="24"/>
        </w:rPr>
        <w:t>, given that in his study of the account books of Richard Wigglesworth of Conistone in Wharfedale (east of Bolton-le-Sands, in the Yorkshire Dales), Arthur Raistrick estimated that rebuilding a decently-sized farmhouse cost contemporaries between £75 and £100.</w:t>
      </w:r>
      <w:r w:rsidRPr="00AD4A0F">
        <w:rPr>
          <w:rStyle w:val="FootnoteReference"/>
        </w:rPr>
        <w:footnoteReference w:id="492"/>
      </w:r>
      <w:r>
        <w:rPr>
          <w:rStyle w:val="Heading3Char"/>
          <w:color w:val="auto"/>
          <w:sz w:val="24"/>
          <w:szCs w:val="24"/>
        </w:rPr>
        <w:t xml:space="preserve"> Equally, however,</w:t>
      </w:r>
      <w:r w:rsidRPr="009707A4">
        <w:rPr>
          <w:rStyle w:val="Heading3Char"/>
          <w:color w:val="auto"/>
          <w:sz w:val="24"/>
          <w:szCs w:val="24"/>
        </w:rPr>
        <w:t xml:space="preserve"> money</w:t>
      </w:r>
      <w:r>
        <w:rPr>
          <w:rStyle w:val="Heading3Char"/>
          <w:color w:val="auto"/>
          <w:sz w:val="24"/>
          <w:szCs w:val="24"/>
        </w:rPr>
        <w:t>-</w:t>
      </w:r>
      <w:r w:rsidRPr="009707A4">
        <w:rPr>
          <w:rStyle w:val="Heading3Char"/>
          <w:color w:val="auto"/>
          <w:sz w:val="24"/>
          <w:szCs w:val="24"/>
        </w:rPr>
        <w:t xml:space="preserve">lending was commonplace in early modern England and </w:t>
      </w:r>
      <w:r>
        <w:rPr>
          <w:rStyle w:val="Heading3Char"/>
          <w:color w:val="auto"/>
          <w:sz w:val="24"/>
          <w:szCs w:val="24"/>
        </w:rPr>
        <w:t xml:space="preserve">Richard’s </w:t>
      </w:r>
      <w:r w:rsidRPr="009707A4">
        <w:rPr>
          <w:rStyle w:val="Heading3Char"/>
          <w:color w:val="auto"/>
          <w:sz w:val="24"/>
          <w:szCs w:val="24"/>
        </w:rPr>
        <w:t xml:space="preserve">debts </w:t>
      </w:r>
      <w:r>
        <w:rPr>
          <w:rStyle w:val="Heading3Char"/>
          <w:color w:val="auto"/>
          <w:sz w:val="24"/>
          <w:szCs w:val="24"/>
        </w:rPr>
        <w:t>could feasibly be the</w:t>
      </w:r>
      <w:r w:rsidRPr="009707A4">
        <w:rPr>
          <w:rStyle w:val="Heading3Char"/>
          <w:color w:val="auto"/>
          <w:sz w:val="24"/>
          <w:szCs w:val="24"/>
        </w:rPr>
        <w:t xml:space="preserve"> result of </w:t>
      </w:r>
      <w:r>
        <w:rPr>
          <w:rStyle w:val="Heading3Char"/>
          <w:color w:val="auto"/>
          <w:sz w:val="24"/>
          <w:szCs w:val="24"/>
        </w:rPr>
        <w:t>numerous different</w:t>
      </w:r>
      <w:r w:rsidRPr="009707A4">
        <w:rPr>
          <w:rStyle w:val="Heading3Char"/>
          <w:color w:val="auto"/>
          <w:sz w:val="24"/>
          <w:szCs w:val="24"/>
        </w:rPr>
        <w:t xml:space="preserve"> investments.</w:t>
      </w:r>
      <w:r>
        <w:rPr>
          <w:rStyle w:val="Heading3Char"/>
          <w:color w:val="auto"/>
          <w:sz w:val="24"/>
          <w:szCs w:val="24"/>
        </w:rPr>
        <w:t xml:space="preserve"> His inventory also references</w:t>
      </w:r>
      <w:r w:rsidRPr="009707A4">
        <w:rPr>
          <w:rStyle w:val="Heading3Char"/>
          <w:color w:val="auto"/>
          <w:sz w:val="24"/>
          <w:szCs w:val="24"/>
        </w:rPr>
        <w:t xml:space="preserve"> £80 in bills and bonds owed </w:t>
      </w:r>
      <w:r w:rsidRPr="00C5615F">
        <w:rPr>
          <w:rStyle w:val="Heading3Char"/>
          <w:i/>
          <w:iCs/>
          <w:color w:val="auto"/>
          <w:sz w:val="24"/>
          <w:szCs w:val="24"/>
        </w:rPr>
        <w:t>to</w:t>
      </w:r>
      <w:r w:rsidRPr="009707A4">
        <w:rPr>
          <w:rStyle w:val="Heading3Char"/>
          <w:color w:val="auto"/>
          <w:sz w:val="24"/>
          <w:szCs w:val="24"/>
        </w:rPr>
        <w:t xml:space="preserve"> him by others, so while Garnett concludes that </w:t>
      </w:r>
      <w:r>
        <w:rPr>
          <w:rStyle w:val="Heading3Char"/>
          <w:color w:val="auto"/>
          <w:sz w:val="24"/>
          <w:szCs w:val="24"/>
        </w:rPr>
        <w:t>Barker</w:t>
      </w:r>
      <w:r w:rsidRPr="009707A4">
        <w:rPr>
          <w:rStyle w:val="Heading3Char"/>
          <w:color w:val="auto"/>
          <w:sz w:val="24"/>
          <w:szCs w:val="24"/>
        </w:rPr>
        <w:t xml:space="preserve"> ‘[died] young, leaving heavy </w:t>
      </w:r>
      <w:r w:rsidRPr="009707A4">
        <w:rPr>
          <w:rStyle w:val="Heading3Char"/>
          <w:color w:val="auto"/>
          <w:sz w:val="24"/>
          <w:szCs w:val="24"/>
        </w:rPr>
        <w:lastRenderedPageBreak/>
        <w:t xml:space="preserve">debts’, this was by no means an inordinate </w:t>
      </w:r>
      <w:r>
        <w:rPr>
          <w:rStyle w:val="Heading3Char"/>
          <w:color w:val="auto"/>
          <w:sz w:val="24"/>
          <w:szCs w:val="24"/>
        </w:rPr>
        <w:t xml:space="preserve">sum for </w:t>
      </w:r>
      <w:r w:rsidRPr="009707A4">
        <w:rPr>
          <w:rStyle w:val="Heading3Char"/>
          <w:color w:val="auto"/>
          <w:sz w:val="24"/>
          <w:szCs w:val="24"/>
        </w:rPr>
        <w:t>the couple</w:t>
      </w:r>
      <w:r>
        <w:rPr>
          <w:rStyle w:val="Heading3Char"/>
          <w:color w:val="auto"/>
          <w:sz w:val="24"/>
          <w:szCs w:val="24"/>
        </w:rPr>
        <w:t>, who had lent comparable amounts elsewhere.</w:t>
      </w:r>
      <w:r w:rsidRPr="00AD4A0F">
        <w:rPr>
          <w:rStyle w:val="FootnoteReference"/>
        </w:rPr>
        <w:footnoteReference w:id="493"/>
      </w:r>
      <w:r>
        <w:rPr>
          <w:rStyle w:val="Heading3Char"/>
          <w:color w:val="auto"/>
          <w:sz w:val="24"/>
          <w:szCs w:val="24"/>
        </w:rPr>
        <w:t xml:space="preserve"> In the </w:t>
      </w:r>
      <w:r w:rsidRPr="009707A4">
        <w:rPr>
          <w:rStyle w:val="Heading3Char"/>
          <w:color w:val="auto"/>
          <w:sz w:val="24"/>
          <w:szCs w:val="24"/>
        </w:rPr>
        <w:t xml:space="preserve">inventory produced upon Isabell’s death in 1703, </w:t>
      </w:r>
      <w:r>
        <w:rPr>
          <w:rStyle w:val="Heading3Char"/>
          <w:color w:val="auto"/>
          <w:sz w:val="24"/>
          <w:szCs w:val="24"/>
        </w:rPr>
        <w:t>she was owed the</w:t>
      </w:r>
      <w:r w:rsidRPr="009707A4">
        <w:rPr>
          <w:rStyle w:val="Heading3Char"/>
          <w:color w:val="auto"/>
          <w:sz w:val="24"/>
          <w:szCs w:val="24"/>
        </w:rPr>
        <w:t xml:space="preserve"> same </w:t>
      </w:r>
      <w:r>
        <w:rPr>
          <w:rStyle w:val="Heading3Char"/>
          <w:color w:val="auto"/>
          <w:sz w:val="24"/>
          <w:szCs w:val="24"/>
        </w:rPr>
        <w:t>£80 sum</w:t>
      </w:r>
      <w:r w:rsidRPr="009707A4">
        <w:rPr>
          <w:rStyle w:val="Heading3Char"/>
          <w:color w:val="auto"/>
          <w:sz w:val="24"/>
          <w:szCs w:val="24"/>
        </w:rPr>
        <w:t xml:space="preserve"> </w:t>
      </w:r>
      <w:r>
        <w:rPr>
          <w:rStyle w:val="Heading3Char"/>
          <w:color w:val="auto"/>
          <w:sz w:val="24"/>
          <w:szCs w:val="24"/>
        </w:rPr>
        <w:t>as her husband</w:t>
      </w:r>
      <w:r w:rsidRPr="00582EC4">
        <w:rPr>
          <w:rStyle w:val="Heading3Char"/>
          <w:color w:val="auto"/>
          <w:sz w:val="24"/>
          <w:szCs w:val="24"/>
        </w:rPr>
        <w:t xml:space="preserve">, while </w:t>
      </w:r>
      <w:r>
        <w:rPr>
          <w:rStyle w:val="Heading3Char"/>
          <w:color w:val="auto"/>
          <w:sz w:val="24"/>
          <w:szCs w:val="24"/>
        </w:rPr>
        <w:t xml:space="preserve">owing </w:t>
      </w:r>
      <w:r w:rsidRPr="00582EC4">
        <w:rPr>
          <w:rStyle w:val="Heading3Char"/>
          <w:color w:val="auto"/>
          <w:sz w:val="24"/>
          <w:szCs w:val="24"/>
        </w:rPr>
        <w:t>just £26 14s 2d</w:t>
      </w:r>
      <w:r>
        <w:rPr>
          <w:rStyle w:val="Heading3Char"/>
          <w:color w:val="auto"/>
          <w:sz w:val="24"/>
          <w:szCs w:val="24"/>
        </w:rPr>
        <w:t xml:space="preserve"> to others</w:t>
      </w:r>
      <w:r w:rsidRPr="00582EC4">
        <w:rPr>
          <w:rStyle w:val="Heading3Char"/>
          <w:color w:val="auto"/>
          <w:sz w:val="24"/>
          <w:szCs w:val="24"/>
        </w:rPr>
        <w:t xml:space="preserve">, having significantly cleared </w:t>
      </w:r>
      <w:r>
        <w:rPr>
          <w:rStyle w:val="Heading3Char"/>
          <w:color w:val="auto"/>
          <w:sz w:val="24"/>
          <w:szCs w:val="24"/>
        </w:rPr>
        <w:t>Richard’s</w:t>
      </w:r>
      <w:r w:rsidRPr="00582EC4">
        <w:rPr>
          <w:rStyle w:val="Heading3Char"/>
          <w:color w:val="auto"/>
          <w:sz w:val="24"/>
          <w:szCs w:val="24"/>
        </w:rPr>
        <w:t xml:space="preserve"> arrears.</w:t>
      </w:r>
      <w:r w:rsidRPr="00AD4A0F">
        <w:rPr>
          <w:rStyle w:val="FootnoteReference"/>
        </w:rPr>
        <w:footnoteReference w:id="494"/>
      </w:r>
    </w:p>
    <w:p w14:paraId="2BEA37CE" w14:textId="77777777" w:rsidR="00302D44" w:rsidRDefault="00302D44" w:rsidP="00302D44">
      <w:pPr>
        <w:spacing w:after="0" w:line="480" w:lineRule="auto"/>
        <w:ind w:firstLine="720"/>
        <w:jc w:val="both"/>
      </w:pPr>
      <w:r>
        <w:t>Assessed with just over £114, Isabell died possessing reasonable wealth.</w:t>
      </w:r>
      <w:r>
        <w:rPr>
          <w:rStyle w:val="FootnoteReference"/>
        </w:rPr>
        <w:footnoteReference w:id="495"/>
      </w:r>
      <w:r>
        <w:t xml:space="preserve"> </w:t>
      </w:r>
      <w:r w:rsidRPr="00DA5EFA">
        <w:t xml:space="preserve">Significantly higher than her husband’s </w:t>
      </w:r>
      <w:r>
        <w:t xml:space="preserve">assets </w:t>
      </w:r>
      <w:r w:rsidRPr="00DA5EFA">
        <w:t>of £38 10s,</w:t>
      </w:r>
      <w:r>
        <w:t xml:space="preserve"> Isabell had headed a financially successful household since Richard’s death, even while paying off their debts. One possibility is that Richard’s inventory did not reflect the reality of the couple’s shared possessions, perhaps excluding those brought to marriage by his wife.</w:t>
      </w:r>
      <w:r>
        <w:rPr>
          <w:rStyle w:val="FootnoteReference"/>
        </w:rPr>
        <w:footnoteReference w:id="496"/>
      </w:r>
      <w:r>
        <w:t xml:space="preserve"> Examining pairs of probate documents produced upon the death of husbands and later upon the deaths of their widows, Amy Erickson has shown that women consistently brought over 50% of the wealth attributed to their husbands.</w:t>
      </w:r>
      <w:r>
        <w:rPr>
          <w:rStyle w:val="FootnoteReference"/>
        </w:rPr>
        <w:footnoteReference w:id="497"/>
      </w:r>
      <w:r>
        <w:t xml:space="preserve"> Erickson has also shown that women’s wealth more often lay in moveable goods than land and therefore manifested differently in surviving sources, speculating that widows followed their husbands’ appraisers</w:t>
      </w:r>
      <w:r w:rsidRPr="008644C1">
        <w:t xml:space="preserve"> through the house</w:t>
      </w:r>
      <w:r>
        <w:t>, instructing them to exclude the objects they had contributed – requests which in many cases would have been heeded.</w:t>
      </w:r>
      <w:r>
        <w:rPr>
          <w:rStyle w:val="FootnoteReference"/>
        </w:rPr>
        <w:footnoteReference w:id="498"/>
      </w:r>
    </w:p>
    <w:p w14:paraId="536B933B" w14:textId="77777777" w:rsidR="00302D44" w:rsidRDefault="00302D44" w:rsidP="00302D44">
      <w:pPr>
        <w:spacing w:after="0" w:line="480" w:lineRule="auto"/>
        <w:ind w:firstLine="720"/>
        <w:jc w:val="both"/>
      </w:pPr>
      <w:r>
        <w:lastRenderedPageBreak/>
        <w:t>The fact that Isabell’s inventory shows more moveable goods than Richard’s aligns with Erickson’s conclusions, but it is still clear that Isabell had improved the family’s finances after the loss of her husband. B</w:t>
      </w:r>
      <w:r w:rsidRPr="00480DAA">
        <w:t xml:space="preserve">oth </w:t>
      </w:r>
      <w:r>
        <w:t xml:space="preserve">Isabell </w:t>
      </w:r>
      <w:r w:rsidRPr="00480DAA">
        <w:t xml:space="preserve">and Richard’s inventories </w:t>
      </w:r>
      <w:r>
        <w:t>only include</w:t>
      </w:r>
      <w:r w:rsidRPr="00480DAA">
        <w:t xml:space="preserve"> room names</w:t>
      </w:r>
      <w:r>
        <w:t>, making no reference to any itemised</w:t>
      </w:r>
      <w:r w:rsidRPr="00480DAA">
        <w:t xml:space="preserve"> goods</w:t>
      </w:r>
      <w:r>
        <w:t xml:space="preserve">. However, examining goods that </w:t>
      </w:r>
      <w:r>
        <w:rPr>
          <w:i/>
          <w:iCs/>
        </w:rPr>
        <w:t xml:space="preserve">are </w:t>
      </w:r>
      <w:r>
        <w:t>present, Isabell’s stock in sheep had evidently increased from £1 to almost £8; she was in possession of more (or higher quality) horses, valued at £7 rather than £4; and she had maintained the family’s cattle stock.</w:t>
      </w:r>
      <w:r>
        <w:rPr>
          <w:rStyle w:val="FootnoteReference"/>
        </w:rPr>
        <w:footnoteReference w:id="499"/>
      </w:r>
      <w:r>
        <w:t xml:space="preserve"> Some </w:t>
      </w:r>
      <w:r w:rsidRPr="00CE3C3A">
        <w:t xml:space="preserve">clue to the family’s status is also indicated by </w:t>
      </w:r>
      <w:r>
        <w:t>confident signatures at the foot of both Isabell and her eldest son John’s final testaments, signifying their full literacy. Both she and John also applied their own seals to their wills, which Elizabeth Hallam has suggested was associated primarily with higher status testators.</w:t>
      </w:r>
      <w:r>
        <w:rPr>
          <w:rStyle w:val="FootnoteReference"/>
        </w:rPr>
        <w:footnoteReference w:id="500"/>
      </w:r>
      <w:r>
        <w:t xml:space="preserve"> </w:t>
      </w:r>
    </w:p>
    <w:p w14:paraId="60FC1D84" w14:textId="77777777" w:rsidR="00302D44" w:rsidRDefault="00302D44" w:rsidP="00302D44">
      <w:pPr>
        <w:spacing w:after="0" w:line="480" w:lineRule="auto"/>
        <w:ind w:firstLine="720"/>
        <w:jc w:val="both"/>
      </w:pPr>
      <w:r>
        <w:t>John died just thirteen years after his mother, in 1716.</w:t>
      </w:r>
      <w:r>
        <w:rPr>
          <w:rStyle w:val="FootnoteReference"/>
        </w:rPr>
        <w:footnoteReference w:id="501"/>
      </w:r>
      <w:r>
        <w:t xml:space="preserve"> Described as a husbandman like his father, John’s probate documents reveal considerable wealth. Having paid the £60 ‘finale Provision’ stipulated in Isabell’s will to his three younger siblings, John was in full possession of his parents’ estate: he owned eight acres of arable land and meadow (in addition to the lands associated with the main house); he was deriving £12 in rental income; and was in a position to bequeath a substantial £120 to his only daughter – considerably more than the £77 average bequeathed among other married, middling sort men in the area.</w:t>
      </w:r>
      <w:r>
        <w:rPr>
          <w:rStyle w:val="FootnoteReference"/>
        </w:rPr>
        <w:footnoteReference w:id="502"/>
      </w:r>
      <w:r>
        <w:t xml:space="preserve"> John’s eldest son, meanwhile, received the farm at Thwaite End, which John referred to as ‘my mansion house barns stables and all my estate of arable pasture and meadow </w:t>
      </w:r>
      <w:proofErr w:type="spellStart"/>
      <w:r>
        <w:t>grownd</w:t>
      </w:r>
      <w:proofErr w:type="spellEnd"/>
      <w:r>
        <w:t>’.</w:t>
      </w:r>
      <w:r>
        <w:rPr>
          <w:rStyle w:val="FootnoteReference"/>
        </w:rPr>
        <w:footnoteReference w:id="503"/>
      </w:r>
    </w:p>
    <w:p w14:paraId="43053E0D" w14:textId="41487111" w:rsidR="00302D44" w:rsidRDefault="00302D44" w:rsidP="00302D44">
      <w:pPr>
        <w:spacing w:after="0" w:line="480" w:lineRule="auto"/>
        <w:ind w:firstLine="720"/>
        <w:jc w:val="both"/>
      </w:pPr>
      <w:r>
        <w:lastRenderedPageBreak/>
        <w:t xml:space="preserve">In a 1641 translation of John and William </w:t>
      </w:r>
      <w:proofErr w:type="spellStart"/>
      <w:r>
        <w:t>Rastell’s</w:t>
      </w:r>
      <w:proofErr w:type="spellEnd"/>
      <w:r>
        <w:t xml:space="preserve"> legal glossary </w:t>
      </w:r>
      <w:r>
        <w:rPr>
          <w:i/>
          <w:iCs/>
        </w:rPr>
        <w:t xml:space="preserve">Les </w:t>
      </w:r>
      <w:proofErr w:type="spellStart"/>
      <w:r>
        <w:rPr>
          <w:i/>
          <w:iCs/>
        </w:rPr>
        <w:t>termes</w:t>
      </w:r>
      <w:proofErr w:type="spellEnd"/>
      <w:r>
        <w:rPr>
          <w:i/>
          <w:iCs/>
        </w:rPr>
        <w:t xml:space="preserve"> de la ley </w:t>
      </w:r>
      <w:r>
        <w:t>(1527)</w:t>
      </w:r>
      <w:r>
        <w:rPr>
          <w:i/>
          <w:iCs/>
        </w:rPr>
        <w:t xml:space="preserve">, </w:t>
      </w:r>
      <w:r>
        <w:t>‘mansion’ was defined as ‘in our law most commonly taken for the chief messuage … of the Lord of a Mannor’.</w:t>
      </w:r>
      <w:r>
        <w:rPr>
          <w:rStyle w:val="FootnoteReference"/>
        </w:rPr>
        <w:footnoteReference w:id="504"/>
      </w:r>
      <w:r>
        <w:t xml:space="preserve"> That the Barkers laid claim to this high-status term is suggestive of their self-perceptions, bolstered by a personalised, recently-improved property that served as an emblem of their elevated status. The house at Thwaite End provided a means through which the Barkers were able to establish themselves as a couple and family. By the time the lintel was carved in 1687, Richard and Isabell already had two sons and could be reasonably confident that the property would remain within their immediate family. </w:t>
      </w:r>
      <w:r w:rsidR="00F45FB2" w:rsidRPr="00F45FB2">
        <w:t xml:space="preserve">While Isabell’s surname prior to marriage is known, there is no evidence of her family’s wealth nor the value of her marriage portion. </w:t>
      </w:r>
      <w:r w:rsidR="00AC48D5">
        <w:t xml:space="preserve">Nonetheless, the contextual evidence explored here may suggest that there was a connection between inscription and female agency within the marriage and home, perhaps </w:t>
      </w:r>
      <w:r w:rsidR="001B64AA">
        <w:t>aligning with Green’s argument that inscriptions marked houses as the ‘joint enterprise of the couple’.</w:t>
      </w:r>
      <w:r w:rsidR="001B64AA">
        <w:rPr>
          <w:rStyle w:val="FootnoteReference"/>
        </w:rPr>
        <w:footnoteReference w:id="505"/>
      </w:r>
      <w:r w:rsidR="001B64AA">
        <w:t xml:space="preserve"> </w:t>
      </w:r>
      <w:r>
        <w:t>Thwaite End was the home of a socially aspirational family who over the course of the ensuing decades increased their stake in the local area and further improved their social standing. With the addition of their initials, Thwaite End Farmhouse was cemented as a material legacy that would house and provide for the Barkers in coming generations.</w:t>
      </w:r>
    </w:p>
    <w:p w14:paraId="3B2A3E2F" w14:textId="77777777" w:rsidR="00302D44" w:rsidRDefault="00302D44" w:rsidP="00302D44">
      <w:pPr>
        <w:spacing w:after="0" w:line="480" w:lineRule="auto"/>
        <w:jc w:val="both"/>
      </w:pPr>
    </w:p>
    <w:p w14:paraId="5EA05329" w14:textId="77777777" w:rsidR="00302D44" w:rsidRDefault="00302D44" w:rsidP="00302D44">
      <w:pPr>
        <w:spacing w:after="0" w:line="480" w:lineRule="auto"/>
        <w:jc w:val="both"/>
        <w:rPr>
          <w:i/>
          <w:iCs/>
        </w:rPr>
      </w:pPr>
      <w:r>
        <w:rPr>
          <w:i/>
          <w:iCs/>
        </w:rPr>
        <w:t>Case Study 2: The Manor House, Slyne-with-Hest</w:t>
      </w:r>
    </w:p>
    <w:p w14:paraId="47A32DAD" w14:textId="77777777" w:rsidR="00302D44" w:rsidRDefault="00302D44" w:rsidP="00302D44">
      <w:pPr>
        <w:spacing w:after="0" w:line="480" w:lineRule="auto"/>
        <w:ind w:firstLine="720"/>
        <w:jc w:val="both"/>
      </w:pPr>
      <w:r>
        <w:t>Like Thwaite End, t</w:t>
      </w:r>
      <w:r w:rsidRPr="00B44F10">
        <w:t>he initials at the Manor House in Slyne</w:t>
      </w:r>
      <w:r>
        <w:t>-</w:t>
      </w:r>
      <w:r w:rsidRPr="00B44F10">
        <w:t>with</w:t>
      </w:r>
      <w:r>
        <w:t>-</w:t>
      </w:r>
      <w:r w:rsidRPr="00B44F10">
        <w:t xml:space="preserve">Hest </w:t>
      </w:r>
      <w:r>
        <w:t>were likely added soon after marri</w:t>
      </w:r>
      <w:r w:rsidRPr="00B44F10">
        <w:t xml:space="preserve">age. </w:t>
      </w:r>
      <w:r>
        <w:t xml:space="preserve">No wills or inventories survive for either marriage partner </w:t>
      </w:r>
      <w:r>
        <w:lastRenderedPageBreak/>
        <w:t xml:space="preserve">commemorated, but a range of other sources indicate their elevated social standing. The Manor House was built by an </w:t>
      </w:r>
      <w:proofErr w:type="gramStart"/>
      <w:r>
        <w:t>office-holder</w:t>
      </w:r>
      <w:proofErr w:type="gramEnd"/>
      <w:r>
        <w:t xml:space="preserve"> and office-holder’s daughter, and although the exact wealth each party brought to marriage is not known, the initials can be understood as representing the joining of two powerful local families. Taken alongside the many fine architectural elements added at the same time, the assertion of wealth, status and lineage all appear to have been key factors in inscription, producing a suitable home for a family involved in local politics, with high-ranking acquaintances and friends.</w:t>
      </w:r>
    </w:p>
    <w:p w14:paraId="5A1C2142" w14:textId="1B046565" w:rsidR="00302D44" w:rsidRPr="00B44F10" w:rsidRDefault="00302D44" w:rsidP="00302D44">
      <w:pPr>
        <w:spacing w:after="0" w:line="480" w:lineRule="auto"/>
        <w:ind w:firstLine="720"/>
        <w:jc w:val="both"/>
      </w:pPr>
      <w:r>
        <w:t>T</w:t>
      </w:r>
      <w:r w:rsidRPr="00B44F10">
        <w:t>he</w:t>
      </w:r>
      <w:r>
        <w:t xml:space="preserve"> datestone plaque upon the façade of the Manor House is inscribed</w:t>
      </w:r>
      <w:r w:rsidRPr="00B44F10">
        <w:t xml:space="preserve"> ‘C</w:t>
      </w:r>
      <w:r w:rsidRPr="00B44F10">
        <w:rPr>
          <w:vertAlign w:val="superscript"/>
        </w:rPr>
        <w:t>G</w:t>
      </w:r>
      <w:r w:rsidRPr="00B44F10">
        <w:t>M</w:t>
      </w:r>
      <w:r>
        <w:t xml:space="preserve"> 1681</w:t>
      </w:r>
      <w:r w:rsidRPr="00B44F10">
        <w:t>’</w:t>
      </w:r>
      <w:r>
        <w:t>, commemorating</w:t>
      </w:r>
      <w:r w:rsidRPr="00B44F10">
        <w:t xml:space="preserve"> Cornelius and Mary Greene</w:t>
      </w:r>
      <w:r>
        <w:t xml:space="preserve"> (Figure </w:t>
      </w:r>
      <w:r w:rsidR="00316D7A">
        <w:t>8, p.</w:t>
      </w:r>
      <w:r w:rsidR="008369AA">
        <w:t>322</w:t>
      </w:r>
      <w:r>
        <w:t>)</w:t>
      </w:r>
      <w:r w:rsidRPr="00B44F10">
        <w:t>.</w:t>
      </w:r>
      <w:r>
        <w:t xml:space="preserve"> The lintel uses architectural detailing characteristic of doorways throughout north Lancashire and the Yorkshire Dales and </w:t>
      </w:r>
      <w:proofErr w:type="gramStart"/>
      <w:r>
        <w:t>similar to</w:t>
      </w:r>
      <w:proofErr w:type="gramEnd"/>
      <w:r>
        <w:t xml:space="preserve"> that already seen at Thwaite End.</w:t>
      </w:r>
      <w:r>
        <w:rPr>
          <w:rStyle w:val="FootnoteReference"/>
        </w:rPr>
        <w:footnoteReference w:id="506"/>
      </w:r>
      <w:r>
        <w:t xml:space="preserve"> Compared with</w:t>
      </w:r>
      <w:r w:rsidRPr="00F2188A">
        <w:t xml:space="preserve"> Thwaite End,</w:t>
      </w:r>
      <w:r>
        <w:t xml:space="preserve"> however,</w:t>
      </w:r>
      <w:r w:rsidRPr="00F2188A">
        <w:t xml:space="preserve"> the Manor House </w:t>
      </w:r>
      <w:r>
        <w:t>lintel is</w:t>
      </w:r>
      <w:r w:rsidRPr="00F2188A">
        <w:t xml:space="preserve"> more elaborate, featuring multiple layers </w:t>
      </w:r>
      <w:r>
        <w:t xml:space="preserve">of carved </w:t>
      </w:r>
      <w:r w:rsidRPr="00F2188A">
        <w:t>relief</w:t>
      </w:r>
      <w:r>
        <w:t xml:space="preserve"> work. The initials adorn a raised plaque in the centre of an impressive façade characterised by symmetry, a high proportion of large windows, and drip course ornamentation – providing shelter from rain and excessive sunlight (Figure </w:t>
      </w:r>
      <w:r w:rsidR="00316D7A">
        <w:t>9</w:t>
      </w:r>
      <w:r w:rsidR="00B80913">
        <w:t>, p.</w:t>
      </w:r>
      <w:r w:rsidR="008369AA">
        <w:t>323</w:t>
      </w:r>
      <w:r>
        <w:t>). No m</w:t>
      </w:r>
      <w:r w:rsidRPr="00B44F10">
        <w:t xml:space="preserve">arriage records for the couple have been traceable, but </w:t>
      </w:r>
      <w:r>
        <w:t xml:space="preserve">Mary and </w:t>
      </w:r>
      <w:r w:rsidRPr="00B44F10">
        <w:t>Cornelius</w:t>
      </w:r>
      <w:r>
        <w:t>’</w:t>
      </w:r>
      <w:r w:rsidRPr="00B44F10">
        <w:t xml:space="preserve"> eldest son </w:t>
      </w:r>
      <w:r>
        <w:t>was baptised at</w:t>
      </w:r>
      <w:r w:rsidRPr="00B44F10">
        <w:t xml:space="preserve"> </w:t>
      </w:r>
      <w:r>
        <w:t>Bolton-le-Sands</w:t>
      </w:r>
      <w:r w:rsidRPr="00B44F10">
        <w:t xml:space="preserve"> parish church on 28</w:t>
      </w:r>
      <w:r w:rsidRPr="00B44F10">
        <w:rPr>
          <w:vertAlign w:val="superscript"/>
        </w:rPr>
        <w:t>th</w:t>
      </w:r>
      <w:r w:rsidRPr="00B44F10">
        <w:t xml:space="preserve"> July 1681 </w:t>
      </w:r>
      <w:r>
        <w:t>(</w:t>
      </w:r>
      <w:r w:rsidRPr="00B44F10">
        <w:t>the same year commemorated by the datestone</w:t>
      </w:r>
      <w:r>
        <w:t xml:space="preserve">) and it is highly likely </w:t>
      </w:r>
      <w:r w:rsidRPr="00B44F10">
        <w:t>the couple were married</w:t>
      </w:r>
      <w:r>
        <w:t xml:space="preserve"> </w:t>
      </w:r>
      <w:r w:rsidRPr="00B44F10">
        <w:t>by 1680</w:t>
      </w:r>
      <w:r>
        <w:t xml:space="preserve"> at the latest</w:t>
      </w:r>
      <w:r w:rsidRPr="00B44F10">
        <w:t>.</w:t>
      </w:r>
      <w:r w:rsidRPr="00B44F10">
        <w:rPr>
          <w:vertAlign w:val="superscript"/>
        </w:rPr>
        <w:footnoteReference w:id="507"/>
      </w:r>
      <w:r w:rsidRPr="00B44F10">
        <w:t xml:space="preserve"> </w:t>
      </w:r>
      <w:r>
        <w:t>As at Thwaite End, the Manor House inscription appears to</w:t>
      </w:r>
      <w:r w:rsidRPr="00B44F10">
        <w:t xml:space="preserve"> commemorate rebuilding in the years following marriage, cementing the house as an aggrandization of the couple’s shared status and as a legacy for subsequent generations.</w:t>
      </w:r>
      <w:r>
        <w:t xml:space="preserve"> </w:t>
      </w:r>
    </w:p>
    <w:p w14:paraId="0434D1E6" w14:textId="77777777" w:rsidR="00302D44" w:rsidRPr="00B44F10" w:rsidRDefault="00302D44" w:rsidP="00302D44">
      <w:pPr>
        <w:spacing w:after="0" w:line="480" w:lineRule="auto"/>
        <w:ind w:firstLine="720"/>
        <w:jc w:val="both"/>
      </w:pPr>
      <w:r w:rsidRPr="00FB02F3">
        <w:lastRenderedPageBreak/>
        <w:t xml:space="preserve">Mary Greene is identifiable in later wills as the daughter of Thomas Simpson of nearby </w:t>
      </w:r>
      <w:proofErr w:type="spellStart"/>
      <w:r w:rsidRPr="00FB02F3">
        <w:t>Torrisholme</w:t>
      </w:r>
      <w:proofErr w:type="spellEnd"/>
      <w:r>
        <w:t xml:space="preserve"> –</w:t>
      </w:r>
      <w:r w:rsidRPr="00FB02F3">
        <w:t xml:space="preserve"> an attorney who became mayor of Lancaster in 1703.</w:t>
      </w:r>
      <w:r w:rsidRPr="00FB02F3">
        <w:rPr>
          <w:vertAlign w:val="superscript"/>
        </w:rPr>
        <w:footnoteReference w:id="508"/>
      </w:r>
      <w:r w:rsidRPr="00FB02F3">
        <w:t xml:space="preserve"> </w:t>
      </w:r>
      <w:r>
        <w:t>As for Cornelius’ family, t</w:t>
      </w:r>
      <w:r w:rsidRPr="00B44F10">
        <w:t>he Victoria County History states that the ‘Greenes are said to have had land in Slyne from the time of James I’.</w:t>
      </w:r>
      <w:r w:rsidRPr="00B44F10">
        <w:rPr>
          <w:vertAlign w:val="superscript"/>
        </w:rPr>
        <w:footnoteReference w:id="509"/>
      </w:r>
      <w:r w:rsidRPr="00B44F10">
        <w:t xml:space="preserve"> Garnett date</w:t>
      </w:r>
      <w:r>
        <w:t xml:space="preserve">s their emergence </w:t>
      </w:r>
      <w:r w:rsidRPr="00B44F10">
        <w:t xml:space="preserve">somewhat earlier, </w:t>
      </w:r>
      <w:r>
        <w:t>arguing that they w</w:t>
      </w:r>
      <w:r w:rsidRPr="00B44F10">
        <w:t>ere established in Slyne by 1543</w:t>
      </w:r>
      <w:r>
        <w:t xml:space="preserve"> but, in either case,</w:t>
      </w:r>
      <w:r w:rsidRPr="00B44F10">
        <w:t xml:space="preserve"> </w:t>
      </w:r>
      <w:r>
        <w:t>t</w:t>
      </w:r>
      <w:r w:rsidRPr="00B44F10">
        <w:t>he site occupied by the Manor House</w:t>
      </w:r>
      <w:r>
        <w:t xml:space="preserve"> likely came to the couple</w:t>
      </w:r>
      <w:r w:rsidRPr="00B44F10">
        <w:t xml:space="preserve"> </w:t>
      </w:r>
      <w:r>
        <w:t>via</w:t>
      </w:r>
      <w:r w:rsidRPr="00B44F10">
        <w:t xml:space="preserve"> Cornelius.</w:t>
      </w:r>
      <w:r w:rsidRPr="00110E57">
        <w:rPr>
          <w:vertAlign w:val="superscript"/>
        </w:rPr>
        <w:footnoteReference w:id="510"/>
      </w:r>
      <w:r>
        <w:t xml:space="preserve"> The baptism record for the Greenes’ </w:t>
      </w:r>
      <w:r w:rsidRPr="00B44F10">
        <w:t xml:space="preserve">first child, Thomas, </w:t>
      </w:r>
      <w:r>
        <w:t xml:space="preserve">describes </w:t>
      </w:r>
      <w:r w:rsidRPr="00B44F10">
        <w:t>Cornelius as a gentleman</w:t>
      </w:r>
      <w:r>
        <w:t>.</w:t>
      </w:r>
      <w:r w:rsidRPr="00B44F10">
        <w:rPr>
          <w:vertAlign w:val="superscript"/>
        </w:rPr>
        <w:footnoteReference w:id="511"/>
      </w:r>
      <w:r w:rsidRPr="00B44F10">
        <w:t xml:space="preserve"> </w:t>
      </w:r>
      <w:r>
        <w:t>He appears with the same title in th</w:t>
      </w:r>
      <w:r w:rsidRPr="00B44F10">
        <w:t>ree sacrament certificates</w:t>
      </w:r>
      <w:r>
        <w:t xml:space="preserve"> </w:t>
      </w:r>
      <w:r w:rsidRPr="00B44F10">
        <w:t>c</w:t>
      </w:r>
      <w:r>
        <w:t>onfirming</w:t>
      </w:r>
      <w:r w:rsidRPr="00B44F10">
        <w:t xml:space="preserve"> that ‘Cornelius Greene gent.’ received the sacrament in </w:t>
      </w:r>
      <w:r>
        <w:t>Bolton-le-Sands</w:t>
      </w:r>
      <w:r w:rsidRPr="00B44F10">
        <w:t xml:space="preserve"> parish church </w:t>
      </w:r>
      <w:r>
        <w:t>twice in</w:t>
      </w:r>
      <w:r w:rsidRPr="00B44F10">
        <w:t xml:space="preserve"> 1680 and again on 2</w:t>
      </w:r>
      <w:r w:rsidRPr="00B44F10">
        <w:rPr>
          <w:vertAlign w:val="superscript"/>
        </w:rPr>
        <w:t>nd</w:t>
      </w:r>
      <w:r w:rsidRPr="00B44F10">
        <w:t xml:space="preserve"> January 1686.</w:t>
      </w:r>
      <w:r w:rsidRPr="00B44F10">
        <w:rPr>
          <w:vertAlign w:val="superscript"/>
        </w:rPr>
        <w:footnoteReference w:id="512"/>
      </w:r>
      <w:r w:rsidRPr="00B44F10">
        <w:t xml:space="preserve"> </w:t>
      </w:r>
      <w:r>
        <w:t>S</w:t>
      </w:r>
      <w:r w:rsidRPr="00B44F10">
        <w:t xml:space="preserve">eeking to exclude Nonconformists, the first Test Act of 1673 required that all office holders take the Anglican sacrament </w:t>
      </w:r>
      <w:r>
        <w:t>(</w:t>
      </w:r>
      <w:r w:rsidRPr="00B44F10">
        <w:t>and denounce Catholic transubstantiation</w:t>
      </w:r>
      <w:r>
        <w:t>)</w:t>
      </w:r>
      <w:r w:rsidRPr="00B44F10">
        <w:t xml:space="preserve"> within three months of </w:t>
      </w:r>
      <w:r>
        <w:t>succeeding to a</w:t>
      </w:r>
      <w:r w:rsidRPr="00B44F10">
        <w:t xml:space="preserve"> post.</w:t>
      </w:r>
      <w:r w:rsidRPr="00B44F10">
        <w:rPr>
          <w:vertAlign w:val="superscript"/>
        </w:rPr>
        <w:footnoteReference w:id="513"/>
      </w:r>
      <w:r>
        <w:t xml:space="preserve"> </w:t>
      </w:r>
      <w:r w:rsidRPr="00B44F10">
        <w:t>Although none of the</w:t>
      </w:r>
      <w:r>
        <w:t xml:space="preserve"> </w:t>
      </w:r>
      <w:r w:rsidRPr="00B44F10">
        <w:t xml:space="preserve">certificates describe </w:t>
      </w:r>
      <w:r>
        <w:t>Cornelius</w:t>
      </w:r>
      <w:r w:rsidRPr="00B44F10">
        <w:t>’ post</w:t>
      </w:r>
      <w:r>
        <w:t xml:space="preserve"> explicitly</w:t>
      </w:r>
      <w:r w:rsidRPr="00B44F10">
        <w:t xml:space="preserve">, </w:t>
      </w:r>
      <w:r>
        <w:t>he</w:t>
      </w:r>
      <w:r w:rsidRPr="00B44F10">
        <w:t xml:space="preserve"> </w:t>
      </w:r>
      <w:r>
        <w:t>wa</w:t>
      </w:r>
      <w:r w:rsidRPr="00B44F10">
        <w:t xml:space="preserve">s </w:t>
      </w:r>
      <w:r>
        <w:t xml:space="preserve">evidently </w:t>
      </w:r>
      <w:r w:rsidRPr="00B44F10">
        <w:t>assum</w:t>
      </w:r>
      <w:r>
        <w:t>ing</w:t>
      </w:r>
      <w:r w:rsidRPr="00B44F10">
        <w:t xml:space="preserve"> civic office at this time</w:t>
      </w:r>
      <w:r>
        <w:t xml:space="preserve"> and </w:t>
      </w:r>
      <w:r w:rsidRPr="00B44F10">
        <w:t xml:space="preserve">is listed among the freemen of the </w:t>
      </w:r>
      <w:r>
        <w:t>B</w:t>
      </w:r>
      <w:r w:rsidRPr="00B44F10">
        <w:t>orough of Lancaster.</w:t>
      </w:r>
      <w:r w:rsidRPr="00B44F10">
        <w:rPr>
          <w:vertAlign w:val="superscript"/>
        </w:rPr>
        <w:footnoteReference w:id="514"/>
      </w:r>
      <w:r w:rsidRPr="00B44F10">
        <w:t xml:space="preserve"> The provenance of an additional court summons dated Easter 1692 is unclear, but again shows ‘Cornelius Greene gent.’ being called to the Lancaster Quarter Sessions</w:t>
      </w:r>
      <w:r>
        <w:t>.</w:t>
      </w:r>
      <w:r>
        <w:rPr>
          <w:rStyle w:val="FootnoteReference"/>
        </w:rPr>
        <w:footnoteReference w:id="515"/>
      </w:r>
      <w:r>
        <w:t xml:space="preserve"> Keith Wrightson has emphasised that the qualifications for rank below ‘knight’ </w:t>
      </w:r>
      <w:r>
        <w:lastRenderedPageBreak/>
        <w:t>were never rigorously maintained.</w:t>
      </w:r>
      <w:r>
        <w:rPr>
          <w:rStyle w:val="FootnoteReference"/>
        </w:rPr>
        <w:footnoteReference w:id="516"/>
      </w:r>
      <w:r>
        <w:t xml:space="preserve"> This meant that ‘gentleman’ was a surprisingly flexible – sometimes self-proclaimed – term, with some claims to gentility occasionally being rejected during</w:t>
      </w:r>
      <w:r w:rsidRPr="00641EBE">
        <w:t xml:space="preserve"> rare visitations</w:t>
      </w:r>
      <w:r>
        <w:t xml:space="preserve"> from the </w:t>
      </w:r>
      <w:r w:rsidRPr="00641EBE">
        <w:t>College of Heralds</w:t>
      </w:r>
      <w:r>
        <w:t>.</w:t>
      </w:r>
      <w:r>
        <w:rPr>
          <w:rStyle w:val="FootnoteReference"/>
        </w:rPr>
        <w:footnoteReference w:id="517"/>
      </w:r>
      <w:r>
        <w:t xml:space="preserve"> Acknowledged as a gentleman in legal documents rather than simply self-identifying as such, it is likely that Greene’s claims were secure.</w:t>
      </w:r>
    </w:p>
    <w:p w14:paraId="79650DC3" w14:textId="77777777" w:rsidR="00302D44" w:rsidRPr="00485F67" w:rsidRDefault="00302D44" w:rsidP="00302D44">
      <w:pPr>
        <w:spacing w:after="0" w:line="480" w:lineRule="auto"/>
        <w:ind w:firstLine="720"/>
        <w:jc w:val="both"/>
        <w:rPr>
          <w:vertAlign w:val="superscript"/>
        </w:rPr>
      </w:pPr>
      <w:r w:rsidRPr="00485F67">
        <w:t xml:space="preserve">Though neither Cornelius nor Mary made a will, letters reveal that Thomas, their eldest son, inherited the </w:t>
      </w:r>
      <w:r>
        <w:t>Manor H</w:t>
      </w:r>
      <w:r w:rsidRPr="00485F67">
        <w:t>ouse upon Cornelius’ death in 1712.</w:t>
      </w:r>
      <w:r w:rsidRPr="00485F67">
        <w:rPr>
          <w:vertAlign w:val="superscript"/>
        </w:rPr>
        <w:footnoteReference w:id="518"/>
      </w:r>
      <w:r w:rsidRPr="00485F67">
        <w:t xml:space="preserve"> The will of Thomas’ widow references ‘all my law books’, and Garnett has speculated that both Thomas and </w:t>
      </w:r>
      <w:r>
        <w:t>his father</w:t>
      </w:r>
      <w:r w:rsidRPr="00485F67">
        <w:t xml:space="preserve"> </w:t>
      </w:r>
      <w:r>
        <w:t>pursue</w:t>
      </w:r>
      <w:r w:rsidRPr="00485F67">
        <w:t>d legal careers.</w:t>
      </w:r>
      <w:r w:rsidRPr="00485F67">
        <w:rPr>
          <w:vertAlign w:val="superscript"/>
        </w:rPr>
        <w:footnoteReference w:id="519"/>
      </w:r>
      <w:r w:rsidRPr="00485F67">
        <w:t xml:space="preserve"> The family’s connections and status can also be further inferred from letters, even though none written by Cornelius or Mary themselves survive. Four letters </w:t>
      </w:r>
      <w:r>
        <w:t>reveal that</w:t>
      </w:r>
      <w:r w:rsidRPr="00485F67">
        <w:t xml:space="preserve"> Cornelius and Thomas</w:t>
      </w:r>
      <w:r>
        <w:t xml:space="preserve"> </w:t>
      </w:r>
      <w:r w:rsidRPr="00485F67">
        <w:t>ma</w:t>
      </w:r>
      <w:r>
        <w:t xml:space="preserve">de </w:t>
      </w:r>
      <w:r w:rsidRPr="00485F67">
        <w:t xml:space="preserve">consistent attempts to settle two of the younger Greene </w:t>
      </w:r>
      <w:r>
        <w:t>sons</w:t>
      </w:r>
      <w:r w:rsidRPr="00485F67">
        <w:t xml:space="preserve">, William and Richard, in business in London. Written by William to his father, the letters </w:t>
      </w:r>
      <w:r>
        <w:t>are</w:t>
      </w:r>
      <w:r w:rsidRPr="00485F67">
        <w:t xml:space="preserve"> a glimpse </w:t>
      </w:r>
      <w:r>
        <w:t xml:space="preserve">into </w:t>
      </w:r>
      <w:r w:rsidRPr="00485F67">
        <w:t>a longer exchange, showing Cornelius providing money and recommendations to support his son</w:t>
      </w:r>
      <w:r>
        <w:t>’s</w:t>
      </w:r>
      <w:r w:rsidRPr="00485F67">
        <w:t xml:space="preserve"> endeavours.</w:t>
      </w:r>
      <w:r w:rsidRPr="00485F67">
        <w:rPr>
          <w:vertAlign w:val="superscript"/>
        </w:rPr>
        <w:footnoteReference w:id="520"/>
      </w:r>
      <w:r w:rsidRPr="00485F67">
        <w:t xml:space="preserve"> William describes interactions with high-ranking businessmen in town: through his father he was in contact with the MP for Lancaster, Robert Heysham; Daniel Wilson, MP for Westmoreland and Sherriff of Lancashire; a ‘Mr. Bradyll Merch.’ (seemingly John </w:t>
      </w:r>
      <w:proofErr w:type="spellStart"/>
      <w:r w:rsidRPr="00485F67">
        <w:t>Braddyll</w:t>
      </w:r>
      <w:proofErr w:type="spellEnd"/>
      <w:r w:rsidRPr="00485F67">
        <w:t>, a merchant with the East India Company); and wealthy Liverpool merchant Sir Thomas Johnson.</w:t>
      </w:r>
      <w:r w:rsidRPr="00485F67">
        <w:rPr>
          <w:vertAlign w:val="superscript"/>
        </w:rPr>
        <w:footnoteReference w:id="521"/>
      </w:r>
      <w:r w:rsidRPr="00485F67">
        <w:rPr>
          <w:vertAlign w:val="superscript"/>
        </w:rPr>
        <w:t xml:space="preserve"> </w:t>
      </w:r>
    </w:p>
    <w:p w14:paraId="34CDEE4C" w14:textId="77777777" w:rsidR="00302D44" w:rsidRDefault="00302D44" w:rsidP="00302D44">
      <w:pPr>
        <w:spacing w:after="0" w:line="480" w:lineRule="auto"/>
        <w:ind w:firstLine="720"/>
        <w:jc w:val="both"/>
      </w:pPr>
      <w:r w:rsidRPr="00485F67">
        <w:lastRenderedPageBreak/>
        <w:t xml:space="preserve">William’s contacts all hailed from the north-west, and he was visibly striving to develop his father’s existing networks to his own advantage. It was not uncommon for younger sons of the gentry and aristocracy to pursue a living through trade, but Cornelius </w:t>
      </w:r>
      <w:r>
        <w:t>was</w:t>
      </w:r>
      <w:r w:rsidRPr="00485F67">
        <w:t xml:space="preserve"> </w:t>
      </w:r>
      <w:r>
        <w:t xml:space="preserve">unable to </w:t>
      </w:r>
      <w:r w:rsidRPr="00485F67">
        <w:t>guarantee his son</w:t>
      </w:r>
      <w:r>
        <w:t>’</w:t>
      </w:r>
      <w:r w:rsidRPr="00485F67">
        <w:t>s success</w:t>
      </w:r>
      <w:r>
        <w:t>es</w:t>
      </w:r>
      <w:r w:rsidRPr="00485F67">
        <w:t xml:space="preserve"> and William’s attempts were repeatedly frustrated.</w:t>
      </w:r>
      <w:r w:rsidRPr="00485F67">
        <w:rPr>
          <w:vertAlign w:val="superscript"/>
        </w:rPr>
        <w:footnoteReference w:id="522"/>
      </w:r>
      <w:r w:rsidRPr="00485F67">
        <w:t xml:space="preserve"> </w:t>
      </w:r>
      <w:r>
        <w:t xml:space="preserve">In another letter to his father, William describes asking Heysham to recommend him for a position worth £50 a year but </w:t>
      </w:r>
      <w:r w:rsidRPr="004137CD">
        <w:t xml:space="preserve">laments </w:t>
      </w:r>
      <w:r>
        <w:t>losing out to</w:t>
      </w:r>
      <w:r w:rsidRPr="004137CD">
        <w:t xml:space="preserve"> another man</w:t>
      </w:r>
      <w:r w:rsidRPr="0074707B">
        <w:t xml:space="preserve"> </w:t>
      </w:r>
      <w:r>
        <w:t xml:space="preserve">with better </w:t>
      </w:r>
      <w:r w:rsidRPr="0074707B">
        <w:t>contacts</w:t>
      </w:r>
      <w:r>
        <w:t xml:space="preserve"> capable of </w:t>
      </w:r>
      <w:r w:rsidRPr="004137CD">
        <w:t>recommend</w:t>
      </w:r>
      <w:r>
        <w:t xml:space="preserve">ing him </w:t>
      </w:r>
      <w:r w:rsidRPr="004137CD">
        <w:t>directly to the Lord Treasurer.</w:t>
      </w:r>
      <w:r>
        <w:rPr>
          <w:rStyle w:val="FootnoteReference"/>
        </w:rPr>
        <w:footnoteReference w:id="523"/>
      </w:r>
      <w:r>
        <w:t xml:space="preserve"> Despite Cornelius clearly having connections in London, his status and the strength of his ties fell short when seeking a smooth path to business for his sons. </w:t>
      </w:r>
      <w:r w:rsidRPr="00485F67">
        <w:t xml:space="preserve">As Wrightson has </w:t>
      </w:r>
      <w:r>
        <w:t>demonstrated</w:t>
      </w:r>
      <w:r w:rsidRPr="00485F67">
        <w:t xml:space="preserve">, while the sons of the gentry </w:t>
      </w:r>
      <w:r>
        <w:t>dominated</w:t>
      </w:r>
      <w:r w:rsidRPr="00485F67">
        <w:t xml:space="preserve"> </w:t>
      </w:r>
      <w:r>
        <w:t>within</w:t>
      </w:r>
      <w:r w:rsidRPr="00485F67">
        <w:t xml:space="preserve"> mercantile </w:t>
      </w:r>
      <w:r>
        <w:t>circles</w:t>
      </w:r>
      <w:r w:rsidRPr="00485F67">
        <w:t>, the</w:t>
      </w:r>
      <w:r>
        <w:t>ir success was not always certain</w:t>
      </w:r>
      <w:r w:rsidRPr="00485F67">
        <w:t>, and some were overtaken by others of lower social origins.</w:t>
      </w:r>
      <w:r w:rsidRPr="00485F67">
        <w:rPr>
          <w:vertAlign w:val="superscript"/>
        </w:rPr>
        <w:footnoteReference w:id="524"/>
      </w:r>
    </w:p>
    <w:p w14:paraId="5B3BA835" w14:textId="77777777" w:rsidR="00302D44" w:rsidRDefault="00302D44" w:rsidP="00302D44">
      <w:pPr>
        <w:spacing w:after="0" w:line="480" w:lineRule="auto"/>
        <w:ind w:firstLine="720"/>
        <w:jc w:val="both"/>
      </w:pPr>
      <w:r>
        <w:t xml:space="preserve">Cornelius’ anxieties for his sons are palpable in their own writing. </w:t>
      </w:r>
      <w:r w:rsidRPr="00485F67">
        <w:t xml:space="preserve">The pressures of success evidently loomed large for William, whose letters are overrun with fears of disappointing his father, consistently afraid of being taxed with ‘Carelessness and Negligence’ in the face of </w:t>
      </w:r>
      <w:r>
        <w:t>numerous</w:t>
      </w:r>
      <w:r w:rsidRPr="00485F67">
        <w:t xml:space="preserve"> setbacks.</w:t>
      </w:r>
      <w:r w:rsidRPr="00485F67">
        <w:rPr>
          <w:vertAlign w:val="superscript"/>
        </w:rPr>
        <w:footnoteReference w:id="525"/>
      </w:r>
      <w:r w:rsidRPr="00485F67">
        <w:t xml:space="preserve"> The same </w:t>
      </w:r>
      <w:r>
        <w:t>apprehensions</w:t>
      </w:r>
      <w:r w:rsidRPr="00485F67">
        <w:t xml:space="preserve"> </w:t>
      </w:r>
      <w:r>
        <w:t>litter</w:t>
      </w:r>
      <w:r w:rsidRPr="00485F67">
        <w:t xml:space="preserve"> his brother Richard’s writing</w:t>
      </w:r>
      <w:r>
        <w:t>s</w:t>
      </w:r>
      <w:r w:rsidRPr="00485F67">
        <w:t xml:space="preserve">, </w:t>
      </w:r>
      <w:r>
        <w:t xml:space="preserve">too, </w:t>
      </w:r>
      <w:r w:rsidRPr="00485F67">
        <w:t>even after</w:t>
      </w:r>
      <w:r>
        <w:t xml:space="preserve"> Cornelius’ death</w:t>
      </w:r>
      <w:r w:rsidRPr="00485F67">
        <w:t>.</w:t>
      </w:r>
      <w:r w:rsidRPr="00485F67">
        <w:rPr>
          <w:vertAlign w:val="superscript"/>
        </w:rPr>
        <w:footnoteReference w:id="526"/>
      </w:r>
      <w:r w:rsidRPr="00485F67">
        <w:t xml:space="preserve"> </w:t>
      </w:r>
      <w:r>
        <w:t>Richard wrote a</w:t>
      </w:r>
      <w:r w:rsidRPr="00485F67">
        <w:t xml:space="preserve"> letter to Thomas </w:t>
      </w:r>
      <w:r>
        <w:t>in 1721 (after Thomas had inherited</w:t>
      </w:r>
      <w:r w:rsidRPr="00485F67">
        <w:t xml:space="preserve"> the Manor House</w:t>
      </w:r>
      <w:r>
        <w:t>)</w:t>
      </w:r>
      <w:r w:rsidRPr="00485F67">
        <w:t xml:space="preserve"> from ‘William’s Fort, Whydah’ – an English </w:t>
      </w:r>
      <w:r>
        <w:t xml:space="preserve">trading </w:t>
      </w:r>
      <w:r>
        <w:lastRenderedPageBreak/>
        <w:t>post</w:t>
      </w:r>
      <w:r w:rsidRPr="00485F67">
        <w:t xml:space="preserve"> in present-day Ouidah, Benin, constructed with the sole purpose of trading in enslaved people.</w:t>
      </w:r>
      <w:r w:rsidRPr="00485F67">
        <w:rPr>
          <w:vertAlign w:val="superscript"/>
        </w:rPr>
        <w:footnoteReference w:id="527"/>
      </w:r>
      <w:r w:rsidRPr="00485F67">
        <w:t xml:space="preserve"> Within </w:t>
      </w:r>
      <w:r>
        <w:t>the letter</w:t>
      </w:r>
      <w:r w:rsidRPr="00485F67">
        <w:t>, Richard lamented, ‘This is the worst Service I could have fallen into, but I must take my fortune’.</w:t>
      </w:r>
      <w:r w:rsidRPr="00485F67">
        <w:rPr>
          <w:vertAlign w:val="superscript"/>
        </w:rPr>
        <w:footnoteReference w:id="528"/>
      </w:r>
      <w:r>
        <w:t xml:space="preserve"> </w:t>
      </w:r>
      <w:r w:rsidRPr="00485F67">
        <w:t xml:space="preserve">Although the Greenes were of considerable standing within north Lancashire, </w:t>
      </w:r>
      <w:r>
        <w:t xml:space="preserve">they were not wealthy enough to settle the younger Greene sons with estates of their own, nor did they carry sufficient social capital to easily secure them positions in trade. The Greenes were members of the local </w:t>
      </w:r>
      <w:proofErr w:type="gramStart"/>
      <w:r>
        <w:t>gentry</w:t>
      </w:r>
      <w:proofErr w:type="gramEnd"/>
      <w:r>
        <w:t xml:space="preserve"> but their situation was not without insecurity, and the reconstruction of the Manor House undoubtedly marked an important step in attempting to bolster their status.</w:t>
      </w:r>
    </w:p>
    <w:p w14:paraId="1AB0E7DA" w14:textId="77777777" w:rsidR="00302D44" w:rsidRDefault="00302D44" w:rsidP="00302D44">
      <w:pPr>
        <w:spacing w:after="0" w:line="480" w:lineRule="auto"/>
        <w:ind w:firstLine="720"/>
        <w:jc w:val="both"/>
      </w:pPr>
      <w:r>
        <w:t>The Manor House represented a tool for the Greenes to consolidate their position in Slyne. Examining the letters of their family reveals the fragility the Greenes perceived in an early modern England where, as Wrightson has argued, social mobility was a ‘constant phenomenon’, with gentility dependent not only on the acquisition but also the retention of wealth.</w:t>
      </w:r>
      <w:r>
        <w:rPr>
          <w:rStyle w:val="FootnoteReference"/>
        </w:rPr>
        <w:footnoteReference w:id="529"/>
      </w:r>
      <w:r>
        <w:t xml:space="preserve"> While the prosperity of their younger sons is less evident in surviving documents, the fortune and eminence of their eldest son’s line grew in subsequent generations. Cornelius and Mary’s great-grandson, another Thomas Greene, was born in 1794 and </w:t>
      </w:r>
      <w:r w:rsidRPr="005F382A">
        <w:t>was MP for Lancaster in 10 parliaments, appointed High Sheriff of Lancashire in 1823, and made constable of Lancaster Castle in 1865.</w:t>
      </w:r>
      <w:r w:rsidRPr="005F382A">
        <w:rPr>
          <w:vertAlign w:val="superscript"/>
        </w:rPr>
        <w:footnoteReference w:id="530"/>
      </w:r>
      <w:r>
        <w:t xml:space="preserve"> </w:t>
      </w:r>
      <w:r w:rsidRPr="005F382A">
        <w:t xml:space="preserve">In 1816, </w:t>
      </w:r>
      <w:r>
        <w:t>he</w:t>
      </w:r>
      <w:r w:rsidRPr="005F382A">
        <w:t xml:space="preserve"> purchased the manor of Slyne from the crown, able to style himself ‘lord of the manor’.</w:t>
      </w:r>
      <w:r w:rsidRPr="005F382A">
        <w:rPr>
          <w:vertAlign w:val="superscript"/>
        </w:rPr>
        <w:footnoteReference w:id="531"/>
      </w:r>
    </w:p>
    <w:p w14:paraId="0FBB4D92" w14:textId="1C70DF5D" w:rsidR="00302D44" w:rsidRDefault="00302D44" w:rsidP="00302D44">
      <w:pPr>
        <w:spacing w:after="0" w:line="480" w:lineRule="auto"/>
        <w:ind w:firstLine="720"/>
        <w:jc w:val="both"/>
      </w:pPr>
      <w:r w:rsidRPr="005F382A">
        <w:lastRenderedPageBreak/>
        <w:t>Garnett argues that the name ‘Manor House’ was nineteenth-century ‘snobbery’, dating from this later period rather than used by Cornelius and Mary themselves.</w:t>
      </w:r>
      <w:r w:rsidRPr="005F382A">
        <w:rPr>
          <w:vertAlign w:val="superscript"/>
        </w:rPr>
        <w:footnoteReference w:id="532"/>
      </w:r>
      <w:r w:rsidRPr="005F382A">
        <w:t xml:space="preserve"> Although it came later</w:t>
      </w:r>
      <w:r>
        <w:t xml:space="preserve">, </w:t>
      </w:r>
      <w:r w:rsidRPr="005F382A">
        <w:t>‘Manor House’ is an appropriate term for what the couple were striving to achieve.</w:t>
      </w:r>
      <w:r>
        <w:t xml:space="preserve"> </w:t>
      </w:r>
      <w:r w:rsidRPr="008B65E3">
        <w:t xml:space="preserve">Cornelius and Mary Greene finished the Manor House to a level befitting their shared status of office holder and office holder’s daughter. </w:t>
      </w:r>
      <w:r>
        <w:t xml:space="preserve">Wealth undoubtedly informed inscription, influencing the design of the house and its commemorative epigraph. Anxieties over threats to their wealth are also apparent, with the couple keen to assert their status and display their prosperity to others. In amongst this, however, the importance of lineage and a commitment to home and family is also clear. </w:t>
      </w:r>
      <w:r w:rsidRPr="0016251C">
        <w:t>Commemorating themselves on the outside of their home,</w:t>
      </w:r>
      <w:r>
        <w:t xml:space="preserve"> Cornelius and Mary</w:t>
      </w:r>
      <w:r w:rsidRPr="0016251C">
        <w:t xml:space="preserve"> configured the property as a familial project.</w:t>
      </w:r>
      <w:r>
        <w:t xml:space="preserve"> </w:t>
      </w:r>
      <w:r w:rsidRPr="008B65E3">
        <w:t xml:space="preserve">Gaining a son in the year of its completion, </w:t>
      </w:r>
      <w:r>
        <w:t>just like the Barkers at Thwaite End, the Greenes could also be confident in their fertility and that the house would continue within their line. As a result, the Manor House</w:t>
      </w:r>
      <w:r w:rsidRPr="008B65E3">
        <w:t xml:space="preserve"> </w:t>
      </w:r>
      <w:r>
        <w:t xml:space="preserve">symbolised the couple’s desire to assert their current standing and to position themselves </w:t>
      </w:r>
      <w:r w:rsidRPr="00CE0B8F">
        <w:t>as progenitors of future achievements</w:t>
      </w:r>
      <w:r>
        <w:t>, tying them to the land as they increased their stake in local and national politics.</w:t>
      </w:r>
    </w:p>
    <w:p w14:paraId="5E54DAFF" w14:textId="77777777" w:rsidR="00704FD7" w:rsidRDefault="00704FD7" w:rsidP="00302D44">
      <w:pPr>
        <w:spacing w:after="0" w:line="480" w:lineRule="auto"/>
        <w:jc w:val="both"/>
        <w:rPr>
          <w:i/>
          <w:iCs/>
        </w:rPr>
      </w:pPr>
    </w:p>
    <w:p w14:paraId="2EE6E33D" w14:textId="796F934A" w:rsidR="00302D44" w:rsidRDefault="00302D44" w:rsidP="00302D44">
      <w:pPr>
        <w:spacing w:after="0" w:line="480" w:lineRule="auto"/>
        <w:jc w:val="both"/>
        <w:rPr>
          <w:i/>
          <w:iCs/>
        </w:rPr>
      </w:pPr>
      <w:r>
        <w:rPr>
          <w:i/>
          <w:iCs/>
        </w:rPr>
        <w:t>Case Study 3: Hall Farmhouse, Over Kellet</w:t>
      </w:r>
    </w:p>
    <w:p w14:paraId="6AA85680" w14:textId="03400B97" w:rsidR="00302D44" w:rsidRDefault="00302D44" w:rsidP="00302D44">
      <w:pPr>
        <w:spacing w:after="0" w:line="480" w:lineRule="auto"/>
        <w:ind w:firstLine="720"/>
        <w:jc w:val="both"/>
      </w:pPr>
      <w:r>
        <w:t>The entryway lintel at Hall Farmhouse in Over Kellet commemorates Robert and Deborah Gibson, carved with the initials and year ‘R</w:t>
      </w:r>
      <w:r>
        <w:rPr>
          <w:vertAlign w:val="superscript"/>
        </w:rPr>
        <w:t>G</w:t>
      </w:r>
      <w:r>
        <w:t xml:space="preserve">D 1704’ (Figure </w:t>
      </w:r>
      <w:r w:rsidR="00B80913">
        <w:t>1, p.</w:t>
      </w:r>
      <w:r w:rsidR="008369AA">
        <w:t>315</w:t>
      </w:r>
      <w:r>
        <w:t xml:space="preserve">). Just like Thwaite End and the Manor House, Hall Farmhouse appears to have been altered soon after marriage, and with sufficient funds to undertake building work so swiftly, wealth was undoubtedly a factor in the Gibsons’ ability to inscribe. Compared with the Manor House, Hall </w:t>
      </w:r>
      <w:r>
        <w:lastRenderedPageBreak/>
        <w:t xml:space="preserve">Farmhouse was less grand but was nonetheless a sizeable, impressive home. The list entry for the property has </w:t>
      </w:r>
      <w:r w:rsidRPr="00B315F2">
        <w:t xml:space="preserve">not </w:t>
      </w:r>
      <w:r>
        <w:t xml:space="preserve">been </w:t>
      </w:r>
      <w:r w:rsidRPr="00B315F2">
        <w:t>updated since 1967</w:t>
      </w:r>
      <w:r>
        <w:t xml:space="preserve"> and is incredibly brief, but as seen in Figure </w:t>
      </w:r>
      <w:r w:rsidR="00B80913">
        <w:t>10 (p.</w:t>
      </w:r>
      <w:r w:rsidR="008369AA">
        <w:t>324</w:t>
      </w:r>
      <w:r w:rsidR="00B80913">
        <w:t>)</w:t>
      </w:r>
      <w:r>
        <w:t>, the inscribed doorway occupies the centre of a symmetrical façade.</w:t>
      </w:r>
      <w:r>
        <w:rPr>
          <w:rStyle w:val="FootnoteReference"/>
        </w:rPr>
        <w:footnoteReference w:id="533"/>
      </w:r>
      <w:r>
        <w:t xml:space="preserve"> Although the modern house features five sash windows, the outline of nine earlier windows are visible, possibly original features. The remnants of two drip courses are also discernible, placed between the upper and lower storeys and beneath the roof, an inessential stylistic addition echoing those seen at the Manor House. Carved upon a newly rebuilt property soon after marriage, the inscription at Hall Farmhouse was undoubtedly partly informed by wealth.</w:t>
      </w:r>
    </w:p>
    <w:p w14:paraId="570B674E" w14:textId="77777777" w:rsidR="00302D44" w:rsidRPr="00181921" w:rsidRDefault="00302D44" w:rsidP="00302D44">
      <w:pPr>
        <w:spacing w:after="0" w:line="480" w:lineRule="auto"/>
        <w:ind w:firstLine="720"/>
        <w:jc w:val="both"/>
      </w:pPr>
      <w:r>
        <w:t xml:space="preserve">Surviving documents suggest that the Gibsons were financially comfortable. </w:t>
      </w:r>
      <w:r w:rsidRPr="00181921">
        <w:t>The inventory taken upon Robert’s death in July 1725</w:t>
      </w:r>
      <w:r>
        <w:t xml:space="preserve"> names him as a yeoman.</w:t>
      </w:r>
      <w:r w:rsidRPr="00974CA4">
        <w:rPr>
          <w:vertAlign w:val="superscript"/>
        </w:rPr>
        <w:footnoteReference w:id="534"/>
      </w:r>
      <w:r w:rsidRPr="00974CA4">
        <w:t xml:space="preserve"> </w:t>
      </w:r>
      <w:r>
        <w:t xml:space="preserve"> </w:t>
      </w:r>
      <w:r w:rsidRPr="007A47B8">
        <w:t>Robert was wealthier than many of his will-making neighbours</w:t>
      </w:r>
      <w:r>
        <w:t xml:space="preserve"> present in the wider sample, assessed with £105 upon his death compared to the £95 mean (and £63 median) among other men in the parish. Compared with other yeomen, however, who on average were assessed with £118, the Gibsons were apparently less wealthy than their peers. In terms of arable agriculture, Robert’s </w:t>
      </w:r>
      <w:r w:rsidRPr="00181921">
        <w:t>‘corn growing’</w:t>
      </w:r>
      <w:r>
        <w:t xml:space="preserve"> was valued at</w:t>
      </w:r>
      <w:r w:rsidRPr="00181921">
        <w:t xml:space="preserve"> £30</w:t>
      </w:r>
      <w:r>
        <w:t>, indicating considerable output from the family farm. Giving insights into the Gibsons’ livestock production, c</w:t>
      </w:r>
      <w:r w:rsidRPr="00181921">
        <w:t>ause papers dated 1721-2 show disputes over tithe payments between the Gibsons and their neighbours.</w:t>
      </w:r>
      <w:r w:rsidRPr="00E7468C">
        <w:rPr>
          <w:vertAlign w:val="superscript"/>
        </w:rPr>
        <w:footnoteReference w:id="535"/>
      </w:r>
      <w:r w:rsidRPr="00181921">
        <w:t xml:space="preserve"> When asked to offer up three shillings</w:t>
      </w:r>
      <w:r>
        <w:t>’</w:t>
      </w:r>
      <w:r w:rsidRPr="00181921">
        <w:t xml:space="preserve"> wool</w:t>
      </w:r>
      <w:r>
        <w:t xml:space="preserve"> tax</w:t>
      </w:r>
      <w:r w:rsidRPr="00181921">
        <w:t xml:space="preserve">, as well as one lamb, </w:t>
      </w:r>
      <w:r>
        <w:t xml:space="preserve">the </w:t>
      </w:r>
      <w:r w:rsidRPr="00181921">
        <w:t>‘</w:t>
      </w:r>
      <w:proofErr w:type="spellStart"/>
      <w:r w:rsidRPr="00181921">
        <w:t>Tythgatherer</w:t>
      </w:r>
      <w:proofErr w:type="spellEnd"/>
      <w:r w:rsidRPr="00181921">
        <w:t xml:space="preserve">’ </w:t>
      </w:r>
      <w:r>
        <w:t xml:space="preserve">Thomas </w:t>
      </w:r>
      <w:r w:rsidRPr="00181921">
        <w:t xml:space="preserve">Dickinson alleged that </w:t>
      </w:r>
      <w:r>
        <w:t>Robert and Deborah</w:t>
      </w:r>
      <w:r w:rsidRPr="00181921">
        <w:t xml:space="preserve"> refused to pay more than 2s 6d</w:t>
      </w:r>
      <w:r>
        <w:t>.</w:t>
      </w:r>
      <w:r w:rsidRPr="00181921">
        <w:t xml:space="preserve"> </w:t>
      </w:r>
      <w:r>
        <w:t xml:space="preserve">Dickinson also stated that </w:t>
      </w:r>
      <w:r w:rsidRPr="00181921">
        <w:t>of the thirteen lambs the</w:t>
      </w:r>
      <w:r>
        <w:t xml:space="preserve"> Gibsons</w:t>
      </w:r>
      <w:r w:rsidRPr="00181921">
        <w:t xml:space="preserve"> </w:t>
      </w:r>
      <w:r>
        <w:t>allowe</w:t>
      </w:r>
      <w:r w:rsidRPr="00181921">
        <w:t xml:space="preserve">d </w:t>
      </w:r>
      <w:r>
        <w:t>him</w:t>
      </w:r>
      <w:r w:rsidRPr="00181921">
        <w:t xml:space="preserve"> to choose from, </w:t>
      </w:r>
      <w:r>
        <w:t>they in fact had</w:t>
      </w:r>
      <w:r w:rsidRPr="00181921">
        <w:t xml:space="preserve"> ‘more &amp; better </w:t>
      </w:r>
      <w:r w:rsidRPr="00181921">
        <w:lastRenderedPageBreak/>
        <w:t>lambs’ hidden away.</w:t>
      </w:r>
      <w:r w:rsidRPr="00181921">
        <w:rPr>
          <w:vertAlign w:val="superscript"/>
        </w:rPr>
        <w:footnoteReference w:id="536"/>
      </w:r>
      <w:r w:rsidRPr="00181921">
        <w:t xml:space="preserve"> While Robert was appraised with £6 worth of ‘Sheep in all Kinds’ upon his death, the tithe dispute is an indication of the steady income the Gibsons’ flock provided, earning them in excess of £1 </w:t>
      </w:r>
      <w:r>
        <w:t>in</w:t>
      </w:r>
      <w:r w:rsidRPr="00181921">
        <w:t xml:space="preserve"> wool at each tithe interval.</w:t>
      </w:r>
      <w:r w:rsidRPr="00181921">
        <w:rPr>
          <w:vertAlign w:val="superscript"/>
        </w:rPr>
        <w:footnoteReference w:id="537"/>
      </w:r>
      <w:r w:rsidRPr="00181921">
        <w:t xml:space="preserve"> </w:t>
      </w:r>
      <w:r>
        <w:t>This alone is not especially high, but c</w:t>
      </w:r>
      <w:r w:rsidRPr="00181921">
        <w:t>ombined with their sizeable agricultural output and the £25 worth of cows in</w:t>
      </w:r>
      <w:r>
        <w:t>cluded in Robert’s inventory</w:t>
      </w:r>
      <w:r w:rsidRPr="00181921">
        <w:t xml:space="preserve">, the Gibsons </w:t>
      </w:r>
      <w:r>
        <w:t>appear to have been operating a reasonably</w:t>
      </w:r>
      <w:r w:rsidRPr="00181921">
        <w:t xml:space="preserve"> productive </w:t>
      </w:r>
      <w:r>
        <w:t>farm</w:t>
      </w:r>
      <w:r w:rsidRPr="00181921">
        <w:t>.</w:t>
      </w:r>
    </w:p>
    <w:p w14:paraId="6B87105F" w14:textId="77777777" w:rsidR="00302D44" w:rsidRDefault="00302D44" w:rsidP="00302D44">
      <w:pPr>
        <w:spacing w:after="0" w:line="480" w:lineRule="auto"/>
        <w:ind w:firstLine="720"/>
        <w:jc w:val="both"/>
      </w:pPr>
      <w:r>
        <w:t>An earlier document suggests that Robert was of comparable social standing to Thomas Dickinson the tithe collector, perhaps bolstering the couple’s willingness to contest tithe payment. In a 1705 testimonial letter</w:t>
      </w:r>
      <w:r w:rsidRPr="0032583A">
        <w:t xml:space="preserve"> addressed to ‘Nicholas Lord Bishop of Chester’, </w:t>
      </w:r>
      <w:r>
        <w:t xml:space="preserve">Robert and Dickinson’s signatures appear side by side, </w:t>
      </w:r>
      <w:r w:rsidRPr="0032583A">
        <w:t>descri</w:t>
      </w:r>
      <w:r>
        <w:t>bed</w:t>
      </w:r>
      <w:r w:rsidRPr="0032583A">
        <w:t xml:space="preserve"> </w:t>
      </w:r>
      <w:r>
        <w:t xml:space="preserve">(along with eleven others) </w:t>
      </w:r>
      <w:r w:rsidRPr="0032583A">
        <w:t>as</w:t>
      </w:r>
      <w:r>
        <w:t xml:space="preserve"> signatures of the</w:t>
      </w:r>
      <w:r w:rsidRPr="0032583A">
        <w:t xml:space="preserve"> ‘</w:t>
      </w:r>
      <w:proofErr w:type="spellStart"/>
      <w:r w:rsidRPr="0032583A">
        <w:t>ffeoffies</w:t>
      </w:r>
      <w:proofErr w:type="spellEnd"/>
      <w:r w:rsidRPr="0032583A">
        <w:t xml:space="preserve"> of ye free school of Over Kellett’.</w:t>
      </w:r>
      <w:r w:rsidRPr="0032583A">
        <w:rPr>
          <w:vertAlign w:val="superscript"/>
        </w:rPr>
        <w:footnoteReference w:id="538"/>
      </w:r>
      <w:r w:rsidRPr="0032583A">
        <w:t xml:space="preserve"> In 1697, £200 was endowed by Over Kellet inhabitant Thomas Wilson to ‘provide one sufficient schoolmaster to teach a free grammar school at and in the schoolhouse lately erected’.</w:t>
      </w:r>
      <w:r w:rsidRPr="0032583A">
        <w:rPr>
          <w:vertAlign w:val="superscript"/>
        </w:rPr>
        <w:footnoteReference w:id="539"/>
      </w:r>
      <w:r w:rsidRPr="0032583A">
        <w:t xml:space="preserve"> Wilson died in 1702, and by 1705 it appears that the school was in the care of the feoffees, </w:t>
      </w:r>
      <w:r>
        <w:t>using the testimonial letter</w:t>
      </w:r>
      <w:r w:rsidRPr="0032583A">
        <w:t xml:space="preserve"> to assert their right</w:t>
      </w:r>
      <w:r>
        <w:t xml:space="preserve"> to </w:t>
      </w:r>
      <w:r w:rsidRPr="0032583A">
        <w:t>‘</w:t>
      </w:r>
      <w:proofErr w:type="spellStart"/>
      <w:r w:rsidRPr="0032583A">
        <w:t>certifie</w:t>
      </w:r>
      <w:proofErr w:type="spellEnd"/>
      <w:r w:rsidRPr="0032583A">
        <w:t xml:space="preserve"> [their] free approbation’ of the </w:t>
      </w:r>
      <w:r>
        <w:t>new school</w:t>
      </w:r>
      <w:r w:rsidRPr="0032583A">
        <w:t>master.</w:t>
      </w:r>
      <w:r w:rsidRPr="0032583A">
        <w:rPr>
          <w:vertAlign w:val="superscript"/>
        </w:rPr>
        <w:footnoteReference w:id="540"/>
      </w:r>
      <w:r>
        <w:t xml:space="preserve"> Present among the feoffees, Robert was clearly eminent and respected within the village, though without the additional civic powers Dickinson possessed.</w:t>
      </w:r>
    </w:p>
    <w:p w14:paraId="378C0213" w14:textId="77777777" w:rsidR="00302D44" w:rsidRDefault="00302D44" w:rsidP="00302D44">
      <w:pPr>
        <w:spacing w:after="0" w:line="480" w:lineRule="auto"/>
        <w:ind w:firstLine="720"/>
        <w:jc w:val="both"/>
      </w:pPr>
      <w:r>
        <w:t xml:space="preserve">No records survive for the marriage of Robert and Deborah Gibson. In similar cases throughout South Lonsdale, Garnett has generally </w:t>
      </w:r>
      <w:r w:rsidRPr="003E0058">
        <w:t xml:space="preserve">estimated </w:t>
      </w:r>
      <w:r>
        <w:t xml:space="preserve">that </w:t>
      </w:r>
      <w:r w:rsidRPr="003E0058">
        <w:t>marriage</w:t>
      </w:r>
      <w:r>
        <w:t xml:space="preserve"> took place </w:t>
      </w:r>
      <w:r w:rsidRPr="003E0058">
        <w:t xml:space="preserve">one year before </w:t>
      </w:r>
      <w:r>
        <w:t xml:space="preserve">the christening of a </w:t>
      </w:r>
      <w:r w:rsidRPr="003E0058">
        <w:t>couple’s first child.</w:t>
      </w:r>
      <w:r w:rsidRPr="003E0058">
        <w:rPr>
          <w:vertAlign w:val="superscript"/>
        </w:rPr>
        <w:footnoteReference w:id="541"/>
      </w:r>
      <w:r w:rsidRPr="003E0058">
        <w:t xml:space="preserve"> </w:t>
      </w:r>
      <w:r w:rsidRPr="00514517">
        <w:t xml:space="preserve">The baptism of Robert and Deborah’s </w:t>
      </w:r>
      <w:r w:rsidRPr="00514517">
        <w:lastRenderedPageBreak/>
        <w:t>first son, Richard, appears in the Over Kellet register on 28</w:t>
      </w:r>
      <w:r w:rsidRPr="00514517">
        <w:rPr>
          <w:vertAlign w:val="superscript"/>
        </w:rPr>
        <w:t>th</w:t>
      </w:r>
      <w:r w:rsidRPr="00514517">
        <w:t xml:space="preserve"> October 1704.</w:t>
      </w:r>
      <w:r w:rsidRPr="00514517">
        <w:rPr>
          <w:vertAlign w:val="superscript"/>
        </w:rPr>
        <w:footnoteReference w:id="542"/>
      </w:r>
      <w:r>
        <w:t xml:space="preserve"> Garnett has also highlighted that s</w:t>
      </w:r>
      <w:r w:rsidRPr="0012432B">
        <w:t>ome registers in the South Lonsdale area occasionally include</w:t>
      </w:r>
      <w:r>
        <w:t>d</w:t>
      </w:r>
      <w:r w:rsidRPr="0012432B">
        <w:t xml:space="preserve"> both birth and baptism dates</w:t>
      </w:r>
      <w:r>
        <w:t xml:space="preserve">, revealing that </w:t>
      </w:r>
      <w:r w:rsidRPr="0012432B">
        <w:t xml:space="preserve">the two events </w:t>
      </w:r>
      <w:r>
        <w:t>customarily</w:t>
      </w:r>
      <w:r w:rsidRPr="0012432B">
        <w:t xml:space="preserve"> </w:t>
      </w:r>
      <w:r>
        <w:t xml:space="preserve">occurred </w:t>
      </w:r>
      <w:r w:rsidRPr="0012432B">
        <w:t>six to eight weeks apart.</w:t>
      </w:r>
      <w:r w:rsidRPr="0012432B">
        <w:rPr>
          <w:vertAlign w:val="superscript"/>
        </w:rPr>
        <w:footnoteReference w:id="543"/>
      </w:r>
      <w:r>
        <w:t xml:space="preserve"> With this in mind,</w:t>
      </w:r>
      <w:r w:rsidRPr="00534A8D">
        <w:t xml:space="preserve"> </w:t>
      </w:r>
      <w:r>
        <w:t>the</w:t>
      </w:r>
      <w:r w:rsidRPr="00534A8D">
        <w:t xml:space="preserve"> Gibsons were </w:t>
      </w:r>
      <w:r>
        <w:t xml:space="preserve">likely </w:t>
      </w:r>
      <w:r w:rsidRPr="00534A8D">
        <w:t>married by 1703 at the latest.</w:t>
      </w:r>
      <w:r>
        <w:t xml:space="preserve"> Notably, as at the Manor House, the Hall Farmhouse inscription matches the year in which the couple’s first child was born.</w:t>
      </w:r>
    </w:p>
    <w:p w14:paraId="11386C98" w14:textId="77777777" w:rsidR="00302D44" w:rsidRDefault="00302D44" w:rsidP="00302D44">
      <w:pPr>
        <w:spacing w:after="0" w:line="480" w:lineRule="auto"/>
        <w:ind w:firstLine="720"/>
        <w:jc w:val="both"/>
      </w:pPr>
      <w:r>
        <w:t>Tony Wrigley and Roger Schofield put forward the idea that people delayed marriage until economically able to enter into it.</w:t>
      </w:r>
      <w:r>
        <w:rPr>
          <w:rStyle w:val="FootnoteReference"/>
        </w:rPr>
        <w:footnoteReference w:id="544"/>
      </w:r>
      <w:r>
        <w:t xml:space="preserve"> This has been widely questioned and, as Joanne </w:t>
      </w:r>
      <w:proofErr w:type="spellStart"/>
      <w:r>
        <w:t>Begiato</w:t>
      </w:r>
      <w:proofErr w:type="spellEnd"/>
      <w:r>
        <w:t xml:space="preserve"> has argued, is a model dependent on the false concept that everyone ‘married prudently’, ‘planned their union well in advance’, ‘secured the appropriate financial resources’ and made their vows in church.</w:t>
      </w:r>
      <w:r>
        <w:rPr>
          <w:rStyle w:val="FootnoteReference"/>
        </w:rPr>
        <w:footnoteReference w:id="545"/>
      </w:r>
      <w:r>
        <w:t xml:space="preserve"> Despite challenges to the traditional model, Garnett has nonetheless concluded that </w:t>
      </w:r>
      <w:r w:rsidRPr="00E01AD2">
        <w:t>the death of parents enabled individuals to marry, leaving them</w:t>
      </w:r>
      <w:r>
        <w:t xml:space="preserve"> financially solvent and</w:t>
      </w:r>
      <w:r w:rsidRPr="00E01AD2">
        <w:t xml:space="preserve"> in control of the family estate.</w:t>
      </w:r>
      <w:r w:rsidRPr="00E01AD2">
        <w:rPr>
          <w:vertAlign w:val="superscript"/>
        </w:rPr>
        <w:footnoteReference w:id="546"/>
      </w:r>
      <w:r>
        <w:t xml:space="preserve"> Examining events in the years preceding the Gibsons’ marriage, Garnett’s argument certainly carries some weight, and it is clear that even while many couples did not delay marriage until financially comfortable, some may still have done so. </w:t>
      </w:r>
      <w:r w:rsidRPr="00CC1BA3">
        <w:t>When Robert and Deborah married, Robert was likely around thirty-three years old.</w:t>
      </w:r>
      <w:r w:rsidRPr="00CC1BA3">
        <w:rPr>
          <w:vertAlign w:val="superscript"/>
        </w:rPr>
        <w:footnoteReference w:id="547"/>
      </w:r>
      <w:r>
        <w:t xml:space="preserve"> Robert’s father, Richard, died four years before the wedding</w:t>
      </w:r>
      <w:r w:rsidRPr="009104A3">
        <w:t xml:space="preserve"> </w:t>
      </w:r>
      <w:r>
        <w:t xml:space="preserve">at most, </w:t>
      </w:r>
      <w:r>
        <w:lastRenderedPageBreak/>
        <w:t>in 1699.</w:t>
      </w:r>
      <w:r w:rsidRPr="009104A3">
        <w:rPr>
          <w:vertAlign w:val="superscript"/>
        </w:rPr>
        <w:footnoteReference w:id="548"/>
      </w:r>
      <w:r w:rsidRPr="009104A3">
        <w:t xml:space="preserve"> </w:t>
      </w:r>
      <w:r w:rsidRPr="0099187C">
        <w:t xml:space="preserve">Richard died intestate and so Hall Farmhouse defaulted to customary transfer, passing first to Richard’s wife and ultimately to his eldest son, Robert, upon his wife’s death. No burial record is available for Robert’s mother, making the exact date of property transfer uncertain, but </w:t>
      </w:r>
      <w:r>
        <w:t xml:space="preserve">it is reasonable to speculate that </w:t>
      </w:r>
      <w:r w:rsidRPr="0099187C">
        <w:t xml:space="preserve">Robert gained possession of the house in the years </w:t>
      </w:r>
      <w:r>
        <w:t xml:space="preserve">between his father’s death and </w:t>
      </w:r>
      <w:r w:rsidRPr="0099187C">
        <w:t>his wedding.</w:t>
      </w:r>
    </w:p>
    <w:p w14:paraId="3CAAC6F4" w14:textId="77777777" w:rsidR="00302D44" w:rsidRDefault="00302D44" w:rsidP="00302D44">
      <w:pPr>
        <w:spacing w:after="0" w:line="480" w:lineRule="auto"/>
        <w:ind w:firstLine="720"/>
        <w:jc w:val="both"/>
      </w:pPr>
      <w:r w:rsidRPr="00A352D7">
        <w:t>In addition to Hall Farmhouse</w:t>
      </w:r>
      <w:r>
        <w:t xml:space="preserve"> in Over Kellet</w:t>
      </w:r>
      <w:r w:rsidRPr="00A352D7">
        <w:t>, Robert’s will also references</w:t>
      </w:r>
      <w:r>
        <w:t xml:space="preserve"> other ‘lands tenements and hereditaments with the appurtenances thereunto belonging’ in Priest Hutton, three miles north by road.</w:t>
      </w:r>
      <w:r>
        <w:rPr>
          <w:rStyle w:val="FootnoteReference"/>
        </w:rPr>
        <w:footnoteReference w:id="549"/>
      </w:r>
      <w:r>
        <w:t xml:space="preserve"> </w:t>
      </w:r>
      <w:r w:rsidRPr="006B18CD">
        <w:t>Amy Erickson has pos</w:t>
      </w:r>
      <w:r>
        <w:t>i</w:t>
      </w:r>
      <w:r w:rsidRPr="006B18CD">
        <w:t>t</w:t>
      </w:r>
      <w:r>
        <w:t>ed</w:t>
      </w:r>
      <w:r w:rsidRPr="006B18CD">
        <w:t xml:space="preserve"> </w:t>
      </w:r>
      <w:r>
        <w:t xml:space="preserve">that there are </w:t>
      </w:r>
      <w:r w:rsidRPr="006B18CD">
        <w:t>many issues with the ‘conventional idea’ that men delayed marriage until able to ‘afford to support’ a wife and children, arguing that there was in fact ‘far more economic equality in marriage’ than this would suggest.</w:t>
      </w:r>
      <w:r w:rsidRPr="006B18CD">
        <w:rPr>
          <w:vertAlign w:val="superscript"/>
        </w:rPr>
        <w:footnoteReference w:id="550"/>
      </w:r>
      <w:r w:rsidRPr="006B18CD">
        <w:t xml:space="preserve"> </w:t>
      </w:r>
      <w:r>
        <w:t>According to Erickson, any wealth brought by Deborah would have either matched or exceeded the value of Robert’s assets, which included his family home.</w:t>
      </w:r>
      <w:r w:rsidRPr="006B18CD">
        <w:rPr>
          <w:vertAlign w:val="superscript"/>
        </w:rPr>
        <w:footnoteReference w:id="551"/>
      </w:r>
    </w:p>
    <w:p w14:paraId="7E9F6045" w14:textId="1142344A" w:rsidR="00302D44" w:rsidRDefault="00302D44" w:rsidP="00302D44">
      <w:pPr>
        <w:spacing w:after="0" w:line="480" w:lineRule="auto"/>
        <w:ind w:firstLine="720"/>
        <w:jc w:val="both"/>
      </w:pPr>
      <w:r>
        <w:t xml:space="preserve">The Gibsons were not the wealthiest in their parish, but they were financially comfortable at marriage and able to invest in rebuilding their property. Numerous historians have argued that wealth has been overemphasised as a factor determining </w:t>
      </w:r>
      <w:r w:rsidRPr="00F524BC">
        <w:rPr>
          <w:i/>
          <w:iCs/>
        </w:rPr>
        <w:t>when</w:t>
      </w:r>
      <w:r>
        <w:t xml:space="preserve"> or </w:t>
      </w:r>
      <w:r w:rsidRPr="00F524BC">
        <w:rPr>
          <w:i/>
          <w:iCs/>
        </w:rPr>
        <w:t>if</w:t>
      </w:r>
      <w:r>
        <w:t xml:space="preserve"> people married, but wealth and the timing of its attainment evidently informed when a couple would be able to alter the architectural fabric of their property and subsequently inscribe it. Investing in doing so in the year that saw the birth of their first child and eventual heir, the Gibsons – like the Barkers and Greenes – would have </w:t>
      </w:r>
      <w:r w:rsidR="00047AD0">
        <w:t>felt more confident</w:t>
      </w:r>
      <w:r>
        <w:t xml:space="preserve"> </w:t>
      </w:r>
      <w:r w:rsidR="00047AD0">
        <w:t>that</w:t>
      </w:r>
      <w:r>
        <w:t xml:space="preserve"> Hall Farmhouse </w:t>
      </w:r>
      <w:r w:rsidR="00047AD0">
        <w:t xml:space="preserve">would remain </w:t>
      </w:r>
      <w:r>
        <w:t xml:space="preserve">within their immediate family. Examining surviving archival documents is key in revealing how wealth interacted with inscription, informing the moment at which couples </w:t>
      </w:r>
      <w:r>
        <w:lastRenderedPageBreak/>
        <w:t>were able to inscribe within their marriage. At the same time, it reveals that this was not necessarily the sole reason for inscription, with lineage and a commitment to family featuring prominently among inscribers’ priorities.</w:t>
      </w:r>
    </w:p>
    <w:p w14:paraId="433D2AE8" w14:textId="77777777" w:rsidR="00302D44" w:rsidRDefault="00302D44" w:rsidP="00302D44">
      <w:pPr>
        <w:spacing w:after="0" w:line="480" w:lineRule="auto"/>
        <w:jc w:val="both"/>
      </w:pPr>
    </w:p>
    <w:p w14:paraId="1CA3D93B" w14:textId="77777777" w:rsidR="00302D44" w:rsidRDefault="00302D44" w:rsidP="00302D44">
      <w:pPr>
        <w:spacing w:after="0" w:line="480" w:lineRule="auto"/>
        <w:jc w:val="both"/>
        <w:rPr>
          <w:i/>
          <w:iCs/>
        </w:rPr>
      </w:pPr>
      <w:r>
        <w:rPr>
          <w:i/>
          <w:iCs/>
        </w:rPr>
        <w:t>Case Study 4: End Cottage, Bolton-le-Sands</w:t>
      </w:r>
    </w:p>
    <w:p w14:paraId="54D162D5" w14:textId="39AC54FF" w:rsidR="00302D44" w:rsidRDefault="00302D44" w:rsidP="00302D44">
      <w:pPr>
        <w:spacing w:after="0" w:line="480" w:lineRule="auto"/>
        <w:ind w:firstLine="720"/>
        <w:jc w:val="both"/>
      </w:pPr>
      <w:r>
        <w:t xml:space="preserve">End Cottage is located on the western edge of Bolton-le-Sands village, in a lowland area adjacent to the shore, known as Bolton Holmes. </w:t>
      </w:r>
      <w:proofErr w:type="gramStart"/>
      <w:r>
        <w:t>Similar to</w:t>
      </w:r>
      <w:proofErr w:type="gramEnd"/>
      <w:r>
        <w:t xml:space="preserve"> Thwaite End, the Manor House and Hall Farmhouse, End Cottage was inscribed with initials soon after marriage, commemorating William and Jennet Hall </w:t>
      </w:r>
      <w:r w:rsidRPr="004B4B09">
        <w:t xml:space="preserve">(Figure </w:t>
      </w:r>
      <w:r w:rsidR="00E7021B">
        <w:t>11, p.</w:t>
      </w:r>
      <w:r w:rsidR="00E730A2">
        <w:t>325</w:t>
      </w:r>
      <w:r>
        <w:t xml:space="preserve">). On this occasion, surviving documents reveal some details about the value of the bride’s portion as well as the assets of her spouse. Confirming Erickson’s argument, sources suggest that Jennet contributed a significant sum while marrying a groom who already had a property of his own. Once again, </w:t>
      </w:r>
      <w:proofErr w:type="gramStart"/>
      <w:r>
        <w:t>it is clear that the</w:t>
      </w:r>
      <w:proofErr w:type="gramEnd"/>
      <w:r>
        <w:t xml:space="preserve"> possession of wealth at marriage was key in determining the timing of a couple altering their home and having the simultaneous ability to inscribe it.</w:t>
      </w:r>
    </w:p>
    <w:p w14:paraId="7FC95A45" w14:textId="77777777" w:rsidR="00302D44" w:rsidRDefault="00302D44" w:rsidP="00302D44">
      <w:pPr>
        <w:spacing w:after="0" w:line="480" w:lineRule="auto"/>
        <w:ind w:firstLine="720"/>
        <w:jc w:val="both"/>
      </w:pPr>
      <w:r w:rsidRPr="00DD083F">
        <w:t>Reading ‘W</w:t>
      </w:r>
      <w:r w:rsidRPr="00DD083F">
        <w:rPr>
          <w:vertAlign w:val="superscript"/>
        </w:rPr>
        <w:t>H</w:t>
      </w:r>
      <w:r w:rsidRPr="00DD083F">
        <w:t xml:space="preserve">I 1687’, the </w:t>
      </w:r>
      <w:r>
        <w:t>lintel</w:t>
      </w:r>
      <w:r w:rsidRPr="00DD083F">
        <w:t xml:space="preserve"> </w:t>
      </w:r>
      <w:r>
        <w:t xml:space="preserve">at End Cottage </w:t>
      </w:r>
      <w:r w:rsidRPr="00DD083F">
        <w:t>commemorates William and Jennet Hall</w:t>
      </w:r>
      <w:r>
        <w:t xml:space="preserve"> who </w:t>
      </w:r>
      <w:r w:rsidRPr="00DD083F">
        <w:t xml:space="preserve">married </w:t>
      </w:r>
      <w:r>
        <w:t>in the year marked by the inscription,</w:t>
      </w:r>
      <w:r w:rsidRPr="00DD083F">
        <w:t xml:space="preserve"> on 26</w:t>
      </w:r>
      <w:r w:rsidRPr="00DD083F">
        <w:rPr>
          <w:vertAlign w:val="superscript"/>
        </w:rPr>
        <w:t>th</w:t>
      </w:r>
      <w:r w:rsidRPr="00DD083F">
        <w:t xml:space="preserve"> May 1687.</w:t>
      </w:r>
      <w:r w:rsidRPr="00DD083F">
        <w:rPr>
          <w:vertAlign w:val="superscript"/>
        </w:rPr>
        <w:footnoteReference w:id="552"/>
      </w:r>
      <w:r>
        <w:t xml:space="preserve"> William </w:t>
      </w:r>
      <w:r w:rsidRPr="00080CD6">
        <w:t>was the son of John and Jane Hall</w:t>
      </w:r>
      <w:r>
        <w:t xml:space="preserve">, whose initials are inscribed into the lintel of </w:t>
      </w:r>
      <w:r w:rsidRPr="00AF1A4C">
        <w:t xml:space="preserve">a house adjacent to Bolton-le-Sands parish </w:t>
      </w:r>
      <w:r>
        <w:t>church. John and Jane also appear within the core sample along with their home, Church Cottage, which is inscribed ‘I</w:t>
      </w:r>
      <w:r>
        <w:rPr>
          <w:vertAlign w:val="superscript"/>
        </w:rPr>
        <w:t>H</w:t>
      </w:r>
      <w:r>
        <w:t>I 1672’ – marked with the same year that William’s father, John, died.</w:t>
      </w:r>
      <w:r w:rsidRPr="00DD083F">
        <w:rPr>
          <w:vertAlign w:val="superscript"/>
        </w:rPr>
        <w:footnoteReference w:id="553"/>
      </w:r>
      <w:r>
        <w:t xml:space="preserve"> Jane </w:t>
      </w:r>
      <w:r w:rsidRPr="00F632C0">
        <w:t>outlived her husband by seventeen years</w:t>
      </w:r>
      <w:r>
        <w:t>.</w:t>
      </w:r>
      <w:r>
        <w:rPr>
          <w:rStyle w:val="FootnoteReference"/>
        </w:rPr>
        <w:footnoteReference w:id="554"/>
      </w:r>
      <w:r>
        <w:t xml:space="preserve">  Upon her </w:t>
      </w:r>
      <w:r>
        <w:lastRenderedPageBreak/>
        <w:t xml:space="preserve">death in August 1699, Church Cottage passed to William’s younger sister, Elizabeth, and her husband Thomas. Garnett seems uncertain in her conclusions but has stated that, having been </w:t>
      </w:r>
      <w:r w:rsidRPr="00D0664E">
        <w:t>inherited by Elizabeth</w:t>
      </w:r>
      <w:r>
        <w:t>,</w:t>
      </w:r>
      <w:r w:rsidRPr="00D0664E">
        <w:t xml:space="preserve"> Church Cottage was ‘app[</w:t>
      </w:r>
      <w:proofErr w:type="spellStart"/>
      <w:r w:rsidRPr="00D0664E">
        <w:t>arently</w:t>
      </w:r>
      <w:proofErr w:type="spellEnd"/>
      <w:r w:rsidRPr="00D0664E">
        <w:t>] a second ten[</w:t>
      </w:r>
      <w:proofErr w:type="spellStart"/>
      <w:r w:rsidRPr="00D0664E">
        <w:t>ement</w:t>
      </w:r>
      <w:proofErr w:type="spellEnd"/>
      <w:r w:rsidRPr="00D0664E">
        <w:t>]</w:t>
      </w:r>
      <w:r>
        <w:t>’</w:t>
      </w:r>
      <w:r w:rsidRPr="00D0664E">
        <w:t>, with End Cottage therefore ‘app[</w:t>
      </w:r>
      <w:proofErr w:type="spellStart"/>
      <w:r w:rsidRPr="00D0664E">
        <w:t>arently</w:t>
      </w:r>
      <w:proofErr w:type="spellEnd"/>
      <w:r w:rsidRPr="00D0664E">
        <w:t>] the ancient Hall ten[</w:t>
      </w:r>
      <w:proofErr w:type="spellStart"/>
      <w:r w:rsidRPr="00D0664E">
        <w:t>ement</w:t>
      </w:r>
      <w:proofErr w:type="spellEnd"/>
      <w:r w:rsidRPr="00D0664E">
        <w:t>]’.</w:t>
      </w:r>
      <w:r w:rsidRPr="00D0664E">
        <w:rPr>
          <w:vertAlign w:val="superscript"/>
        </w:rPr>
        <w:footnoteReference w:id="555"/>
      </w:r>
    </w:p>
    <w:p w14:paraId="6A99018C" w14:textId="77777777" w:rsidR="00302D44" w:rsidRDefault="00302D44" w:rsidP="00302D44">
      <w:pPr>
        <w:spacing w:after="0" w:line="480" w:lineRule="auto"/>
        <w:ind w:firstLine="720"/>
        <w:jc w:val="both"/>
      </w:pPr>
      <w:r>
        <w:t>As discussed in the previous chapter, the only hearth tax return featuring John Hall showed him being charged for just one hearth in 1673.</w:t>
      </w:r>
      <w:r>
        <w:rPr>
          <w:rStyle w:val="FootnoteReference"/>
        </w:rPr>
        <w:footnoteReference w:id="556"/>
      </w:r>
      <w:r w:rsidRPr="00421A21">
        <w:t xml:space="preserve"> Three explanations are possible</w:t>
      </w:r>
      <w:r>
        <w:t>. Firstly,</w:t>
      </w:r>
      <w:r w:rsidRPr="00421A21">
        <w:t xml:space="preserve"> </w:t>
      </w:r>
      <w:r>
        <w:t>in 1672 John and Jane</w:t>
      </w:r>
      <w:r w:rsidRPr="00421A21">
        <w:t xml:space="preserve"> Hall</w:t>
      </w:r>
      <w:r>
        <w:t xml:space="preserve"> (and their children)</w:t>
      </w:r>
      <w:r w:rsidRPr="00421A21">
        <w:t xml:space="preserve"> may have been living at End Cottage, with Church Cottage not yet completed</w:t>
      </w:r>
      <w:r>
        <w:t>, meaning that End Cottage alone appeared in the hearth tax. Secondly,</w:t>
      </w:r>
      <w:r w:rsidRPr="00421A21">
        <w:t xml:space="preserve"> the 1672 hearth tax may have charged tenants rather than property owners, therefore not reflecting any additional properties rented out by the Halls</w:t>
      </w:r>
      <w:r>
        <w:t>, perhaps including End Cottage.</w:t>
      </w:r>
      <w:r w:rsidRPr="00421A21">
        <w:t xml:space="preserve"> </w:t>
      </w:r>
      <w:r>
        <w:t>Thirdly, e</w:t>
      </w:r>
      <w:r w:rsidRPr="00421A21">
        <w:t>ven if the Halls owned multiple properties, Church Cottage may have been the only chargeable house, with William’s reconstruction of End Cottage fifteen years later rendering it habitable for the first time i</w:t>
      </w:r>
      <w:r>
        <w:t>n</w:t>
      </w:r>
      <w:r w:rsidRPr="00421A21">
        <w:t xml:space="preserve"> years.</w:t>
      </w:r>
      <w:r>
        <w:t xml:space="preserve"> No will for John Hall survives to provide any clarification, but his inventory does not mark him out as especially wealthy, assessed with just £48 at his death.</w:t>
      </w:r>
      <w:r w:rsidRPr="00991DE6">
        <w:rPr>
          <w:vertAlign w:val="superscript"/>
        </w:rPr>
        <w:footnoteReference w:id="557"/>
      </w:r>
    </w:p>
    <w:p w14:paraId="0ADD5B10" w14:textId="77777777" w:rsidR="00302D44" w:rsidRDefault="00302D44" w:rsidP="00302D44">
      <w:pPr>
        <w:spacing w:after="0" w:line="480" w:lineRule="auto"/>
        <w:jc w:val="both"/>
      </w:pPr>
      <w:r>
        <w:tab/>
        <w:t>At End Cottage, Jennet Hall died in 1721, survived by William for seven more years.</w:t>
      </w:r>
      <w:r>
        <w:rPr>
          <w:rStyle w:val="FootnoteReference"/>
        </w:rPr>
        <w:footnoteReference w:id="558"/>
      </w:r>
      <w:r>
        <w:t xml:space="preserve"> The</w:t>
      </w:r>
      <w:r w:rsidRPr="00FE0661">
        <w:t xml:space="preserve"> probate inventory produced </w:t>
      </w:r>
      <w:r>
        <w:t>on William’s death</w:t>
      </w:r>
      <w:r w:rsidRPr="00FE0661">
        <w:t>, like his father’s,</w:t>
      </w:r>
      <w:r>
        <w:t xml:space="preserve"> does not reference </w:t>
      </w:r>
      <w:r w:rsidRPr="00FE0661">
        <w:t xml:space="preserve">significant wealth. </w:t>
      </w:r>
      <w:r>
        <w:t xml:space="preserve">William’s belongings were appraised at just over £32, but household goods (excepting his </w:t>
      </w:r>
      <w:r w:rsidRPr="00FE0661">
        <w:t xml:space="preserve">‘purse and </w:t>
      </w:r>
      <w:proofErr w:type="spellStart"/>
      <w:r w:rsidRPr="00FE0661">
        <w:t>apparell</w:t>
      </w:r>
      <w:proofErr w:type="spellEnd"/>
      <w:r w:rsidRPr="00FE0661">
        <w:t>’</w:t>
      </w:r>
      <w:r>
        <w:t>) were not itemised, with the sum instead comprising</w:t>
      </w:r>
      <w:r w:rsidRPr="00FE0661">
        <w:t xml:space="preserve"> one </w:t>
      </w:r>
      <w:r w:rsidRPr="00FE0661">
        <w:lastRenderedPageBreak/>
        <w:t>mortgage (£15), one bill (£12) and one other sum ‘due’ to him (£2 10s).</w:t>
      </w:r>
      <w:r w:rsidRPr="00FE0661">
        <w:rPr>
          <w:vertAlign w:val="superscript"/>
        </w:rPr>
        <w:footnoteReference w:id="559"/>
      </w:r>
      <w:r w:rsidRPr="00FE0661">
        <w:t xml:space="preserve"> </w:t>
      </w:r>
      <w:r>
        <w:t>William was seventy-two at his death, and there are some clues that he had made transfers of wealth earlier in life rather than waiting to bequeath property in his will. The largest</w:t>
      </w:r>
      <w:r w:rsidRPr="00FE0661">
        <w:t xml:space="preserve"> bequest </w:t>
      </w:r>
      <w:r>
        <w:t>in his final testament amounted to</w:t>
      </w:r>
      <w:r w:rsidRPr="00FE0661">
        <w:t xml:space="preserve"> £10</w:t>
      </w:r>
      <w:r>
        <w:t xml:space="preserve"> given</w:t>
      </w:r>
      <w:r w:rsidRPr="00FE0661">
        <w:t xml:space="preserve"> to his second son</w:t>
      </w:r>
      <w:r>
        <w:t>, while his two daughters received</w:t>
      </w:r>
      <w:r w:rsidRPr="00FE0661">
        <w:t xml:space="preserve"> £7 </w:t>
      </w:r>
      <w:r>
        <w:t>each</w:t>
      </w:r>
      <w:r w:rsidRPr="00FE0661">
        <w:t>.</w:t>
      </w:r>
      <w:r w:rsidRPr="00FE0661">
        <w:rPr>
          <w:vertAlign w:val="superscript"/>
        </w:rPr>
        <w:footnoteReference w:id="560"/>
      </w:r>
      <w:r>
        <w:t xml:space="preserve"> One and a half acres of ‘arable ground’ and one and a half acres of ‘Meadow ground’ are the only property referenced in the will – both of which were entailed to the Halls’ eldest son, John.</w:t>
      </w:r>
      <w:r>
        <w:rPr>
          <w:rStyle w:val="FootnoteReference"/>
        </w:rPr>
        <w:footnoteReference w:id="561"/>
      </w:r>
      <w:r>
        <w:t xml:space="preserve"> End Cottage itself is not mentioned, suggesting it had already been transferred through an </w:t>
      </w:r>
      <w:r>
        <w:rPr>
          <w:i/>
          <w:iCs/>
        </w:rPr>
        <w:t xml:space="preserve">inter </w:t>
      </w:r>
      <w:proofErr w:type="spellStart"/>
      <w:r>
        <w:rPr>
          <w:i/>
          <w:iCs/>
        </w:rPr>
        <w:t>vivos</w:t>
      </w:r>
      <w:proofErr w:type="spellEnd"/>
      <w:r>
        <w:rPr>
          <w:i/>
          <w:iCs/>
        </w:rPr>
        <w:t xml:space="preserve"> </w:t>
      </w:r>
      <w:r>
        <w:t xml:space="preserve">settlement. In his analysis of Preston, Sussex, Lloyd Bonfield has demonstrated that over one third of (will-making) landowners living there between 1562 and 1702 also made </w:t>
      </w:r>
      <w:r>
        <w:rPr>
          <w:i/>
          <w:iCs/>
        </w:rPr>
        <w:t xml:space="preserve">inter </w:t>
      </w:r>
      <w:proofErr w:type="spellStart"/>
      <w:r>
        <w:rPr>
          <w:i/>
          <w:iCs/>
        </w:rPr>
        <w:t>vivos</w:t>
      </w:r>
      <w:proofErr w:type="spellEnd"/>
      <w:r>
        <w:rPr>
          <w:i/>
          <w:iCs/>
        </w:rPr>
        <w:t xml:space="preserve"> </w:t>
      </w:r>
      <w:r>
        <w:t>land transfers.</w:t>
      </w:r>
      <w:r>
        <w:rPr>
          <w:rStyle w:val="FootnoteReference"/>
        </w:rPr>
        <w:footnoteReference w:id="562"/>
      </w:r>
      <w:r>
        <w:t xml:space="preserve"> As discussed in the previous chapter, Bonfield stresses that wills were a supplementary option rather than the sole means of devolving assets, arguing that where sons and daughters seemingly received insubstantial sums – as in Hall’s case – scant survival of marriage and family settlements reveal that these bequests were supplementing resources already given over.</w:t>
      </w:r>
      <w:r>
        <w:rPr>
          <w:rStyle w:val="FootnoteReference"/>
        </w:rPr>
        <w:footnoteReference w:id="563"/>
      </w:r>
      <w:r>
        <w:t xml:space="preserve"> Given that William’s probate documents reflect his situation only at the end of his life, it is possible that they fail to accurately represent wealth accumulated by him throughout his lifetime, already distributed to his family.</w:t>
      </w:r>
    </w:p>
    <w:p w14:paraId="68FB2A4F" w14:textId="77777777" w:rsidR="00302D44" w:rsidRDefault="00302D44" w:rsidP="00302D44">
      <w:pPr>
        <w:spacing w:after="0" w:line="480" w:lineRule="auto"/>
        <w:jc w:val="both"/>
      </w:pPr>
      <w:r>
        <w:tab/>
        <w:t>The rebuilding of End Cottage in the first year of Jennet and William’s marriage was likely possible due to marriage settlements that do not survive. Jennet was born in nearby Slyne-with-Hest to Francis Ashton and his wife on 27</w:t>
      </w:r>
      <w:r w:rsidRPr="001241EA">
        <w:rPr>
          <w:vertAlign w:val="superscript"/>
        </w:rPr>
        <w:t>th</w:t>
      </w:r>
      <w:r>
        <w:t xml:space="preserve"> May 1659.</w:t>
      </w:r>
      <w:r>
        <w:rPr>
          <w:rStyle w:val="FootnoteReference"/>
        </w:rPr>
        <w:footnoteReference w:id="564"/>
      </w:r>
      <w:r>
        <w:t xml:space="preserve"> Multiple Ashton children </w:t>
      </w:r>
      <w:r>
        <w:lastRenderedPageBreak/>
        <w:t>died before adolescence, and Jennet was one of only three siblings surviving to adulthood – with no male heir among them.</w:t>
      </w:r>
      <w:r>
        <w:rPr>
          <w:rStyle w:val="FootnoteReference"/>
        </w:rPr>
        <w:footnoteReference w:id="565"/>
      </w:r>
      <w:r>
        <w:t xml:space="preserve"> The eldest, Elizabeth, was married in July 1680.</w:t>
      </w:r>
      <w:r>
        <w:rPr>
          <w:rStyle w:val="FootnoteReference"/>
        </w:rPr>
        <w:footnoteReference w:id="566"/>
      </w:r>
      <w:r>
        <w:t xml:space="preserve"> Jennet was married seven years later in 1687 and Anne married last, in 1692.</w:t>
      </w:r>
      <w:r>
        <w:rPr>
          <w:rStyle w:val="FootnoteReference"/>
        </w:rPr>
        <w:footnoteReference w:id="567"/>
      </w:r>
      <w:r w:rsidRPr="007E2612">
        <w:t xml:space="preserve"> </w:t>
      </w:r>
      <w:r>
        <w:t>Following the marriage of his eldest daughter, Francis Ashton made two property sales, one on 15</w:t>
      </w:r>
      <w:r w:rsidRPr="00BF2CDB">
        <w:rPr>
          <w:vertAlign w:val="superscript"/>
        </w:rPr>
        <w:t>th</w:t>
      </w:r>
      <w:r>
        <w:t xml:space="preserve"> February 1686 and another on 8</w:t>
      </w:r>
      <w:r w:rsidRPr="007A5707">
        <w:rPr>
          <w:vertAlign w:val="superscript"/>
        </w:rPr>
        <w:t>th</w:t>
      </w:r>
      <w:r>
        <w:t xml:space="preserve"> October 1687.</w:t>
      </w:r>
      <w:r>
        <w:rPr>
          <w:rStyle w:val="FootnoteReference"/>
        </w:rPr>
        <w:footnoteReference w:id="568"/>
      </w:r>
      <w:r>
        <w:t xml:space="preserve"> The sales involved multiple acres of land and outhouses in the neighbouring parish of Warton, and totalled £50 and £62 respectively. Making these sales in the months before – and immediately after </w:t>
      </w:r>
      <w:proofErr w:type="gramStart"/>
      <w:r>
        <w:t>–  Jennet’s</w:t>
      </w:r>
      <w:proofErr w:type="gramEnd"/>
      <w:r>
        <w:t xml:space="preserve"> marriage, it is highly likely that Francis Ashton was raising funds to finance the marriage settlements of his two younger daughters.</w:t>
      </w:r>
    </w:p>
    <w:p w14:paraId="06930D11" w14:textId="77777777" w:rsidR="00302D44" w:rsidRDefault="00302D44" w:rsidP="00302D44">
      <w:pPr>
        <w:spacing w:after="0" w:line="480" w:lineRule="auto"/>
        <w:jc w:val="both"/>
      </w:pPr>
      <w:r>
        <w:tab/>
        <w:t xml:space="preserve">Like the Barkers, Greenes and Gibsons, the Halls were in a financial position to rebuild and inscribe their home early in their marriage. Examining surviving documentation renders this discernible, revealing how the site on which End Cottage was built passed to William from his parents and suggesting that Jennet brought a considerable marriage portion with her to marriage, to which her parents contributed </w:t>
      </w:r>
      <w:proofErr w:type="gramStart"/>
      <w:r>
        <w:t>in</w:t>
      </w:r>
      <w:proofErr w:type="gramEnd"/>
      <w:r>
        <w:t xml:space="preserve"> the lead up to her nuptials. Once more it is evident that the addition of an inscription in the early years of marriage was contingent upon the possession of wealth </w:t>
      </w:r>
      <w:r>
        <w:rPr>
          <w:i/>
          <w:iCs/>
        </w:rPr>
        <w:t xml:space="preserve">at </w:t>
      </w:r>
      <w:r>
        <w:t xml:space="preserve">marriage. The couple do not appear to have been hugely wealthy in the later years of their marriage, but in possessing considerable funds at its commencement were able to construct (or alter) their future home. Altered using their joint resources, the inscription reinforced their union, reshaping what appears to have been the property of the </w:t>
      </w:r>
      <w:r>
        <w:lastRenderedPageBreak/>
        <w:t xml:space="preserve">Hall family as William and Jennet’s marital home. It is therefore clear that wealth played an important role in the timing of inscription </w:t>
      </w:r>
      <w:proofErr w:type="gramStart"/>
      <w:r>
        <w:t>but,</w:t>
      </w:r>
      <w:proofErr w:type="gramEnd"/>
      <w:r>
        <w:t xml:space="preserve"> as will be explored further, was not the only factor.</w:t>
      </w:r>
    </w:p>
    <w:p w14:paraId="5268FC06" w14:textId="77777777" w:rsidR="00302D44" w:rsidRDefault="00302D44" w:rsidP="00302D44">
      <w:pPr>
        <w:spacing w:after="0" w:line="480" w:lineRule="auto"/>
        <w:jc w:val="both"/>
      </w:pPr>
    </w:p>
    <w:p w14:paraId="20994A86" w14:textId="77777777" w:rsidR="00302D44" w:rsidRPr="00745715" w:rsidRDefault="00302D44" w:rsidP="00302D44">
      <w:pPr>
        <w:spacing w:after="0" w:line="480" w:lineRule="auto"/>
        <w:jc w:val="both"/>
      </w:pPr>
      <w:r>
        <w:rPr>
          <w:i/>
          <w:iCs/>
        </w:rPr>
        <w:t>Case Study 5: Cobblers’ Lodge, Bolton-le-Sands</w:t>
      </w:r>
    </w:p>
    <w:p w14:paraId="33CCB013" w14:textId="77777777" w:rsidR="00302D44" w:rsidRDefault="00302D44" w:rsidP="00302D44">
      <w:pPr>
        <w:spacing w:after="0" w:line="480" w:lineRule="auto"/>
        <w:ind w:firstLine="720"/>
        <w:jc w:val="both"/>
      </w:pPr>
      <w:r>
        <w:t>Compared with the houses already examined, the initials at Cobblers’ Lodge in Bolton-le-Sands reveal greater complexity surrounding inscription. Rather than on the outside of the house, the Cobblers’ Lodge epigraph is located inside, carved into the fireplace lintel. Notably, the couple commemorated by the Cobblers’ Lodge fireplace were married a year later than the date cited in the inscription carrying their initials.</w:t>
      </w:r>
      <w:r w:rsidRPr="008A727A">
        <w:rPr>
          <w:vertAlign w:val="superscript"/>
        </w:rPr>
        <w:footnoteReference w:id="569"/>
      </w:r>
      <w:r w:rsidRPr="008A727A">
        <w:t xml:space="preserve"> </w:t>
      </w:r>
      <w:r>
        <w:t>In these circumstances, the letters appear to have symbolised their intention to marry or functioned as a cementation of a marriage informally conducted within a private house. Replete with emotional and social significance far beyond the expression of wealth, the inscription at Cobblers’ Lodge is a testament to the richness of early modern inscription practices.</w:t>
      </w:r>
    </w:p>
    <w:p w14:paraId="4E8BA7FC" w14:textId="0E3AB20B" w:rsidR="00302D44" w:rsidRDefault="00302D44" w:rsidP="00302D44">
      <w:pPr>
        <w:spacing w:after="0" w:line="480" w:lineRule="auto"/>
        <w:ind w:firstLine="720"/>
        <w:jc w:val="both"/>
      </w:pPr>
      <w:r w:rsidRPr="00695F3C">
        <w:t>The initials at End Cottage suggest the house was completed in 1687, when William and Jennet Hall were formally married. The inscription at Cobblers</w:t>
      </w:r>
      <w:r>
        <w:t>’</w:t>
      </w:r>
      <w:r w:rsidRPr="00695F3C">
        <w:t xml:space="preserve"> Lodge in </w:t>
      </w:r>
      <w:r>
        <w:t>Bolton-le-Sands</w:t>
      </w:r>
      <w:r w:rsidRPr="00695F3C">
        <w:t xml:space="preserve">, however, suggests that building </w:t>
      </w:r>
      <w:r>
        <w:t>work</w:t>
      </w:r>
      <w:r w:rsidRPr="00695F3C">
        <w:t xml:space="preserve"> commence</w:t>
      </w:r>
      <w:r>
        <w:t>d</w:t>
      </w:r>
      <w:r w:rsidRPr="00695F3C">
        <w:t xml:space="preserve"> </w:t>
      </w:r>
      <w:r>
        <w:t>before a wedding had even taken place</w:t>
      </w:r>
      <w:r w:rsidRPr="00695F3C">
        <w:t xml:space="preserve">, </w:t>
      </w:r>
      <w:r>
        <w:t xml:space="preserve">opening </w:t>
      </w:r>
      <w:r w:rsidRPr="00695F3C">
        <w:t xml:space="preserve">a discussion of the many </w:t>
      </w:r>
      <w:r>
        <w:t>different steps in</w:t>
      </w:r>
      <w:r w:rsidRPr="00695F3C">
        <w:t xml:space="preserve"> early modern marriage. </w:t>
      </w:r>
      <w:r>
        <w:t>T</w:t>
      </w:r>
      <w:r w:rsidRPr="00695F3C">
        <w:t>he initials at Cobblers</w:t>
      </w:r>
      <w:r>
        <w:t>’</w:t>
      </w:r>
      <w:r w:rsidRPr="00695F3C">
        <w:t xml:space="preserve"> Lodge </w:t>
      </w:r>
      <w:r>
        <w:t xml:space="preserve">occupy </w:t>
      </w:r>
      <w:r w:rsidRPr="00695F3C">
        <w:t>the centre of the fireplace</w:t>
      </w:r>
      <w:r>
        <w:t xml:space="preserve"> lintel</w:t>
      </w:r>
      <w:r w:rsidRPr="005B41FE">
        <w:t xml:space="preserve"> </w:t>
      </w:r>
      <w:r w:rsidRPr="00695F3C">
        <w:t xml:space="preserve">in what is now the living room, </w:t>
      </w:r>
      <w:r>
        <w:t xml:space="preserve">with </w:t>
      </w:r>
      <w:r w:rsidRPr="00695F3C">
        <w:t xml:space="preserve">the letters </w:t>
      </w:r>
      <w:r>
        <w:t>‘</w:t>
      </w:r>
      <w:r w:rsidRPr="00695F3C">
        <w:t>W</w:t>
      </w:r>
      <w:r w:rsidRPr="00695F3C">
        <w:rPr>
          <w:vertAlign w:val="superscript"/>
        </w:rPr>
        <w:t>W</w:t>
      </w:r>
      <w:r w:rsidRPr="00695F3C">
        <w:t>E</w:t>
      </w:r>
      <w:r>
        <w:t>’</w:t>
      </w:r>
      <w:r w:rsidRPr="00695F3C">
        <w:t xml:space="preserve"> surmount</w:t>
      </w:r>
      <w:r>
        <w:t xml:space="preserve">ing </w:t>
      </w:r>
      <w:r w:rsidRPr="00695F3C">
        <w:t>the year</w:t>
      </w:r>
      <w:r>
        <w:t>,</w:t>
      </w:r>
      <w:r w:rsidRPr="00695F3C">
        <w:t xml:space="preserve"> 1686</w:t>
      </w:r>
      <w:r>
        <w:t xml:space="preserve"> </w:t>
      </w:r>
      <w:r w:rsidRPr="005B41FE">
        <w:t xml:space="preserve">(Figure </w:t>
      </w:r>
      <w:r w:rsidR="00E7021B">
        <w:t>12, p.</w:t>
      </w:r>
      <w:r w:rsidR="00E730A2">
        <w:t>326</w:t>
      </w:r>
      <w:r>
        <w:t>)</w:t>
      </w:r>
      <w:r w:rsidRPr="00695F3C">
        <w:t xml:space="preserve">. The initials stand for William and Elizabeth Wilkinson, </w:t>
      </w:r>
      <w:r>
        <w:t xml:space="preserve">who </w:t>
      </w:r>
      <w:r w:rsidRPr="00695F3C">
        <w:t xml:space="preserve">married in </w:t>
      </w:r>
      <w:r>
        <w:t>Bolton-le-Sands</w:t>
      </w:r>
      <w:r w:rsidRPr="00695F3C">
        <w:t xml:space="preserve"> on 25 April 1687 – a year later than </w:t>
      </w:r>
      <w:r w:rsidRPr="00695F3C">
        <w:lastRenderedPageBreak/>
        <w:t>the</w:t>
      </w:r>
      <w:r>
        <w:t xml:space="preserve"> inscribed</w:t>
      </w:r>
      <w:r w:rsidRPr="00695F3C">
        <w:t xml:space="preserve"> date.</w:t>
      </w:r>
      <w:r w:rsidRPr="00695F3C">
        <w:rPr>
          <w:rStyle w:val="FootnoteReference"/>
        </w:rPr>
        <w:footnoteReference w:id="570"/>
      </w:r>
      <w:r w:rsidRPr="00695F3C">
        <w:t xml:space="preserve"> Garnett has navigated this incongruity by suggesting that the Wilkinsons were in fact married on 25 April 1686.</w:t>
      </w:r>
      <w:r w:rsidRPr="00695F3C">
        <w:rPr>
          <w:rStyle w:val="FootnoteReference"/>
        </w:rPr>
        <w:footnoteReference w:id="571"/>
      </w:r>
      <w:r w:rsidRPr="00695F3C">
        <w:t xml:space="preserve"> Nonetheless, while some parish registers mark entries in different </w:t>
      </w:r>
      <w:r>
        <w:t>format</w:t>
      </w:r>
      <w:r w:rsidRPr="00695F3C">
        <w:t xml:space="preserve">s and render exact dating difficult, the </w:t>
      </w:r>
      <w:r>
        <w:t>Bolton-le-Sands</w:t>
      </w:r>
      <w:r w:rsidRPr="00695F3C">
        <w:t xml:space="preserve"> register is clear in stating ‘</w:t>
      </w:r>
      <w:proofErr w:type="spellStart"/>
      <w:r w:rsidRPr="00695F3C">
        <w:t>Marig</w:t>
      </w:r>
      <w:r>
        <w:t>e</w:t>
      </w:r>
      <w:r w:rsidRPr="00695F3C">
        <w:t>s</w:t>
      </w:r>
      <w:proofErr w:type="spellEnd"/>
      <w:r w:rsidRPr="00695F3C">
        <w:t xml:space="preserve"> </w:t>
      </w:r>
      <w:r>
        <w:t>S</w:t>
      </w:r>
      <w:r w:rsidRPr="00695F3C">
        <w:t xml:space="preserve">ince March 25 1687’ atop the page featuring the Wilkinsons’ nuptials (Figure </w:t>
      </w:r>
      <w:r w:rsidR="005E321B">
        <w:t>13, p.</w:t>
      </w:r>
      <w:r w:rsidR="00E730A2">
        <w:t>327</w:t>
      </w:r>
      <w:r w:rsidRPr="00695F3C">
        <w:t xml:space="preserve">). The print edition of the </w:t>
      </w:r>
      <w:r>
        <w:t>Bolton-le-Sands</w:t>
      </w:r>
      <w:r w:rsidRPr="00695F3C">
        <w:t xml:space="preserve"> register also </w:t>
      </w:r>
      <w:r>
        <w:t>aligns with t</w:t>
      </w:r>
      <w:r w:rsidRPr="00695F3C">
        <w:t>his</w:t>
      </w:r>
      <w:r>
        <w:t xml:space="preserve"> </w:t>
      </w:r>
      <w:r w:rsidRPr="00695F3C">
        <w:t xml:space="preserve">(Figure </w:t>
      </w:r>
      <w:r w:rsidR="005E321B">
        <w:t>14, p.</w:t>
      </w:r>
      <w:r w:rsidR="00E730A2">
        <w:t>328</w:t>
      </w:r>
      <w:r w:rsidRPr="00695F3C">
        <w:t>)</w:t>
      </w:r>
      <w:r>
        <w:t>. As a result,</w:t>
      </w:r>
      <w:r w:rsidRPr="00695F3C">
        <w:t xml:space="preserve"> </w:t>
      </w:r>
      <w:r>
        <w:t>the basis for</w:t>
      </w:r>
      <w:r w:rsidRPr="00695F3C">
        <w:t xml:space="preserve"> Garnett</w:t>
      </w:r>
      <w:r>
        <w:t>’s</w:t>
      </w:r>
      <w:r w:rsidRPr="00695F3C">
        <w:t xml:space="preserve"> conclusions</w:t>
      </w:r>
      <w:r>
        <w:t xml:space="preserve"> is unclear</w:t>
      </w:r>
      <w:r w:rsidRPr="00695F3C">
        <w:t xml:space="preserve">, </w:t>
      </w:r>
      <w:r>
        <w:t xml:space="preserve">with her </w:t>
      </w:r>
      <w:r w:rsidRPr="00695F3C">
        <w:t>perhaps opting to follow the inscription and doubt the credibility of the register rather than suggesting that the two events occurred in different years.</w:t>
      </w:r>
    </w:p>
    <w:p w14:paraId="5EB85BA4" w14:textId="77777777" w:rsidR="00302D44" w:rsidRDefault="00302D44" w:rsidP="00302D44">
      <w:pPr>
        <w:spacing w:after="0" w:line="480" w:lineRule="auto"/>
        <w:ind w:firstLine="720"/>
        <w:jc w:val="both"/>
      </w:pPr>
      <w:r w:rsidRPr="00695F3C">
        <w:t>Two explanations present themselves for the disparity between the marriage year and the Cobblers</w:t>
      </w:r>
      <w:r>
        <w:t>’</w:t>
      </w:r>
      <w:r w:rsidRPr="00695F3C">
        <w:t xml:space="preserve"> Lodge inscription. Rather than the wedding itself, the inscription may commemorate </w:t>
      </w:r>
      <w:r>
        <w:t xml:space="preserve">a betrothal between </w:t>
      </w:r>
      <w:r w:rsidRPr="00695F3C">
        <w:t>William and Elizabeth</w:t>
      </w:r>
      <w:r>
        <w:t>, marking their</w:t>
      </w:r>
      <w:r w:rsidRPr="00695F3C">
        <w:t xml:space="preserve"> intention to marry</w:t>
      </w:r>
      <w:r>
        <w:t>. Equally,</w:t>
      </w:r>
      <w:r w:rsidRPr="00695F3C">
        <w:t xml:space="preserve"> it may mark spousals contracted between them. </w:t>
      </w:r>
      <w:r>
        <w:t xml:space="preserve">In describing the many steps of early modern marriage, </w:t>
      </w:r>
      <w:r w:rsidRPr="00695F3C">
        <w:t>Colin R. Chapman has argu</w:t>
      </w:r>
      <w:r>
        <w:t>ed</w:t>
      </w:r>
      <w:r w:rsidRPr="00695F3C">
        <w:t xml:space="preserve"> that the actual </w:t>
      </w:r>
      <w:r>
        <w:t>starting point for</w:t>
      </w:r>
      <w:r w:rsidRPr="00695F3C">
        <w:t xml:space="preserve"> marriage was unclear</w:t>
      </w:r>
      <w:r>
        <w:t xml:space="preserve">, capable of being the </w:t>
      </w:r>
      <w:r w:rsidRPr="00695F3C">
        <w:t xml:space="preserve">betrothal; an ‘espousal’; the verbal declaration of the couple as man and wife </w:t>
      </w:r>
      <w:r>
        <w:t>(</w:t>
      </w:r>
      <w:r w:rsidRPr="00695F3C">
        <w:t>in church</w:t>
      </w:r>
      <w:r>
        <w:t xml:space="preserve"> or elsewhere)</w:t>
      </w:r>
      <w:r w:rsidRPr="00695F3C">
        <w:t>; or the physical consummation of their union.</w:t>
      </w:r>
      <w:r w:rsidRPr="00695F3C">
        <w:rPr>
          <w:rStyle w:val="FootnoteReference"/>
        </w:rPr>
        <w:footnoteReference w:id="572"/>
      </w:r>
      <w:r w:rsidRPr="00695F3C">
        <w:t xml:space="preserve"> While betrothals often involved agreements between the families of the bride and groom, necessitated by the couple’s decision to marry, spousals were more varied and </w:t>
      </w:r>
      <w:r>
        <w:t>seemingly</w:t>
      </w:r>
      <w:r w:rsidRPr="00695F3C">
        <w:t xml:space="preserve"> permitted the couple to be understood as </w:t>
      </w:r>
      <w:r w:rsidRPr="00695F3C">
        <w:rPr>
          <w:i/>
          <w:iCs/>
        </w:rPr>
        <w:t xml:space="preserve">already </w:t>
      </w:r>
      <w:r w:rsidRPr="00695F3C">
        <w:t>married.</w:t>
      </w:r>
      <w:r w:rsidRPr="00695F3C">
        <w:rPr>
          <w:rStyle w:val="FootnoteReference"/>
        </w:rPr>
        <w:footnoteReference w:id="573"/>
      </w:r>
      <w:r w:rsidRPr="00695F3C">
        <w:t xml:space="preserve"> Understandings of these </w:t>
      </w:r>
      <w:r>
        <w:t>many variable</w:t>
      </w:r>
      <w:r w:rsidRPr="00695F3C">
        <w:t xml:space="preserve"> </w:t>
      </w:r>
      <w:r>
        <w:t>waypoints</w:t>
      </w:r>
      <w:r w:rsidRPr="00695F3C">
        <w:t xml:space="preserve"> in the marriage process </w:t>
      </w:r>
      <w:r>
        <w:t>differed widely</w:t>
      </w:r>
      <w:r w:rsidRPr="00695F3C">
        <w:t xml:space="preserve">, and </w:t>
      </w:r>
      <w:r>
        <w:t xml:space="preserve">contemporary </w:t>
      </w:r>
      <w:r w:rsidRPr="00695F3C">
        <w:t xml:space="preserve">religious figures </w:t>
      </w:r>
      <w:r>
        <w:t>dis</w:t>
      </w:r>
      <w:r w:rsidRPr="00695F3C">
        <w:t>agree</w:t>
      </w:r>
      <w:r>
        <w:t>d</w:t>
      </w:r>
      <w:r w:rsidRPr="00695F3C">
        <w:t xml:space="preserve"> </w:t>
      </w:r>
      <w:r>
        <w:t>over</w:t>
      </w:r>
      <w:r w:rsidRPr="00695F3C">
        <w:t xml:space="preserve"> what constituted each</w:t>
      </w:r>
      <w:r>
        <w:t xml:space="preserve"> stage</w:t>
      </w:r>
      <w:r w:rsidRPr="00695F3C">
        <w:t>.</w:t>
      </w:r>
      <w:r>
        <w:rPr>
          <w:rStyle w:val="FootnoteReference"/>
        </w:rPr>
        <w:footnoteReference w:id="574"/>
      </w:r>
    </w:p>
    <w:p w14:paraId="61A08E66" w14:textId="77777777" w:rsidR="00302D44" w:rsidRPr="00695F3C" w:rsidRDefault="00302D44" w:rsidP="00302D44">
      <w:pPr>
        <w:spacing w:after="0" w:line="480" w:lineRule="auto"/>
        <w:ind w:firstLine="720"/>
        <w:jc w:val="both"/>
      </w:pPr>
      <w:r w:rsidRPr="00695F3C">
        <w:lastRenderedPageBreak/>
        <w:t xml:space="preserve"> David Cressy has emphasised that neither law nor religion required formal betrothals, contracts or spousals</w:t>
      </w:r>
      <w:r>
        <w:t>.</w:t>
      </w:r>
      <w:r>
        <w:rPr>
          <w:rStyle w:val="FootnoteReference"/>
        </w:rPr>
        <w:footnoteReference w:id="575"/>
      </w:r>
      <w:r w:rsidRPr="00695F3C">
        <w:t xml:space="preserve"> </w:t>
      </w:r>
      <w:r>
        <w:t>Discussing the ‘contracting’ of marriage,</w:t>
      </w:r>
      <w:r w:rsidRPr="00695F3C">
        <w:t xml:space="preserve"> Jacobean domestic advisor William Gouge asserted</w:t>
      </w:r>
      <w:r>
        <w:t xml:space="preserve"> </w:t>
      </w:r>
      <w:r w:rsidRPr="00695F3C">
        <w:t>that ‘many make it a very marriage, and thereupon have a greater solemnity at their contract than at their marriage’.</w:t>
      </w:r>
      <w:r w:rsidRPr="00695F3C">
        <w:rPr>
          <w:rStyle w:val="FootnoteReference"/>
        </w:rPr>
        <w:footnoteReference w:id="576"/>
      </w:r>
      <w:r w:rsidRPr="00695F3C">
        <w:t xml:space="preserve"> Spousals, too, could look strikingly similar to weddings (albeit in different settings) and Christine Peters has emphasised that </w:t>
      </w:r>
      <w:r>
        <w:t xml:space="preserve">the </w:t>
      </w:r>
      <w:r w:rsidRPr="00695F3C">
        <w:t>exchang</w:t>
      </w:r>
      <w:r>
        <w:t xml:space="preserve">e of </w:t>
      </w:r>
      <w:r w:rsidRPr="00695F3C">
        <w:t xml:space="preserve">vows of consent was </w:t>
      </w:r>
      <w:r>
        <w:t>central to</w:t>
      </w:r>
      <w:r w:rsidRPr="00695F3C">
        <w:t xml:space="preserve"> both spousal and marriage proceedings.</w:t>
      </w:r>
      <w:r w:rsidRPr="00695F3C">
        <w:rPr>
          <w:rStyle w:val="FootnoteReference"/>
        </w:rPr>
        <w:footnoteReference w:id="577"/>
      </w:r>
      <w:r w:rsidRPr="00695F3C">
        <w:t xml:space="preserve"> Even where couples engaged in handfasting and ‘</w:t>
      </w:r>
      <w:proofErr w:type="spellStart"/>
      <w:r w:rsidRPr="00695F3C">
        <w:t>trotheplighting</w:t>
      </w:r>
      <w:proofErr w:type="spellEnd"/>
      <w:r w:rsidRPr="00695F3C">
        <w:t>’ – a ritualised joining of hands – many ceremonies still resembled church weddings, deploying similar language and symbolism and followed by comparable feasting and public celebrations.</w:t>
      </w:r>
      <w:r w:rsidRPr="00695F3C">
        <w:rPr>
          <w:rStyle w:val="FootnoteReference"/>
        </w:rPr>
        <w:footnoteReference w:id="578"/>
      </w:r>
      <w:r>
        <w:t xml:space="preserve"> </w:t>
      </w:r>
      <w:r w:rsidRPr="000A4458">
        <w:t xml:space="preserve">Writing in 1642, Daniel Rogers stated that ‘espousals, </w:t>
      </w:r>
      <w:proofErr w:type="spellStart"/>
      <w:r w:rsidRPr="000A4458">
        <w:t>betrothings</w:t>
      </w:r>
      <w:proofErr w:type="spellEnd"/>
      <w:r w:rsidRPr="000A4458">
        <w:t xml:space="preserve">, </w:t>
      </w:r>
      <w:proofErr w:type="spellStart"/>
      <w:r w:rsidRPr="000A4458">
        <w:t>assurings</w:t>
      </w:r>
      <w:proofErr w:type="spellEnd"/>
      <w:r w:rsidRPr="000A4458">
        <w:t xml:space="preserve">, </w:t>
      </w:r>
      <w:proofErr w:type="spellStart"/>
      <w:r w:rsidRPr="000A4458">
        <w:t>contractings</w:t>
      </w:r>
      <w:proofErr w:type="spellEnd"/>
      <w:r w:rsidRPr="000A4458">
        <w:t xml:space="preserve">, </w:t>
      </w:r>
      <w:proofErr w:type="spellStart"/>
      <w:r w:rsidRPr="000A4458">
        <w:t>affirmings</w:t>
      </w:r>
      <w:proofErr w:type="spellEnd"/>
      <w:r w:rsidRPr="000A4458">
        <w:t xml:space="preserve"> (for they are all one) [were] very solemn matters’, drawing parallels between the</w:t>
      </w:r>
      <w:r>
        <w:t xml:space="preserve"> many equivalent ceremonies</w:t>
      </w:r>
      <w:r w:rsidRPr="000A4458">
        <w:t xml:space="preserve"> and making it clear that, whatever the terminology used, </w:t>
      </w:r>
      <w:r>
        <w:t xml:space="preserve">contemporary society generally understood </w:t>
      </w:r>
      <w:r w:rsidRPr="000A4458">
        <w:t xml:space="preserve">there </w:t>
      </w:r>
      <w:r>
        <w:t>to be numerous</w:t>
      </w:r>
      <w:r w:rsidRPr="000A4458">
        <w:t xml:space="preserve"> steps between courtship and marriage.</w:t>
      </w:r>
      <w:r w:rsidRPr="000A4458">
        <w:rPr>
          <w:vertAlign w:val="superscript"/>
        </w:rPr>
        <w:footnoteReference w:id="579"/>
      </w:r>
    </w:p>
    <w:p w14:paraId="6783C781" w14:textId="77777777" w:rsidR="00302D44" w:rsidRPr="00695F3C" w:rsidRDefault="00302D44" w:rsidP="00302D44">
      <w:pPr>
        <w:spacing w:after="0" w:line="480" w:lineRule="auto"/>
        <w:ind w:firstLine="720"/>
        <w:jc w:val="both"/>
      </w:pPr>
      <w:r w:rsidRPr="00695F3C">
        <w:t xml:space="preserve">While the exact content of these ceremonies varied, an awareness of the possible </w:t>
      </w:r>
      <w:r>
        <w:t xml:space="preserve">stages </w:t>
      </w:r>
      <w:r w:rsidRPr="00695F3C">
        <w:t>between courtship and marriage is useful in examining the Cobblers</w:t>
      </w:r>
      <w:r>
        <w:t>’</w:t>
      </w:r>
      <w:r w:rsidRPr="00695F3C">
        <w:t xml:space="preserve"> Lodge inscription. Writing in 1686, Henry Swinburne stated that ‘in some places the Woman after these spousals, presently cohabited with the Man, but continued unknown till the </w:t>
      </w:r>
      <w:proofErr w:type="gramStart"/>
      <w:r w:rsidRPr="00695F3C">
        <w:t>Marriage day</w:t>
      </w:r>
      <w:proofErr w:type="gramEnd"/>
      <w:r w:rsidRPr="00695F3C">
        <w:t>’.</w:t>
      </w:r>
      <w:r w:rsidRPr="00695F3C">
        <w:rPr>
          <w:rStyle w:val="FootnoteReference"/>
        </w:rPr>
        <w:footnoteReference w:id="580"/>
      </w:r>
      <w:r w:rsidRPr="00695F3C">
        <w:t xml:space="preserve"> Swinburne suggested that espoused couples might share a home, fulfilling a key tenet of early modern marriage even while remaining chaste before </w:t>
      </w:r>
      <w:r>
        <w:t>a formal wedding</w:t>
      </w:r>
      <w:r w:rsidRPr="00695F3C">
        <w:t xml:space="preserve"> in church. While </w:t>
      </w:r>
      <w:r w:rsidRPr="00695F3C">
        <w:lastRenderedPageBreak/>
        <w:t>Peters has concluded that Swinburne may have been contrasting pre-Reformation England with his own present day (stating as he d</w:t>
      </w:r>
      <w:r>
        <w:t>id</w:t>
      </w:r>
      <w:r w:rsidRPr="00695F3C">
        <w:t xml:space="preserve"> that ‘some men may imagine that spousals are now in great measure out of use’), some historians have argued that spousal traditions continued </w:t>
      </w:r>
      <w:r>
        <w:t>to different degrees in</w:t>
      </w:r>
      <w:r w:rsidRPr="00695F3C">
        <w:t xml:space="preserve"> different parts of the country.</w:t>
      </w:r>
      <w:r>
        <w:rPr>
          <w:rStyle w:val="FootnoteReference"/>
        </w:rPr>
        <w:footnoteReference w:id="581"/>
      </w:r>
      <w:r w:rsidRPr="00695F3C">
        <w:t xml:space="preserve"> E. K. M. Jarman</w:t>
      </w:r>
      <w:r>
        <w:t>, for example,</w:t>
      </w:r>
      <w:r w:rsidRPr="00695F3C">
        <w:t xml:space="preserve"> has shown that spousal</w:t>
      </w:r>
      <w:r>
        <w:t>s</w:t>
      </w:r>
      <w:r w:rsidRPr="00695F3C">
        <w:t xml:space="preserve"> continued in the English north-west into the mid-seventeenth century, discernible in marital disputes brought to the consistory court of Chester.</w:t>
      </w:r>
      <w:r w:rsidRPr="00695F3C">
        <w:rPr>
          <w:rStyle w:val="FootnoteReference"/>
        </w:rPr>
        <w:footnoteReference w:id="582"/>
      </w:r>
      <w:r w:rsidRPr="00695F3C">
        <w:t xml:space="preserve"> Comparatively, Colin R. Chapman has demonstrated that some Cheshire parish registers from the 1610s</w:t>
      </w:r>
      <w:r>
        <w:t xml:space="preserve"> </w:t>
      </w:r>
      <w:r w:rsidRPr="00695F3C">
        <w:t xml:space="preserve">and </w:t>
      </w:r>
      <w:r>
        <w:t xml:space="preserve">some </w:t>
      </w:r>
      <w:r w:rsidRPr="00695F3C">
        <w:t>from Kent in the 1630s</w:t>
      </w:r>
      <w:r>
        <w:t xml:space="preserve"> record </w:t>
      </w:r>
      <w:r w:rsidRPr="00695F3C">
        <w:t xml:space="preserve">spousals </w:t>
      </w:r>
      <w:r w:rsidRPr="009D0388">
        <w:rPr>
          <w:i/>
          <w:iCs/>
        </w:rPr>
        <w:t>as well as</w:t>
      </w:r>
      <w:r>
        <w:t xml:space="preserve"> </w:t>
      </w:r>
      <w:r w:rsidRPr="00695F3C">
        <w:t xml:space="preserve">marriages, </w:t>
      </w:r>
      <w:r>
        <w:t>affording them some</w:t>
      </w:r>
      <w:r w:rsidRPr="00695F3C">
        <w:t xml:space="preserve"> recognition within the structure</w:t>
      </w:r>
      <w:r>
        <w:t>s</w:t>
      </w:r>
      <w:r w:rsidRPr="00695F3C">
        <w:t xml:space="preserve"> of the early modern church.</w:t>
      </w:r>
      <w:r w:rsidRPr="00695F3C">
        <w:rPr>
          <w:rStyle w:val="FootnoteReference"/>
        </w:rPr>
        <w:footnoteReference w:id="583"/>
      </w:r>
      <w:r w:rsidRPr="00695F3C">
        <w:t xml:space="preserve"> </w:t>
      </w:r>
      <w:r>
        <w:t xml:space="preserve">Joanne </w:t>
      </w:r>
      <w:proofErr w:type="spellStart"/>
      <w:r>
        <w:t>Begiato</w:t>
      </w:r>
      <w:proofErr w:type="spellEnd"/>
      <w:r w:rsidRPr="00695F3C">
        <w:t xml:space="preserve">, meanwhile, has argued in favour of a ‘distinct regional culture of matrimony’ in north-western England, </w:t>
      </w:r>
      <w:r>
        <w:t>suggesting that this enabled</w:t>
      </w:r>
      <w:r w:rsidRPr="00695F3C">
        <w:t xml:space="preserve"> traditional rituals like spousals to continue even when elsewhere they </w:t>
      </w:r>
      <w:r>
        <w:t>apparently fell into</w:t>
      </w:r>
      <w:r w:rsidRPr="00695F3C">
        <w:t xml:space="preserve"> decline earlier in the seventeenth century.</w:t>
      </w:r>
      <w:r w:rsidRPr="00695F3C">
        <w:rPr>
          <w:rStyle w:val="FootnoteReference"/>
        </w:rPr>
        <w:footnoteReference w:id="584"/>
      </w:r>
    </w:p>
    <w:p w14:paraId="458981A5" w14:textId="77777777" w:rsidR="00302D44" w:rsidRPr="00695F3C" w:rsidRDefault="00302D44" w:rsidP="00302D44">
      <w:pPr>
        <w:spacing w:after="0" w:line="480" w:lineRule="auto"/>
        <w:ind w:firstLine="720"/>
        <w:jc w:val="both"/>
      </w:pPr>
      <w:r w:rsidRPr="00695F3C">
        <w:t>David Cressy has found instances of traditional handfasting and contracting ceremonies into the 1680s.</w:t>
      </w:r>
      <w:r w:rsidRPr="00695F3C">
        <w:rPr>
          <w:rStyle w:val="FootnoteReference"/>
        </w:rPr>
        <w:footnoteReference w:id="585"/>
      </w:r>
      <w:r w:rsidRPr="00695F3C">
        <w:t xml:space="preserve"> Moreover, published as late as 1694, the </w:t>
      </w:r>
      <w:r w:rsidRPr="00695F3C">
        <w:rPr>
          <w:i/>
          <w:iCs/>
        </w:rPr>
        <w:t>Ladies’ Dictionary</w:t>
      </w:r>
      <w:r w:rsidRPr="00695F3C">
        <w:t xml:space="preserve"> described the ‘nuptial promise’ thus:</w:t>
      </w:r>
    </w:p>
    <w:p w14:paraId="473F725B" w14:textId="77777777" w:rsidR="00302D44" w:rsidRPr="00695F3C" w:rsidRDefault="00302D44" w:rsidP="00302D44">
      <w:pPr>
        <w:spacing w:after="0" w:line="480" w:lineRule="auto"/>
        <w:ind w:left="720" w:right="964"/>
        <w:jc w:val="both"/>
      </w:pPr>
      <w:r w:rsidRPr="00695F3C">
        <w:t>‘</w:t>
      </w:r>
      <w:proofErr w:type="gramStart"/>
      <w:r w:rsidRPr="00695F3C">
        <w:t>though</w:t>
      </w:r>
      <w:proofErr w:type="gramEnd"/>
      <w:r w:rsidRPr="00695F3C">
        <w:t xml:space="preserve"> in law it is not an oath, yet so solemn a protestation before God and those present as witnesses is as binding, and ought to be as religiously observed. Marriage without a pre-engagement or contract looks so odd, </w:t>
      </w:r>
      <w:r w:rsidRPr="00695F3C">
        <w:lastRenderedPageBreak/>
        <w:t>that it appears more like the coupling of irrational than rational creatures’.</w:t>
      </w:r>
      <w:r w:rsidRPr="00695F3C">
        <w:rPr>
          <w:rStyle w:val="FootnoteReference"/>
        </w:rPr>
        <w:footnoteReference w:id="586"/>
      </w:r>
    </w:p>
    <w:p w14:paraId="6812D79C" w14:textId="4B464B67" w:rsidR="00302D44" w:rsidRPr="00695F3C" w:rsidRDefault="00302D44" w:rsidP="00302D44">
      <w:pPr>
        <w:spacing w:after="0" w:line="480" w:lineRule="auto"/>
        <w:jc w:val="both"/>
      </w:pPr>
      <w:proofErr w:type="gramStart"/>
      <w:r w:rsidRPr="00695F3C">
        <w:t>In spite of</w:t>
      </w:r>
      <w:proofErr w:type="gramEnd"/>
      <w:r w:rsidRPr="00695F3C">
        <w:t xml:space="preserve"> arguments that</w:t>
      </w:r>
      <w:r>
        <w:t xml:space="preserve"> </w:t>
      </w:r>
      <w:r w:rsidRPr="00695F3C">
        <w:t>by the late</w:t>
      </w:r>
      <w:r w:rsidR="00ED10E2">
        <w:t>-</w:t>
      </w:r>
      <w:r w:rsidRPr="00695F3C">
        <w:t xml:space="preserve">seventeenth century English marriages were created in church, it appears that the formalisation of </w:t>
      </w:r>
      <w:r>
        <w:t xml:space="preserve">a </w:t>
      </w:r>
      <w:r w:rsidRPr="00695F3C">
        <w:t>union in a religious setting w</w:t>
      </w:r>
      <w:r>
        <w:t>as</w:t>
      </w:r>
      <w:r w:rsidRPr="00695F3C">
        <w:t xml:space="preserve"> not necessarily </w:t>
      </w:r>
      <w:r>
        <w:t>its</w:t>
      </w:r>
      <w:r w:rsidRPr="00695F3C">
        <w:t xml:space="preserve"> first and only starting point. The picture was undoubtedly complicated, and there can be no certainty over whether William and Elizabeth Wilkinson had a betrothal, contracting ceremony, or spousal ahead of their </w:t>
      </w:r>
      <w:r>
        <w:t>church wedding</w:t>
      </w:r>
      <w:r w:rsidRPr="00695F3C">
        <w:t xml:space="preserve"> in 1687. </w:t>
      </w:r>
      <w:r>
        <w:t>Regardless, i</w:t>
      </w:r>
      <w:r w:rsidRPr="00695F3C">
        <w:t xml:space="preserve">t is significant </w:t>
      </w:r>
      <w:r>
        <w:t>t</w:t>
      </w:r>
      <w:r w:rsidRPr="00695F3C">
        <w:t>hat the period between courtship and</w:t>
      </w:r>
      <w:r>
        <w:t xml:space="preserve"> formalisation in </w:t>
      </w:r>
      <w:r w:rsidRPr="00695F3C">
        <w:t>church was understood as liminal and transitional in early modern England</w:t>
      </w:r>
      <w:r>
        <w:t>. In these circumstances, it is understandable that a commemorative inscription could be carved upon Cobblers’ Lodge before the couple appeared together within the parish register. Present inside the home rather than on the façade, it is also feasible that the inscription commemorates a union that had been agreed upon in private without yet being publicly solemnised.</w:t>
      </w:r>
    </w:p>
    <w:p w14:paraId="35E6719C" w14:textId="77777777" w:rsidR="00302D44" w:rsidRDefault="00302D44" w:rsidP="00302D44">
      <w:pPr>
        <w:spacing w:after="0" w:line="480" w:lineRule="auto"/>
        <w:ind w:firstLine="720"/>
        <w:jc w:val="both"/>
      </w:pPr>
      <w:r>
        <w:t xml:space="preserve">The Cobblers’ Lodge inscription may have acted as a material reinforcement, either bolstering a marriage not yet confirmed in English or Christian law or cementing William and Elizabeth’s intention to marry </w:t>
      </w:r>
      <w:proofErr w:type="gramStart"/>
      <w:r>
        <w:t>in the near future</w:t>
      </w:r>
      <w:proofErr w:type="gramEnd"/>
      <w:r>
        <w:t xml:space="preserve">. Given that many ritualised agreements </w:t>
      </w:r>
      <w:r w:rsidRPr="004F013E">
        <w:t>between couples and their families to</w:t>
      </w:r>
      <w:r>
        <w:t>ok</w:t>
      </w:r>
      <w:r w:rsidRPr="004F013E">
        <w:t xml:space="preserve"> place in private homes</w:t>
      </w:r>
      <w:r>
        <w:t xml:space="preserve">, </w:t>
      </w:r>
      <w:r w:rsidRPr="00E61963">
        <w:t>it is also possible that the Cobblers’ Lodge inscription formed a backdrop to such a scene</w:t>
      </w:r>
      <w:r>
        <w:t>, marking</w:t>
      </w:r>
      <w:r w:rsidRPr="00E61963">
        <w:t xml:space="preserve"> a decisive event in the Wilkinsons’ relationship.</w:t>
      </w:r>
      <w:r>
        <w:rPr>
          <w:rStyle w:val="FootnoteReference"/>
        </w:rPr>
        <w:footnoteReference w:id="587"/>
      </w:r>
      <w:r>
        <w:t xml:space="preserve"> </w:t>
      </w:r>
      <w:r w:rsidRPr="00695F3C">
        <w:t xml:space="preserve">If Swinburne is to be believed, the inscription may even have commemorated the </w:t>
      </w:r>
      <w:r>
        <w:t>commencement of</w:t>
      </w:r>
      <w:r w:rsidRPr="00695F3C">
        <w:t xml:space="preserve"> William and Elizabeth</w:t>
      </w:r>
      <w:r>
        <w:t>’s cohabitation,</w:t>
      </w:r>
      <w:r w:rsidRPr="00695F3C">
        <w:t xml:space="preserve"> perhaps recognised as married within the</w:t>
      </w:r>
      <w:r>
        <w:t>ir</w:t>
      </w:r>
      <w:r w:rsidRPr="00695F3C">
        <w:t xml:space="preserve"> community even while not strictly permitted to consummate their </w:t>
      </w:r>
      <w:r>
        <w:t>union</w:t>
      </w:r>
      <w:r w:rsidRPr="00695F3C">
        <w:t xml:space="preserve">. Importantly, the inscription appears to have been produced once </w:t>
      </w:r>
      <w:r w:rsidRPr="00695F3C">
        <w:lastRenderedPageBreak/>
        <w:t xml:space="preserve">the marriage had been contracted in some way, with </w:t>
      </w:r>
      <w:r>
        <w:t xml:space="preserve">one or </w:t>
      </w:r>
      <w:proofErr w:type="gramStart"/>
      <w:r>
        <w:t>either party</w:t>
      </w:r>
      <w:proofErr w:type="gramEnd"/>
      <w:r w:rsidRPr="00695F3C">
        <w:t xml:space="preserve"> confident enough in the merging of their assets to make costly alterations to </w:t>
      </w:r>
      <w:r>
        <w:t>real property</w:t>
      </w:r>
      <w:r w:rsidRPr="00695F3C">
        <w:t xml:space="preserve">. </w:t>
      </w:r>
      <w:r>
        <w:t>In this context, the Cobblers’ Lodge inscription not only offers significant insights into the path to marriage in seventeenth-century Bolton-le-Sands but also demonstrates the role of inscribed text as an emotional, economic and socio-cultural commitment to marriage and family.</w:t>
      </w:r>
    </w:p>
    <w:p w14:paraId="64A143C3" w14:textId="77777777" w:rsidR="00302D44" w:rsidRDefault="00302D44" w:rsidP="00302D44">
      <w:pPr>
        <w:spacing w:after="0" w:line="480" w:lineRule="auto"/>
        <w:ind w:firstLine="720"/>
        <w:jc w:val="both"/>
      </w:pPr>
    </w:p>
    <w:p w14:paraId="19B184BB" w14:textId="77777777" w:rsidR="00302D44" w:rsidRDefault="00302D44" w:rsidP="00302D44">
      <w:pPr>
        <w:spacing w:after="0" w:line="480" w:lineRule="auto"/>
        <w:jc w:val="both"/>
        <w:rPr>
          <w:i/>
          <w:iCs/>
        </w:rPr>
      </w:pPr>
      <w:r>
        <w:rPr>
          <w:i/>
          <w:iCs/>
        </w:rPr>
        <w:t>Case Study 6: Old Hall Farmhouse, Over Kellet</w:t>
      </w:r>
    </w:p>
    <w:p w14:paraId="4A3DBB32" w14:textId="77777777" w:rsidR="00302D44" w:rsidRDefault="00302D44" w:rsidP="00302D44">
      <w:pPr>
        <w:spacing w:after="0" w:line="480" w:lineRule="auto"/>
        <w:jc w:val="both"/>
      </w:pPr>
      <w:r>
        <w:tab/>
        <w:t>The inscription at Old Hall Farmhouse in Over Kellet is in a traditional marriage initial formation. However, it does not commemorate a married couple. Instead, it was added by Walter Cocke – a bachelor – and references his name alone. As Walter eventually married, with later sources describing him as a house carpenter and his brother as a mason, the carving raises important questions about the role of marriage initials in contemporary Bolton-le-Sands. The survival of an incomplete inscription at Old Hall suggests that initials carried a host of socio-cultural connotations beyond marriage, perhaps partly contributing to the eventual marriage of the single man responsible for them and potentially useful for his line of work.</w:t>
      </w:r>
    </w:p>
    <w:p w14:paraId="3D434F05" w14:textId="4C3CC41B" w:rsidR="00302D44" w:rsidRDefault="00302D44" w:rsidP="00302D44">
      <w:pPr>
        <w:spacing w:after="0" w:line="480" w:lineRule="auto"/>
        <w:jc w:val="both"/>
      </w:pPr>
      <w:r>
        <w:tab/>
        <w:t>The initials at Old Hall Farmhouse are carved into a lintel situated at the rear of the house. Likely originally placed above the main entryway, the lintel appears to have been repositioned during nineteenth-century construction work.</w:t>
      </w:r>
      <w:r>
        <w:rPr>
          <w:rStyle w:val="FootnoteReference"/>
        </w:rPr>
        <w:footnoteReference w:id="588"/>
      </w:r>
      <w:r>
        <w:t xml:space="preserve"> It has not been possible to contact the owners of the current house and therefore not possible to photograph the inscription, but a drawing produced by Garnett provides a sufficient reference point, as seen in Figure 1</w:t>
      </w:r>
      <w:r w:rsidR="00896F6F">
        <w:t>5</w:t>
      </w:r>
      <w:r w:rsidR="00E730A2">
        <w:t xml:space="preserve"> (p.329)</w:t>
      </w:r>
      <w:r>
        <w:t xml:space="preserve">. </w:t>
      </w:r>
      <w:r w:rsidRPr="00482F25">
        <w:t xml:space="preserve">Carved ‘W </w:t>
      </w:r>
      <w:r w:rsidRPr="00482F25">
        <w:rPr>
          <w:vertAlign w:val="superscript"/>
        </w:rPr>
        <w:t xml:space="preserve">C </w:t>
      </w:r>
      <w:r w:rsidRPr="00482F25">
        <w:t>1715’</w:t>
      </w:r>
      <w:r>
        <w:t xml:space="preserve">, the epigraph visibly follows the marriage initial configuration seen at all houses previously considered in this chapter but includes a blank in </w:t>
      </w:r>
      <w:r>
        <w:lastRenderedPageBreak/>
        <w:t>place of a wife’s initial. Walter Cocke is commemorated by the inscription and inherited the house from his great uncle (also called Walter Cocke) in 1693 – although he only gained control of the property after the death of his great aunt in 1699.</w:t>
      </w:r>
      <w:r>
        <w:rPr>
          <w:rStyle w:val="FootnoteReference"/>
        </w:rPr>
        <w:footnoteReference w:id="589"/>
      </w:r>
    </w:p>
    <w:p w14:paraId="5A3B5532" w14:textId="77777777" w:rsidR="00302D44" w:rsidRDefault="00302D44" w:rsidP="00302D44">
      <w:pPr>
        <w:spacing w:after="0" w:line="480" w:lineRule="auto"/>
        <w:jc w:val="both"/>
      </w:pPr>
      <w:r>
        <w:tab/>
        <w:t>No baptism of Walter Cocke has been traceable, but Garnett suggests he was born in 1691.</w:t>
      </w:r>
      <w:r>
        <w:rPr>
          <w:rStyle w:val="FootnoteReference"/>
        </w:rPr>
        <w:footnoteReference w:id="590"/>
      </w:r>
      <w:r>
        <w:t xml:space="preserve"> Supposing this to be correct, Walter would have reached his majority in 1712, seemingly commencing the rebuilding of the house soon after and completing it in 1715, as cited by the datestone. Garnett notes that Walter married in ‘1731, aged 40, Mary Johnson, but never completed datestone’.</w:t>
      </w:r>
      <w:r>
        <w:rPr>
          <w:rStyle w:val="FootnoteReference"/>
        </w:rPr>
        <w:footnoteReference w:id="591"/>
      </w:r>
      <w:r>
        <w:t xml:space="preserve"> While Walter and Mary were undoubtedly married (Mary is referenced in his will in 1767 and was still living at his death) Walter had in fact been married once before.</w:t>
      </w:r>
      <w:r>
        <w:rPr>
          <w:rStyle w:val="FootnoteReference"/>
        </w:rPr>
        <w:footnoteReference w:id="592"/>
      </w:r>
      <w:r>
        <w:t xml:space="preserve"> On 11</w:t>
      </w:r>
      <w:r w:rsidRPr="00194A2F">
        <w:rPr>
          <w:vertAlign w:val="superscript"/>
        </w:rPr>
        <w:t>th</w:t>
      </w:r>
      <w:r>
        <w:t xml:space="preserve"> July 1720, Walter married Margaret Gibson of Over Kellet by licence.</w:t>
      </w:r>
      <w:r>
        <w:rPr>
          <w:rStyle w:val="FootnoteReference"/>
        </w:rPr>
        <w:footnoteReference w:id="593"/>
      </w:r>
      <w:r>
        <w:t xml:space="preserve"> Marriage by licence originated among the elite and was generally more expensive than a traditional parish marriage by banns.</w:t>
      </w:r>
      <w:r>
        <w:rPr>
          <w:rStyle w:val="FootnoteReference"/>
        </w:rPr>
        <w:footnoteReference w:id="594"/>
      </w:r>
      <w:r>
        <w:t xml:space="preserve"> R. B. Outhwaite has suggested that c.18% of all English marriages were conducted by licence by the early 1750s, with couples favouring this method as a form of clandestine marriage, marrying outside their home parish to avoid challenges to legitimacy.</w:t>
      </w:r>
      <w:r>
        <w:rPr>
          <w:rStyle w:val="FootnoteReference"/>
        </w:rPr>
        <w:footnoteReference w:id="595"/>
      </w:r>
      <w:r>
        <w:t xml:space="preserve"> Both Margaret and Walter were native to Over Kellet, suggesting this was not the reason, and as Gill Newton has argued, marrying in the private ceremony that a marriage by licence afforded may have been an ‘aspirational choice’.</w:t>
      </w:r>
      <w:r>
        <w:rPr>
          <w:rStyle w:val="FootnoteReference"/>
        </w:rPr>
        <w:footnoteReference w:id="596"/>
      </w:r>
    </w:p>
    <w:p w14:paraId="31404BF6" w14:textId="77777777" w:rsidR="00302D44" w:rsidRDefault="00302D44" w:rsidP="00302D44">
      <w:pPr>
        <w:spacing w:after="0" w:line="480" w:lineRule="auto"/>
        <w:jc w:val="both"/>
      </w:pPr>
      <w:r>
        <w:lastRenderedPageBreak/>
        <w:tab/>
        <w:t>Margaret and Walter had two children, Richard and Anne.</w:t>
      </w:r>
      <w:r>
        <w:rPr>
          <w:rStyle w:val="FootnoteReference"/>
        </w:rPr>
        <w:footnoteReference w:id="597"/>
      </w:r>
      <w:r>
        <w:t xml:space="preserve"> Richard died at just nine months old in April 1722 and Margaret died a mere seven years later, buried on 4</w:t>
      </w:r>
      <w:r w:rsidRPr="00D03E42">
        <w:rPr>
          <w:vertAlign w:val="superscript"/>
        </w:rPr>
        <w:t>th</w:t>
      </w:r>
      <w:r>
        <w:t xml:space="preserve"> November 1729.</w:t>
      </w:r>
      <w:r>
        <w:rPr>
          <w:rStyle w:val="FootnoteReference"/>
        </w:rPr>
        <w:footnoteReference w:id="598"/>
      </w:r>
      <w:r>
        <w:t xml:space="preserve"> Walter entered into the marriage mentioned by Garnett two years after Margaret’s untimely death, marrying Mary Johnson on 27</w:t>
      </w:r>
      <w:r w:rsidRPr="00E30C8F">
        <w:rPr>
          <w:vertAlign w:val="superscript"/>
        </w:rPr>
        <w:t>th</w:t>
      </w:r>
      <w:r>
        <w:t xml:space="preserve"> May 1731 in Preston Patrick, Westmoreland – ten miles north of Over Kellet.</w:t>
      </w:r>
      <w:r>
        <w:rPr>
          <w:rStyle w:val="FootnoteReference"/>
        </w:rPr>
        <w:footnoteReference w:id="599"/>
      </w:r>
      <w:r>
        <w:t xml:space="preserve"> The register for Heversham parish, in which Preston Patrick was located, includes the baptism of Mary Johnson on 10</w:t>
      </w:r>
      <w:r w:rsidRPr="009E1DA9">
        <w:rPr>
          <w:vertAlign w:val="superscript"/>
        </w:rPr>
        <w:t>th</w:t>
      </w:r>
      <w:r>
        <w:t xml:space="preserve"> February 1691, suggesting the couple married in the bride’s parish as was customary.</w:t>
      </w:r>
      <w:r>
        <w:rPr>
          <w:rStyle w:val="FootnoteReference"/>
        </w:rPr>
        <w:footnoteReference w:id="600"/>
      </w:r>
      <w:r>
        <w:t xml:space="preserve"> Prior to his death, Walter’s will describes him as a resident of ‘Nether Levens in the county of Westmoreland’ – a township also within Heversham parish – and it appears that the couple moved northwards due to Mary’s connections with the area.</w:t>
      </w:r>
      <w:r>
        <w:rPr>
          <w:rStyle w:val="FootnoteReference"/>
        </w:rPr>
        <w:footnoteReference w:id="601"/>
      </w:r>
      <w:r>
        <w:t xml:space="preserve"> Born between 1731 and 1745, all five of the </w:t>
      </w:r>
      <w:proofErr w:type="spellStart"/>
      <w:r>
        <w:t>Cockes</w:t>
      </w:r>
      <w:proofErr w:type="spellEnd"/>
      <w:r>
        <w:t>’ children were baptised in Over Kellet.</w:t>
      </w:r>
      <w:r>
        <w:rPr>
          <w:rStyle w:val="FootnoteReference"/>
        </w:rPr>
        <w:footnoteReference w:id="602"/>
      </w:r>
      <w:r>
        <w:t xml:space="preserve"> One daughter, Elizabeth, also married in Over Kellet in 1754.</w:t>
      </w:r>
      <w:r>
        <w:rPr>
          <w:rStyle w:val="FootnoteReference"/>
        </w:rPr>
        <w:footnoteReference w:id="603"/>
      </w:r>
      <w:r>
        <w:t xml:space="preserve"> The family appear to have moved to Westmoreland thereafter, as the marriage entries for their son, Thomas Cocke, and daughter, Mary Cocke, list them both as residents of Heversham in 1758 and 1765 respectively.</w:t>
      </w:r>
      <w:r>
        <w:rPr>
          <w:rStyle w:val="FootnoteReference"/>
        </w:rPr>
        <w:footnoteReference w:id="604"/>
      </w:r>
      <w:r>
        <w:t xml:space="preserve"> Notably, though, Thomas Cocke’s marriage took </w:t>
      </w:r>
      <w:r>
        <w:lastRenderedPageBreak/>
        <w:t>place in Bolton-le-Sands – the home parish of his bride – showing that the family had continuing ties with the area despite their relocation several miles north.</w:t>
      </w:r>
    </w:p>
    <w:p w14:paraId="0AAEEC52" w14:textId="31E13A17" w:rsidR="00302D44" w:rsidRDefault="00302D44" w:rsidP="00302D44">
      <w:pPr>
        <w:spacing w:after="0" w:line="480" w:lineRule="auto"/>
        <w:jc w:val="both"/>
      </w:pPr>
      <w:r>
        <w:tab/>
        <w:t>All these points are important when untangling the inscription Cocke applied to the façade of his home. The marriage initials on the lintel raise two crucial questions. Firstly, as a bachelor, why did Walter use marriage initials at all? Secondly, why did the carving remain incomplete even after Walter married? Local historian William Farrer noted in the nineteenth century that Walter Cocke was a house carpenter, and Garnett repeats this, citing Farrer’s unpublished manuscript collection among her sources.</w:t>
      </w:r>
      <w:r>
        <w:rPr>
          <w:rStyle w:val="FootnoteReference"/>
        </w:rPr>
        <w:footnoteReference w:id="605"/>
      </w:r>
      <w:r>
        <w:t xml:space="preserve"> It has not been possible to retrace Farrer’s steps, and Walter’s will describes him only as a yeoman.</w:t>
      </w:r>
      <w:r>
        <w:rPr>
          <w:rStyle w:val="FootnoteReference"/>
        </w:rPr>
        <w:footnoteReference w:id="606"/>
      </w:r>
      <w:r>
        <w:t xml:space="preserve"> Garnett also mentions that Walter’s brother, Thomas, was a mason.</w:t>
      </w:r>
      <w:r>
        <w:rPr>
          <w:rStyle w:val="FootnoteReference"/>
        </w:rPr>
        <w:footnoteReference w:id="607"/>
      </w:r>
      <w:r>
        <w:t xml:space="preserve"> With later parish register entries describing Thomas’ descendants as ‘stonemasons’, it is feasible that this was true, potentially a family trade.</w:t>
      </w:r>
      <w:r>
        <w:rPr>
          <w:rStyle w:val="FootnoteReference"/>
        </w:rPr>
        <w:footnoteReference w:id="608"/>
      </w:r>
      <w:r>
        <w:t xml:space="preserve"> Garnett states that Walter was ‘well able to rebuild’.</w:t>
      </w:r>
      <w:r>
        <w:rPr>
          <w:rStyle w:val="FootnoteReference"/>
        </w:rPr>
        <w:footnoteReference w:id="609"/>
      </w:r>
      <w:r>
        <w:t xml:space="preserve"> Garnett generally used this term to signify the possession of necessary funds, but here the phrase is doubly significant since Walter and Thomas Cocke’s combined skillset would have enabled them to lead on the rebuilding of Old Hall Farmhouse themselves.</w:t>
      </w:r>
    </w:p>
    <w:p w14:paraId="73ACB1FE" w14:textId="77777777" w:rsidR="00302D44" w:rsidRPr="00B644D8" w:rsidRDefault="00302D44" w:rsidP="00302D44">
      <w:pPr>
        <w:spacing w:after="0" w:line="480" w:lineRule="auto"/>
        <w:ind w:firstLine="720"/>
        <w:jc w:val="both"/>
      </w:pPr>
      <w:r>
        <w:t xml:space="preserve">Walter is unusual in the core sample for being unmarried when rebuilding his home. Since all other dated marriage initials in the parish are complete, it is impossible to state whether they were left just partially finished for any length of time, perhaps with full dates and initials added after marriage. Regardless, the Old Hall stone references a date five years before marriage, unseen at any other property inscribed with marriage initials. Considering </w:t>
      </w:r>
      <w:r>
        <w:lastRenderedPageBreak/>
        <w:t>the brothers’ trades, it is possible</w:t>
      </w:r>
      <w:r w:rsidRPr="002541D2">
        <w:rPr>
          <w:rFonts w:cs="Calibri"/>
        </w:rPr>
        <w:t xml:space="preserve"> </w:t>
      </w:r>
      <w:r w:rsidRPr="002541D2">
        <w:t xml:space="preserve">that </w:t>
      </w:r>
      <w:r>
        <w:t xml:space="preserve">Walter’s brother carved his datestone, with </w:t>
      </w:r>
      <w:r w:rsidRPr="002541D2">
        <w:t xml:space="preserve">Old Hall </w:t>
      </w:r>
      <w:r>
        <w:t xml:space="preserve">Farmhouse acting as an </w:t>
      </w:r>
      <w:r w:rsidRPr="002541D2">
        <w:t xml:space="preserve">advertisement of their </w:t>
      </w:r>
      <w:r>
        <w:t xml:space="preserve">joint </w:t>
      </w:r>
      <w:r w:rsidRPr="002541D2">
        <w:t>craftsmanship</w:t>
      </w:r>
      <w:r>
        <w:t xml:space="preserve"> and experience with a design prevalent throughout the region</w:t>
      </w:r>
      <w:r w:rsidRPr="002541D2">
        <w:t>.</w:t>
      </w:r>
      <w:r>
        <w:t xml:space="preserve"> Importantly, Walter’s datestone also proclaimed his ownership of – and residence within – an independent household. This statement carried a weight of its own, acting as an outward profession of wealth. Similarly, however, the stone announced Walter’s readiness for matrimony, specifically leaving a blank for the initial of a wife rather than leaving no space at all. The inscription therefore demonstrated that Walter was economically and materially stable whilst functioning on a social level, declaring his commitment to home and family and, ultimately, his intention to marry.</w:t>
      </w:r>
    </w:p>
    <w:p w14:paraId="433563EB" w14:textId="77777777" w:rsidR="00302D44" w:rsidRDefault="00302D44" w:rsidP="00302D44">
      <w:pPr>
        <w:spacing w:after="0" w:line="480" w:lineRule="auto"/>
        <w:jc w:val="both"/>
      </w:pPr>
      <w:r>
        <w:tab/>
        <w:t xml:space="preserve">The questions surrounding the decision to leave the third initial blank can only be speculatively answered. </w:t>
      </w:r>
      <w:r w:rsidRPr="00523657">
        <w:t>The failure to complete the datestone may be connected to Margaret’s premature death</w:t>
      </w:r>
      <w:r>
        <w:t xml:space="preserve"> and the loss of their only son. Common to Thwaite End Farmhouse, the Manor House and Hall Farmhouse is the birth of a son either before or in the same year as the date cited in each inscription. </w:t>
      </w:r>
      <w:r w:rsidRPr="005419E0">
        <w:t xml:space="preserve">Without a male heir, </w:t>
      </w:r>
      <w:r>
        <w:t>the descent of the property within their family line may hav</w:t>
      </w:r>
      <w:r w:rsidRPr="005419E0">
        <w:t>e been uncertain</w:t>
      </w:r>
      <w:r>
        <w:t>, leaving them</w:t>
      </w:r>
      <w:r w:rsidRPr="005419E0">
        <w:t xml:space="preserve"> unwilling to </w:t>
      </w:r>
      <w:r>
        <w:t>further alter (and invest in) the house</w:t>
      </w:r>
      <w:r w:rsidRPr="005419E0">
        <w:t>.</w:t>
      </w:r>
      <w:r>
        <w:t xml:space="preserve"> The causes of Margaret’s death are unknown, but with their second and last child born six years before her death, it is not infeasible that any illness or condition she experienced disrupted life at the house, pushing amendment of the datestone into irrelevance. </w:t>
      </w:r>
    </w:p>
    <w:p w14:paraId="724717F1" w14:textId="77777777" w:rsidR="00302D44" w:rsidRDefault="00302D44" w:rsidP="00302D44">
      <w:pPr>
        <w:spacing w:after="0" w:line="480" w:lineRule="auto"/>
        <w:ind w:firstLine="720"/>
        <w:jc w:val="both"/>
      </w:pPr>
      <w:r w:rsidRPr="00F95BEC">
        <w:t>Also</w:t>
      </w:r>
      <w:r>
        <w:t xml:space="preserve"> opting to leave t</w:t>
      </w:r>
      <w:r w:rsidRPr="00F95BEC">
        <w:t xml:space="preserve">he inscription </w:t>
      </w:r>
      <w:r>
        <w:t xml:space="preserve">blank </w:t>
      </w:r>
      <w:r w:rsidRPr="00F95BEC">
        <w:t xml:space="preserve">after his second marriage, it is feasible that </w:t>
      </w:r>
      <w:r>
        <w:t>Walter and Mary</w:t>
      </w:r>
      <w:r w:rsidRPr="00F95BEC">
        <w:t xml:space="preserve"> did not conceive of Old Hall Farmhouse as their long-term home. </w:t>
      </w:r>
      <w:r>
        <w:t xml:space="preserve">While </w:t>
      </w:r>
      <w:r w:rsidRPr="00F95BEC">
        <w:t xml:space="preserve">Walter’s will </w:t>
      </w:r>
      <w:r>
        <w:t>reveals</w:t>
      </w:r>
      <w:r w:rsidRPr="00F95BEC">
        <w:t xml:space="preserve"> that the</w:t>
      </w:r>
      <w:r>
        <w:t xml:space="preserve"> couple</w:t>
      </w:r>
      <w:r w:rsidRPr="00F95BEC">
        <w:t xml:space="preserve"> relocated to Mary’s </w:t>
      </w:r>
      <w:r>
        <w:t xml:space="preserve">native </w:t>
      </w:r>
      <w:r w:rsidRPr="00F95BEC">
        <w:t>parish</w:t>
      </w:r>
      <w:r>
        <w:t>, i</w:t>
      </w:r>
      <w:r w:rsidRPr="00F95BEC">
        <w:t>t</w:t>
      </w:r>
      <w:r>
        <w:t xml:space="preserve"> also shows Walter</w:t>
      </w:r>
      <w:r w:rsidRPr="00F95BEC">
        <w:t xml:space="preserve"> beque</w:t>
      </w:r>
      <w:r>
        <w:t>athing</w:t>
      </w:r>
      <w:r w:rsidRPr="00F95BEC">
        <w:t xml:space="preserve"> Old Hall Farmhouse to their eldest son, Thomas, </w:t>
      </w:r>
      <w:r>
        <w:t xml:space="preserve">without </w:t>
      </w:r>
      <w:r w:rsidRPr="00F95BEC">
        <w:t>referenc</w:t>
      </w:r>
      <w:r>
        <w:t>ing</w:t>
      </w:r>
      <w:r w:rsidRPr="00F95BEC">
        <w:t xml:space="preserve"> </w:t>
      </w:r>
      <w:r>
        <w:t>t</w:t>
      </w:r>
      <w:r w:rsidRPr="00F95BEC">
        <w:t xml:space="preserve">he home </w:t>
      </w:r>
      <w:r w:rsidRPr="00F95BEC">
        <w:lastRenderedPageBreak/>
        <w:t>Walter and Mary inhabited at Nether Levens.</w:t>
      </w:r>
      <w:r w:rsidRPr="00F95BEC">
        <w:rPr>
          <w:vertAlign w:val="superscript"/>
        </w:rPr>
        <w:footnoteReference w:id="610"/>
      </w:r>
      <w:r w:rsidRPr="00F95BEC">
        <w:t xml:space="preserve"> No</w:t>
      </w:r>
      <w:r>
        <w:t xml:space="preserve"> surviving</w:t>
      </w:r>
      <w:r w:rsidRPr="00F95BEC">
        <w:t xml:space="preserve"> marriage settlements</w:t>
      </w:r>
      <w:r>
        <w:t>, conveyances</w:t>
      </w:r>
      <w:r w:rsidRPr="00F95BEC">
        <w:t xml:space="preserve"> or wills </w:t>
      </w:r>
      <w:r>
        <w:t xml:space="preserve">reveal how </w:t>
      </w:r>
      <w:r w:rsidRPr="00F95BEC">
        <w:t xml:space="preserve">the couple </w:t>
      </w:r>
      <w:r>
        <w:t xml:space="preserve">obtained </w:t>
      </w:r>
      <w:r w:rsidRPr="00F95BEC">
        <w:t>the</w:t>
      </w:r>
      <w:r>
        <w:t>ir</w:t>
      </w:r>
      <w:r w:rsidRPr="00F95BEC">
        <w:t xml:space="preserve"> </w:t>
      </w:r>
      <w:r>
        <w:t>Nether Levens property</w:t>
      </w:r>
      <w:r w:rsidRPr="00F95BEC">
        <w:t>,</w:t>
      </w:r>
      <w:r>
        <w:t xml:space="preserve"> but it likely came to them through Mary’s family and was</w:t>
      </w:r>
      <w:r w:rsidRPr="00F95BEC">
        <w:t xml:space="preserve"> p</w:t>
      </w:r>
      <w:r>
        <w:t>erhaps even protected b</w:t>
      </w:r>
      <w:r w:rsidRPr="00F95BEC">
        <w:t xml:space="preserve">y a jointure. </w:t>
      </w:r>
      <w:r>
        <w:t>Despite</w:t>
      </w:r>
      <w:r w:rsidRPr="00F95BEC">
        <w:t xml:space="preserve"> the complexity surrounding the inscription remaining blank, Walter’s use of marriage initials without </w:t>
      </w:r>
      <w:proofErr w:type="gramStart"/>
      <w:r>
        <w:t>actually</w:t>
      </w:r>
      <w:r w:rsidRPr="00F95BEC">
        <w:t xml:space="preserve"> </w:t>
      </w:r>
      <w:r w:rsidRPr="00F95BEC">
        <w:rPr>
          <w:i/>
          <w:iCs/>
        </w:rPr>
        <w:t>being</w:t>
      </w:r>
      <w:proofErr w:type="gramEnd"/>
      <w:r w:rsidRPr="00F95BEC">
        <w:t xml:space="preserve"> married </w:t>
      </w:r>
      <w:r>
        <w:t>highlights the</w:t>
      </w:r>
      <w:r w:rsidRPr="00F95BEC">
        <w:t xml:space="preserve"> </w:t>
      </w:r>
      <w:r>
        <w:t xml:space="preserve">socio-cultural </w:t>
      </w:r>
      <w:r w:rsidRPr="00F95BEC">
        <w:t xml:space="preserve">significance of </w:t>
      </w:r>
      <w:r>
        <w:t xml:space="preserve">these </w:t>
      </w:r>
      <w:r w:rsidRPr="00F95BEC">
        <w:t>inscription</w:t>
      </w:r>
      <w:r>
        <w:t>s</w:t>
      </w:r>
      <w:r w:rsidRPr="00F95BEC">
        <w:t xml:space="preserve"> in Bolton-le-Sands parish. </w:t>
      </w:r>
      <w:r>
        <w:t xml:space="preserve">While wealth enabled Walter Cocke to rebuild and inscribe Old Hall Farmhouse, the inscription carried numerous other associations and meanings </w:t>
      </w:r>
      <w:r w:rsidRPr="005A4F2D">
        <w:rPr>
          <w:i/>
          <w:iCs/>
        </w:rPr>
        <w:t>besides</w:t>
      </w:r>
      <w:r>
        <w:t xml:space="preserve"> wealth. It symbolised Walter’s </w:t>
      </w:r>
      <w:r w:rsidRPr="00627149">
        <w:t>investment</w:t>
      </w:r>
      <w:r w:rsidRPr="00F95BEC">
        <w:t xml:space="preserve"> in </w:t>
      </w:r>
      <w:r w:rsidRPr="00627149">
        <w:t xml:space="preserve">his </w:t>
      </w:r>
      <w:r w:rsidRPr="00F95BEC">
        <w:t xml:space="preserve">home and </w:t>
      </w:r>
      <w:r w:rsidRPr="00627149">
        <w:t xml:space="preserve">future </w:t>
      </w:r>
      <w:r w:rsidRPr="00F95BEC">
        <w:t>family</w:t>
      </w:r>
      <w:r>
        <w:t xml:space="preserve">, signalled his intention to marry, and perhaps even advertised </w:t>
      </w:r>
      <w:r w:rsidRPr="00F95BEC">
        <w:t>the skill</w:t>
      </w:r>
      <w:r w:rsidRPr="00A03F50">
        <w:t>s</w:t>
      </w:r>
      <w:r w:rsidRPr="00F95BEC">
        <w:t xml:space="preserve"> he and his </w:t>
      </w:r>
      <w:r w:rsidRPr="00A03F50">
        <w:t>brother</w:t>
      </w:r>
      <w:r w:rsidRPr="00F95BEC">
        <w:t xml:space="preserve"> </w:t>
      </w:r>
      <w:r w:rsidRPr="00A03F50">
        <w:t>possessed</w:t>
      </w:r>
      <w:r>
        <w:t>. In doing so, the inscription represented Walter’s stake in securing a position among his peers and neighbours, adopting a shared commemorative language that carried social and cultural power even when incomplete.</w:t>
      </w:r>
    </w:p>
    <w:p w14:paraId="5DEBC472" w14:textId="77777777" w:rsidR="001041FE" w:rsidRDefault="001041FE" w:rsidP="00302D44">
      <w:pPr>
        <w:spacing w:after="0" w:line="480" w:lineRule="auto"/>
        <w:jc w:val="both"/>
      </w:pPr>
    </w:p>
    <w:p w14:paraId="24B6BA50" w14:textId="77777777" w:rsidR="00302D44" w:rsidRPr="00410096" w:rsidRDefault="00302D44" w:rsidP="00302D44">
      <w:pPr>
        <w:spacing w:after="0" w:line="480" w:lineRule="auto"/>
        <w:jc w:val="both"/>
        <w:rPr>
          <w:i/>
          <w:iCs/>
        </w:rPr>
      </w:pPr>
      <w:r>
        <w:rPr>
          <w:i/>
          <w:iCs/>
        </w:rPr>
        <w:t>Conclusion: Bolton-le-Sands Parish</w:t>
      </w:r>
    </w:p>
    <w:p w14:paraId="11165F3D" w14:textId="77777777" w:rsidR="00302D44" w:rsidRPr="00B3415F" w:rsidRDefault="00302D44" w:rsidP="00302D44">
      <w:pPr>
        <w:spacing w:after="0" w:line="480" w:lineRule="auto"/>
        <w:ind w:firstLine="720"/>
        <w:jc w:val="both"/>
      </w:pPr>
      <w:r>
        <w:t xml:space="preserve">In Bolton-le-Sands, marriage initials possessed a wide range of associations. They served social functions, marking property as the possession of married (in many instances recently married) couples, or even advertising singleness, universally used to affirm ownership, status and some degree of wealth. </w:t>
      </w:r>
      <w:r w:rsidRPr="009702DF">
        <w:t xml:space="preserve">The wealth brough to marriage by many of the husbands and wives considered here is not discernible for certain, but the one occasion where more sources are available – for Jennet Hall of End Cottage – indicates that wealth brought by a bride may have contributed to the placement of marital inscriptions upon the home. Without sources for all inscribing couples (and other non-inscribing partnerships) however, </w:t>
      </w:r>
      <w:r w:rsidRPr="009702DF">
        <w:lastRenderedPageBreak/>
        <w:t>any link can only be speculative.</w:t>
      </w:r>
      <w:r>
        <w:t xml:space="preserve"> For many of the married couples considered here inscriptions were also entangled with lineage, often applied to homes rebuilt by couples confident in the descent of their property within their immediate family. </w:t>
      </w:r>
      <w:r w:rsidRPr="004C760A">
        <w:t xml:space="preserve">Beyond this, </w:t>
      </w:r>
      <w:r>
        <w:t xml:space="preserve">inscriptions evidently served emotional purposes too, reinforcing couples’ commitments to home and family and to each other, to the extent that couples yet to be married – or even </w:t>
      </w:r>
      <w:proofErr w:type="gramStart"/>
      <w:r>
        <w:t>bachelors</w:t>
      </w:r>
      <w:proofErr w:type="gramEnd"/>
      <w:r>
        <w:t xml:space="preserve"> soon to be seeking a bride – perceived marriage initials as a useful visual and material language worthy of investment, whether on the inside or outside of their home. Inscriptions were an important tool through which inscribers sought to assert themselves within their communities. Crucially, they also enabled inscribers to shape their own understandings of themselves and their families, creating a façade – or interior – in line with their self-perceptions and transforming a newly rebuilt property into a home for subsequent generations.</w:t>
      </w:r>
    </w:p>
    <w:p w14:paraId="01BD195A" w14:textId="77777777" w:rsidR="00302D44" w:rsidRDefault="00302D44" w:rsidP="00CD3A17">
      <w:pPr>
        <w:spacing w:after="0" w:line="480" w:lineRule="auto"/>
        <w:jc w:val="both"/>
      </w:pPr>
    </w:p>
    <w:p w14:paraId="4E8255F4" w14:textId="58E2B6F2" w:rsidR="00302D44" w:rsidRDefault="006266CB" w:rsidP="00302D44">
      <w:pPr>
        <w:spacing w:after="0" w:line="480" w:lineRule="auto"/>
        <w:jc w:val="both"/>
        <w:rPr>
          <w:b/>
          <w:bCs/>
        </w:rPr>
      </w:pPr>
      <w:r>
        <w:rPr>
          <w:b/>
          <w:bCs/>
        </w:rPr>
        <w:t xml:space="preserve">Case Study Properties in </w:t>
      </w:r>
      <w:r w:rsidR="00302D44">
        <w:rPr>
          <w:b/>
          <w:bCs/>
        </w:rPr>
        <w:t>Prestbury Parish</w:t>
      </w:r>
    </w:p>
    <w:p w14:paraId="79285DB0" w14:textId="1721C498" w:rsidR="00302D44" w:rsidRDefault="00302D44" w:rsidP="00302D44">
      <w:pPr>
        <w:spacing w:after="0" w:line="480" w:lineRule="auto"/>
        <w:jc w:val="both"/>
      </w:pPr>
      <w:r>
        <w:tab/>
        <w:t xml:space="preserve">Adapting the same in-depth archival approach used </w:t>
      </w:r>
      <w:r w:rsidR="00B82401">
        <w:t xml:space="preserve">for houses </w:t>
      </w:r>
      <w:r>
        <w:t xml:space="preserve">in Bolton-le-Sands, the following section explores five inscribed case study properties in Prestbury parish. As indicated in chapter two, additional sources survive for many Prestbury homes that were never produced for those in Bolton-le-Sands, owing to differences in land ownership and tenure between the two parishes. Three of the five houses considered here were held in a copyhold ‘for lives’ system from the Legh family of Adlington Hall, with a wealth of lease documents providing greater insight into land transfers within families than is accessible for Bolton-le-Sands. As above, this section is organised thematically rather than by location. Discussion begins with the use of inscriptions to assert property ownership in the wake of intergenerational land transfer, moving through aspirational inscriptions and the significance </w:t>
      </w:r>
      <w:r>
        <w:lastRenderedPageBreak/>
        <w:t xml:space="preserve">of different design choices and into considerations of parenthood, lineage and the influence of leases upon the timing of inscription. </w:t>
      </w:r>
    </w:p>
    <w:p w14:paraId="1C9F16EF" w14:textId="3CA6D179" w:rsidR="00302D44" w:rsidRDefault="00302D44" w:rsidP="00302D44">
      <w:pPr>
        <w:spacing w:after="0" w:line="480" w:lineRule="auto"/>
        <w:ind w:firstLine="720"/>
        <w:jc w:val="both"/>
      </w:pPr>
      <w:r>
        <w:t xml:space="preserve">The location of all houses considered is plotted in </w:t>
      </w:r>
      <w:r w:rsidR="00A50625">
        <w:t>Map 5 (p.</w:t>
      </w:r>
      <w:r w:rsidR="00A06B1E">
        <w:t>312</w:t>
      </w:r>
      <w:r w:rsidR="00A50625">
        <w:t>)</w:t>
      </w:r>
      <w:r>
        <w:t xml:space="preserve">. The first property – Gap House – lies at the north-eastern edge of Prestbury parish, in the township of Kettleshulme. </w:t>
      </w:r>
      <w:r w:rsidR="00F475EB">
        <w:t xml:space="preserve">One of two houses examined here </w:t>
      </w:r>
      <w:r w:rsidR="00233A16">
        <w:t>to have been inscribe</w:t>
      </w:r>
      <w:r w:rsidR="003A412E">
        <w:t xml:space="preserve">d by different generations of the same family, Gap House </w:t>
      </w:r>
      <w:r w:rsidR="00EC245F">
        <w:t xml:space="preserve">invites discussion about why families </w:t>
      </w:r>
      <w:r w:rsidR="005C1A23">
        <w:t>layered different forms of commemoration upon</w:t>
      </w:r>
      <w:r w:rsidR="00EC245F">
        <w:t xml:space="preserve"> their homes</w:t>
      </w:r>
      <w:r w:rsidR="00941D06">
        <w:t>.</w:t>
      </w:r>
      <w:r>
        <w:t xml:space="preserve"> The second case study, Langley Hall, lies </w:t>
      </w:r>
      <w:r w:rsidR="003F6130">
        <w:t xml:space="preserve">to the </w:t>
      </w:r>
      <w:r>
        <w:t>south of Prestbury village and Macclesfield</w:t>
      </w:r>
      <w:r w:rsidR="003F6130">
        <w:t>,</w:t>
      </w:r>
      <w:r>
        <w:t xml:space="preserve"> near the present-day boundary of Macclesfield Forest. The third example, Brooks Cottage, stands close to the centre of Prestbury village, just 0.1 miles by road from the parish church. Located on the opposite side of the River Bollin, though, Brooks Cottage lies within Butley rather than Prestbury township. The fourth property, Heybridge Farmhouse, stands a short distance away on Heybridge Lane, to the east of Prestbury village </w:t>
      </w:r>
      <w:proofErr w:type="gramStart"/>
      <w:r>
        <w:t>and also</w:t>
      </w:r>
      <w:proofErr w:type="gramEnd"/>
      <w:r>
        <w:t xml:space="preserve"> within Butley township. To the north of Prestbury village, within a hamlet now known as Butley Town, stands the fifth and final case study property, Yew Tree Farmhouse. Consistently evident in these examples is the importance of inscriptions in cementing ownership of property as well as the key obstacle presented by copyhold ‘for lives’ tenancies, regularly resulting in couples delaying inscribing their homes until confident in the continuation of their lineage.</w:t>
      </w:r>
    </w:p>
    <w:p w14:paraId="1E3F9B2E" w14:textId="1CFB5245" w:rsidR="00302D44" w:rsidRPr="000156BC" w:rsidRDefault="00302D44" w:rsidP="00DC7850">
      <w:pPr>
        <w:spacing w:after="0" w:line="480" w:lineRule="auto"/>
        <w:ind w:firstLine="720"/>
        <w:jc w:val="both"/>
      </w:pPr>
      <w:r>
        <w:t xml:space="preserve">The following examples from Prestbury reveal connections between inscription and security of tenure. When property had been newly inherited, inscription (and any associated rebuilding) was a tool for reappropriating domestic space, allowing couples to mark new phases in the history of their house. In the context of copyhold ‘for lives’ tenancies, this inscriptive appropriation was often delayed until couples were confident that their property </w:t>
      </w:r>
      <w:r w:rsidRPr="00563EDD">
        <w:t>would remain within the</w:t>
      </w:r>
      <w:r>
        <w:t xml:space="preserve"> </w:t>
      </w:r>
      <w:r w:rsidRPr="00563EDD">
        <w:t>family.</w:t>
      </w:r>
      <w:r>
        <w:t xml:space="preserve"> This confidence was clearly contingent on fertility, and there </w:t>
      </w:r>
      <w:r>
        <w:lastRenderedPageBreak/>
        <w:t xml:space="preserve">is potential for deep emotional connections between inscription and key life cycle events in some of the properties considered here. Owing to the inability of copyhold tenants to raise mortgages against their homes, however, delays may also have had financial dimensions. As seen </w:t>
      </w:r>
      <w:r w:rsidR="00DC7850">
        <w:t>in</w:t>
      </w:r>
      <w:r>
        <w:t xml:space="preserve"> Bolton-le-Sands, inscriptions in Prestbury </w:t>
      </w:r>
      <w:r w:rsidR="00B34578">
        <w:t xml:space="preserve">also </w:t>
      </w:r>
      <w:r w:rsidR="00B87A87">
        <w:t>emphasis</w:t>
      </w:r>
      <w:r w:rsidR="00B34578">
        <w:t>ed</w:t>
      </w:r>
      <w:r>
        <w:t xml:space="preserve"> ownership and control over space – as important for tenants’ self-perceptions as for any outward projections of identity simultaneously being expressed. Wealth brought to marriage by wives may also have contributed to inscription and where some of the epigraphs </w:t>
      </w:r>
      <w:r w:rsidRPr="00F21188">
        <w:t xml:space="preserve">considered here </w:t>
      </w:r>
      <w:r>
        <w:t>refer only</w:t>
      </w:r>
      <w:r w:rsidRPr="00F21188">
        <w:t xml:space="preserve"> to </w:t>
      </w:r>
      <w:r>
        <w:t xml:space="preserve">husbands, wealth and property brought by their brides may have been deemed less significant. The following examples reveal some differences in inscriptive commemoration between both parishes. Nonetheless, inscriptions </w:t>
      </w:r>
      <w:r w:rsidR="00B66ACD">
        <w:t xml:space="preserve">were </w:t>
      </w:r>
      <w:r>
        <w:t xml:space="preserve">clearly </w:t>
      </w:r>
      <w:r w:rsidR="00B66ACD">
        <w:t>integral to</w:t>
      </w:r>
      <w:r>
        <w:t xml:space="preserve"> shaping domestic space and forging connections between owners and their properties. On many occasions, it is also clear that – as in Bolton-le-Sands – they were a means of reinforcing connections between couples.</w:t>
      </w:r>
    </w:p>
    <w:p w14:paraId="421B85A7" w14:textId="77777777" w:rsidR="001041FE" w:rsidRDefault="001041FE" w:rsidP="00302D44">
      <w:pPr>
        <w:spacing w:after="0" w:line="480" w:lineRule="auto"/>
        <w:jc w:val="both"/>
        <w:rPr>
          <w:i/>
          <w:iCs/>
        </w:rPr>
      </w:pPr>
    </w:p>
    <w:p w14:paraId="34A90808" w14:textId="19613ADA" w:rsidR="00302D44" w:rsidRDefault="00302D44" w:rsidP="00302D44">
      <w:pPr>
        <w:spacing w:after="0" w:line="480" w:lineRule="auto"/>
        <w:jc w:val="both"/>
        <w:rPr>
          <w:i/>
          <w:iCs/>
        </w:rPr>
      </w:pPr>
      <w:r>
        <w:rPr>
          <w:i/>
          <w:iCs/>
        </w:rPr>
        <w:t xml:space="preserve">Case Study </w:t>
      </w:r>
      <w:r w:rsidR="0013175B">
        <w:rPr>
          <w:i/>
          <w:iCs/>
        </w:rPr>
        <w:t>7</w:t>
      </w:r>
      <w:r>
        <w:rPr>
          <w:i/>
          <w:iCs/>
        </w:rPr>
        <w:t>: Gap House, Kettleshulme</w:t>
      </w:r>
    </w:p>
    <w:p w14:paraId="53A5F26C" w14:textId="35FC0C0B" w:rsidR="00302D44" w:rsidRDefault="00302D44" w:rsidP="00302D44">
      <w:pPr>
        <w:spacing w:after="0" w:line="480" w:lineRule="auto"/>
        <w:jc w:val="both"/>
      </w:pPr>
      <w:r>
        <w:tab/>
        <w:t>Three different sets of initials are etched into the façade of Gap House in Kettleshulme. The earliest, ‘GB 1662’, is etched into a datestone inserted high into the façade of the house beneath the roof line (Figure 1</w:t>
      </w:r>
      <w:r w:rsidR="005961FE">
        <w:t>6, p.</w:t>
      </w:r>
      <w:r w:rsidR="00243439">
        <w:t>330</w:t>
      </w:r>
      <w:r>
        <w:t>). On the opposite façade, the initials ‘G</w:t>
      </w:r>
      <w:r>
        <w:rPr>
          <w:vertAlign w:val="superscript"/>
        </w:rPr>
        <w:t>B</w:t>
      </w:r>
      <w:r>
        <w:t>A 1773’ are carved into the keystone within the archway above the main door (Figure 1</w:t>
      </w:r>
      <w:r w:rsidR="005961FE">
        <w:t>7, p.</w:t>
      </w:r>
      <w:r w:rsidR="00243439">
        <w:t>331</w:t>
      </w:r>
      <w:r>
        <w:t xml:space="preserve">) while at </w:t>
      </w:r>
      <w:r w:rsidRPr="00707330">
        <w:t>the side of the house, between the two datestones, the initials ‘G</w:t>
      </w:r>
      <w:r w:rsidRPr="00707330">
        <w:rPr>
          <w:vertAlign w:val="superscript"/>
        </w:rPr>
        <w:t>B</w:t>
      </w:r>
      <w:r w:rsidRPr="00707330">
        <w:t>A 1773’</w:t>
      </w:r>
      <w:r>
        <w:t xml:space="preserve"> are impressed into </w:t>
      </w:r>
      <w:r w:rsidRPr="00707330">
        <w:t>a hopper head (Figure 1</w:t>
      </w:r>
      <w:r w:rsidR="008D073A">
        <w:t>8, p.</w:t>
      </w:r>
      <w:r w:rsidR="00243439">
        <w:t>332</w:t>
      </w:r>
      <w:r w:rsidRPr="00707330">
        <w:t xml:space="preserve">). All visible façades of the house </w:t>
      </w:r>
      <w:r>
        <w:t>feature</w:t>
      </w:r>
      <w:r w:rsidRPr="00707330">
        <w:t xml:space="preserve"> dated initials</w:t>
      </w:r>
      <w:r>
        <w:t xml:space="preserve">, with </w:t>
      </w:r>
      <w:r w:rsidRPr="00707330">
        <w:t>only the fourth face</w:t>
      </w:r>
      <w:r>
        <w:t xml:space="preserve"> –</w:t>
      </w:r>
      <w:r w:rsidRPr="00707330">
        <w:t xml:space="preserve"> obstructed by the hill into which Gap House is built</w:t>
      </w:r>
      <w:r>
        <w:t xml:space="preserve"> – free from inscription</w:t>
      </w:r>
      <w:r w:rsidRPr="00707330">
        <w:t>.</w:t>
      </w:r>
      <w:r>
        <w:t xml:space="preserve"> The initials were added by two different generations of the same family, both by the mid-seventeenth-century owner who commissioned the reconstruction of Gap </w:t>
      </w:r>
      <w:r>
        <w:lastRenderedPageBreak/>
        <w:t>House and by his descendants 110 years later. The first set were used to mark the building’s completion, added by a bachelor shortly before his marriage. Following successive changes of hands, the property passed to a different branch of the family who, rather than efface their ancestor’s initials, added two copies of their own to the house in the 1770s. All three sets of initials were used to assert ownership, one in the wake of rebuilding and two to cement the inheritance of a property that was of huge familial significance.</w:t>
      </w:r>
    </w:p>
    <w:p w14:paraId="2051F912" w14:textId="77777777" w:rsidR="00302D44" w:rsidRDefault="00302D44" w:rsidP="00302D44">
      <w:pPr>
        <w:spacing w:after="0" w:line="480" w:lineRule="auto"/>
        <w:jc w:val="both"/>
      </w:pPr>
      <w:r>
        <w:tab/>
      </w:r>
      <w:r w:rsidRPr="007035C2">
        <w:t>A 1651 document from the Halmote Court for the Manor and Forest of Macclesfield shows the admission of George Brocklehurst into lands owned by his late father.</w:t>
      </w:r>
      <w:r w:rsidRPr="007035C2">
        <w:rPr>
          <w:rStyle w:val="FootnoteReference"/>
        </w:rPr>
        <w:footnoteReference w:id="611"/>
      </w:r>
      <w:r w:rsidRPr="007035C2">
        <w:t xml:space="preserve"> </w:t>
      </w:r>
      <w:r>
        <w:t xml:space="preserve">No record of </w:t>
      </w:r>
      <w:r w:rsidRPr="007035C2">
        <w:t>George</w:t>
      </w:r>
      <w:r>
        <w:t>’s marriage survives</w:t>
      </w:r>
      <w:r w:rsidRPr="007035C2">
        <w:t xml:space="preserve">, but </w:t>
      </w:r>
      <w:r>
        <w:t xml:space="preserve">an </w:t>
      </w:r>
      <w:r w:rsidRPr="007035C2">
        <w:t>entry in the Taxal parish register describes the birth of a son, George, to George and Elizabeth ‘</w:t>
      </w:r>
      <w:proofErr w:type="spellStart"/>
      <w:r w:rsidRPr="007035C2">
        <w:t>Brouckelhurst</w:t>
      </w:r>
      <w:proofErr w:type="spellEnd"/>
      <w:r w:rsidRPr="007035C2">
        <w:t>’</w:t>
      </w:r>
      <w:r>
        <w:t xml:space="preserve"> in</w:t>
      </w:r>
      <w:r w:rsidRPr="00A37231">
        <w:t xml:space="preserve"> 1665</w:t>
      </w:r>
      <w:r w:rsidRPr="007035C2">
        <w:t>.</w:t>
      </w:r>
      <w:r w:rsidRPr="007035C2">
        <w:rPr>
          <w:rStyle w:val="FootnoteReference"/>
        </w:rPr>
        <w:footnoteReference w:id="612"/>
      </w:r>
      <w:r w:rsidRPr="007035C2">
        <w:t xml:space="preserve"> It is unclear whether the couple were married by </w:t>
      </w:r>
      <w:r>
        <w:t xml:space="preserve">1662, </w:t>
      </w:r>
      <w:r w:rsidRPr="007035C2">
        <w:t xml:space="preserve">the year etched into the earliest datestone, but the remodelling of the house </w:t>
      </w:r>
      <w:r>
        <w:t xml:space="preserve">feasibly </w:t>
      </w:r>
      <w:r w:rsidRPr="007035C2">
        <w:t>coincided with the first years of their marriage</w:t>
      </w:r>
      <w:r>
        <w:t>. Equally,</w:t>
      </w:r>
      <w:r w:rsidRPr="007035C2">
        <w:t xml:space="preserve"> </w:t>
      </w:r>
      <w:r>
        <w:t>like Walter Cocke in Bolton-le-Sands,</w:t>
      </w:r>
      <w:r w:rsidRPr="007035C2">
        <w:t xml:space="preserve"> George </w:t>
      </w:r>
      <w:r>
        <w:t xml:space="preserve">may have </w:t>
      </w:r>
      <w:r w:rsidRPr="007035C2">
        <w:t xml:space="preserve">remodelled </w:t>
      </w:r>
      <w:r>
        <w:t>Gap H</w:t>
      </w:r>
      <w:r w:rsidRPr="007035C2">
        <w:t xml:space="preserve">ouse while </w:t>
      </w:r>
      <w:r>
        <w:t xml:space="preserve">still </w:t>
      </w:r>
      <w:r w:rsidRPr="007035C2">
        <w:t>a bachelor</w:t>
      </w:r>
      <w:r>
        <w:t>, making it difficult to assess any connection between wealth brought by different spouses and the nature of inscription</w:t>
      </w:r>
      <w:r w:rsidRPr="007035C2">
        <w:t>.</w:t>
      </w:r>
      <w:r>
        <w:rPr>
          <w:rStyle w:val="FootnoteReference"/>
        </w:rPr>
        <w:footnoteReference w:id="613"/>
      </w:r>
      <w:r w:rsidRPr="007035C2">
        <w:t xml:space="preserve"> </w:t>
      </w:r>
      <w:r>
        <w:t>‘</w:t>
      </w:r>
      <w:r w:rsidRPr="007035C2">
        <w:t>George</w:t>
      </w:r>
      <w:r>
        <w:t>’</w:t>
      </w:r>
      <w:r w:rsidRPr="007035C2">
        <w:t xml:space="preserve"> appears to have been a family name reserved for male heirs</w:t>
      </w:r>
      <w:r>
        <w:t xml:space="preserve"> and </w:t>
      </w:r>
      <w:r w:rsidRPr="007035C2">
        <w:t>the child baptised in 1665 was</w:t>
      </w:r>
      <w:r>
        <w:t xml:space="preserve"> likely </w:t>
      </w:r>
      <w:r w:rsidRPr="007035C2">
        <w:t>the Brocklehurst</w:t>
      </w:r>
      <w:r>
        <w:t>s’</w:t>
      </w:r>
      <w:r w:rsidRPr="007035C2">
        <w:t xml:space="preserve"> first son. The paucity of parish register entries renders it uncertain whether any daughters</w:t>
      </w:r>
      <w:r>
        <w:t xml:space="preserve"> preceded him</w:t>
      </w:r>
      <w:r w:rsidRPr="007035C2">
        <w:t>, but</w:t>
      </w:r>
      <w:r>
        <w:t xml:space="preserve"> George was</w:t>
      </w:r>
      <w:r w:rsidRPr="007035C2">
        <w:t xml:space="preserve"> </w:t>
      </w:r>
      <w:r>
        <w:t xml:space="preserve">likely </w:t>
      </w:r>
      <w:r w:rsidRPr="007035C2">
        <w:t xml:space="preserve">born in the early years of the couple’s marriage, </w:t>
      </w:r>
      <w:r>
        <w:t>which probably took place i</w:t>
      </w:r>
      <w:r w:rsidRPr="007035C2">
        <w:t>n the early-1660s.</w:t>
      </w:r>
    </w:p>
    <w:p w14:paraId="03CCE73B" w14:textId="77777777" w:rsidR="00302D44" w:rsidRPr="007035C2" w:rsidRDefault="00302D44" w:rsidP="00302D44">
      <w:pPr>
        <w:spacing w:after="0" w:line="480" w:lineRule="auto"/>
        <w:jc w:val="both"/>
      </w:pPr>
      <w:r>
        <w:lastRenderedPageBreak/>
        <w:tab/>
      </w:r>
      <w:r w:rsidRPr="007035C2">
        <w:t xml:space="preserve">George and Elizabeth’s son lived only for a short time. </w:t>
      </w:r>
      <w:r>
        <w:t>B</w:t>
      </w:r>
      <w:r w:rsidRPr="007035C2">
        <w:t>aptised in July, his burial appears just three months later, on the same page of the parish register.</w:t>
      </w:r>
      <w:r w:rsidRPr="007035C2">
        <w:rPr>
          <w:rStyle w:val="FootnoteReference"/>
        </w:rPr>
        <w:footnoteReference w:id="614"/>
      </w:r>
      <w:r w:rsidRPr="007035C2">
        <w:t xml:space="preserve"> No other baptism entries for the couple exist, but </w:t>
      </w:r>
      <w:r>
        <w:t>evidence from</w:t>
      </w:r>
      <w:r w:rsidRPr="007035C2">
        <w:t xml:space="preserve"> 1738 suggests they soon had another son </w:t>
      </w:r>
      <w:r>
        <w:t>who received</w:t>
      </w:r>
      <w:r w:rsidRPr="007035C2">
        <w:t xml:space="preserve"> the same family name</w:t>
      </w:r>
      <w:r>
        <w:t>, ‘George’</w:t>
      </w:r>
      <w:r w:rsidRPr="007035C2">
        <w:t xml:space="preserve">. A document concerning the boundary between Kettleshulme and Taxal includes the depositions of seven </w:t>
      </w:r>
      <w:proofErr w:type="gramStart"/>
      <w:r w:rsidRPr="007035C2">
        <w:t>local residents</w:t>
      </w:r>
      <w:proofErr w:type="gramEnd"/>
      <w:r w:rsidRPr="007035C2">
        <w:t xml:space="preserve">. Among them, a man named George Brocklehurst is described as ‘upwards of seventy two years of age … Born in Kettleshulme aforesaid where he has </w:t>
      </w:r>
      <w:proofErr w:type="spellStart"/>
      <w:r w:rsidRPr="007035C2">
        <w:t>liv’d</w:t>
      </w:r>
      <w:proofErr w:type="spellEnd"/>
      <w:r w:rsidRPr="007035C2">
        <w:t xml:space="preserve"> </w:t>
      </w:r>
      <w:proofErr w:type="spellStart"/>
      <w:r w:rsidRPr="007035C2">
        <w:t>eversince</w:t>
      </w:r>
      <w:proofErr w:type="spellEnd"/>
      <w:r w:rsidRPr="007035C2">
        <w:t>’.</w:t>
      </w:r>
      <w:r w:rsidRPr="007035C2">
        <w:rPr>
          <w:rStyle w:val="FootnoteReference"/>
        </w:rPr>
        <w:footnoteReference w:id="615"/>
      </w:r>
      <w:r w:rsidRPr="007035C2">
        <w:t xml:space="preserve"> To be 72 at the time of his deposition, George would have been born in either 1666 or 1667, suggesting he was a second son, born to George and Elizabeth after the death of their earlier child.</w:t>
      </w:r>
    </w:p>
    <w:p w14:paraId="66CF850B" w14:textId="77777777" w:rsidR="00302D44" w:rsidRPr="007035C2" w:rsidRDefault="00302D44" w:rsidP="00302D44">
      <w:pPr>
        <w:spacing w:after="0" w:line="480" w:lineRule="auto"/>
        <w:ind w:firstLine="720"/>
        <w:jc w:val="both"/>
      </w:pPr>
      <w:r w:rsidRPr="007035C2">
        <w:t>Other deponents in the 1738 document impl</w:t>
      </w:r>
      <w:r>
        <w:t>ied</w:t>
      </w:r>
      <w:r w:rsidRPr="007035C2">
        <w:t xml:space="preserve"> that George was of significant local standing</w:t>
      </w:r>
      <w:r>
        <w:t>.</w:t>
      </w:r>
      <w:r w:rsidRPr="007035C2">
        <w:t xml:space="preserve"> </w:t>
      </w:r>
      <w:r>
        <w:t>I</w:t>
      </w:r>
      <w:r w:rsidRPr="007035C2">
        <w:t xml:space="preserve">n </w:t>
      </w:r>
      <w:r>
        <w:t>describing rumoured</w:t>
      </w:r>
      <w:r w:rsidRPr="007035C2">
        <w:t xml:space="preserve"> plans to construct a road across the disputed land, Joshua Walker claim</w:t>
      </w:r>
      <w:r>
        <w:t>ed</w:t>
      </w:r>
      <w:r w:rsidRPr="007035C2">
        <w:t xml:space="preserve"> that </w:t>
      </w:r>
      <w:r>
        <w:t xml:space="preserve">while </w:t>
      </w:r>
      <w:r w:rsidRPr="007035C2">
        <w:t>Thomas Slack owned the ‘original paper’, ‘a copy … was in George Brocklehurst’s hands’.</w:t>
      </w:r>
      <w:r w:rsidRPr="007035C2">
        <w:rPr>
          <w:rStyle w:val="FootnoteReference"/>
        </w:rPr>
        <w:footnoteReference w:id="616"/>
      </w:r>
      <w:r w:rsidRPr="007035C2">
        <w:t xml:space="preserve"> </w:t>
      </w:r>
      <w:r>
        <w:t xml:space="preserve">The 1662 </w:t>
      </w:r>
      <w:r w:rsidRPr="007035C2">
        <w:t>hearth tax return</w:t>
      </w:r>
      <w:r>
        <w:t xml:space="preserve"> includes </w:t>
      </w:r>
      <w:r w:rsidRPr="007035C2">
        <w:t>Slack and Brocklehurst’s forebears side by side</w:t>
      </w:r>
      <w:r>
        <w:t>,</w:t>
      </w:r>
      <w:r w:rsidRPr="007035C2">
        <w:t xml:space="preserve"> </w:t>
      </w:r>
      <w:r>
        <w:t>listing them both as inhabitants of properties with</w:t>
      </w:r>
      <w:r w:rsidRPr="007035C2">
        <w:t xml:space="preserve"> two hearths while all but one of the other thirty </w:t>
      </w:r>
      <w:r>
        <w:t>villagers taxed possessed</w:t>
      </w:r>
      <w:r w:rsidRPr="007035C2">
        <w:t xml:space="preserve"> just one.</w:t>
      </w:r>
      <w:r w:rsidRPr="007035C2">
        <w:rPr>
          <w:rStyle w:val="FootnoteReference"/>
        </w:rPr>
        <w:footnoteReference w:id="617"/>
      </w:r>
      <w:r w:rsidRPr="007035C2">
        <w:t xml:space="preserve"> Two more returns referencing Kettleshulme survive</w:t>
      </w:r>
      <w:r>
        <w:t xml:space="preserve">, from </w:t>
      </w:r>
      <w:r w:rsidRPr="007035C2">
        <w:t>1664</w:t>
      </w:r>
      <w:r>
        <w:t xml:space="preserve"> (which included neither Slack nor </w:t>
      </w:r>
      <w:r w:rsidRPr="007035C2">
        <w:t>Brocklehurst</w:t>
      </w:r>
      <w:r>
        <w:t>)</w:t>
      </w:r>
      <w:r w:rsidRPr="007035C2">
        <w:t xml:space="preserve"> and 1673/4. By the later return, while Slack was again charged for two hearths, Brocklehurst was assessed with four.</w:t>
      </w:r>
      <w:r w:rsidRPr="007035C2">
        <w:rPr>
          <w:rStyle w:val="FootnoteReference"/>
        </w:rPr>
        <w:footnoteReference w:id="618"/>
      </w:r>
      <w:r w:rsidRPr="007035C2">
        <w:t xml:space="preserve"> </w:t>
      </w:r>
      <w:r>
        <w:t>It is uncertain whether Brocklehurst had</w:t>
      </w:r>
      <w:r w:rsidRPr="007035C2">
        <w:t xml:space="preserve"> improve</w:t>
      </w:r>
      <w:r>
        <w:t>d</w:t>
      </w:r>
      <w:r w:rsidRPr="007035C2">
        <w:t xml:space="preserve"> his own home or acquired additional property </w:t>
      </w:r>
      <w:r>
        <w:t>nearby. Hearth tax</w:t>
      </w:r>
      <w:r w:rsidRPr="007035C2">
        <w:t xml:space="preserve"> idiosyncrasies may </w:t>
      </w:r>
      <w:r>
        <w:t xml:space="preserve">even </w:t>
      </w:r>
      <w:r w:rsidRPr="007035C2">
        <w:t xml:space="preserve">mean that </w:t>
      </w:r>
      <w:r>
        <w:t xml:space="preserve">he </w:t>
      </w:r>
      <w:r w:rsidRPr="007035C2">
        <w:lastRenderedPageBreak/>
        <w:t xml:space="preserve">owned the </w:t>
      </w:r>
      <w:r w:rsidRPr="003252C8">
        <w:rPr>
          <w:i/>
          <w:iCs/>
        </w:rPr>
        <w:t>same</w:t>
      </w:r>
      <w:r w:rsidRPr="007035C2">
        <w:t xml:space="preserve"> property in both years and was simply being charged differently.</w:t>
      </w:r>
      <w:r w:rsidRPr="007035C2">
        <w:rPr>
          <w:rStyle w:val="FootnoteReference"/>
        </w:rPr>
        <w:footnoteReference w:id="619"/>
      </w:r>
      <w:r w:rsidRPr="007035C2">
        <w:t xml:space="preserve"> Nevertheless, George Brocklehurst </w:t>
      </w:r>
      <w:r>
        <w:t xml:space="preserve">was clearly among the wealthiest of </w:t>
      </w:r>
      <w:r w:rsidRPr="007035C2">
        <w:t>his neighbours</w:t>
      </w:r>
      <w:r>
        <w:t xml:space="preserve"> in the late 1600s</w:t>
      </w:r>
      <w:r w:rsidRPr="007035C2">
        <w:t xml:space="preserve"> and </w:t>
      </w:r>
      <w:r>
        <w:t>w</w:t>
      </w:r>
      <w:r w:rsidRPr="007035C2">
        <w:t xml:space="preserve">as a key </w:t>
      </w:r>
      <w:r>
        <w:t>reference point</w:t>
      </w:r>
      <w:r w:rsidRPr="007035C2">
        <w:t xml:space="preserve"> in local land disputes later </w:t>
      </w:r>
      <w:r>
        <w:t>in</w:t>
      </w:r>
      <w:r w:rsidRPr="007035C2">
        <w:t xml:space="preserve"> his life.</w:t>
      </w:r>
    </w:p>
    <w:p w14:paraId="422FE331" w14:textId="77777777" w:rsidR="00302D44" w:rsidRDefault="00302D44" w:rsidP="00302D44">
      <w:pPr>
        <w:spacing w:after="0" w:line="480" w:lineRule="auto"/>
        <w:jc w:val="both"/>
      </w:pPr>
      <w:r>
        <w:tab/>
        <w:t xml:space="preserve">Dated </w:t>
      </w:r>
      <w:r w:rsidRPr="007035C2">
        <w:t>1748</w:t>
      </w:r>
      <w:r>
        <w:t xml:space="preserve">, George Brocklehurst’s will </w:t>
      </w:r>
      <w:r w:rsidRPr="007035C2">
        <w:t>is the earliest referenc</w:t>
      </w:r>
      <w:r>
        <w:t>ing</w:t>
      </w:r>
      <w:r w:rsidRPr="007035C2">
        <w:t xml:space="preserve"> Gap House</w:t>
      </w:r>
      <w:r>
        <w:t xml:space="preserve"> directly</w:t>
      </w:r>
      <w:r w:rsidRPr="007035C2">
        <w:t>.</w:t>
      </w:r>
      <w:r w:rsidRPr="007035C2">
        <w:rPr>
          <w:rStyle w:val="FootnoteReference"/>
        </w:rPr>
        <w:footnoteReference w:id="620"/>
      </w:r>
      <w:r w:rsidRPr="007035C2">
        <w:t xml:space="preserve"> Seemingly never proven, an original copy remains at the house, in the possession of its current residents.</w:t>
      </w:r>
      <w:r w:rsidRPr="007035C2">
        <w:rPr>
          <w:rStyle w:val="FootnoteReference"/>
        </w:rPr>
        <w:footnoteReference w:id="621"/>
      </w:r>
      <w:r w:rsidRPr="007035C2">
        <w:t xml:space="preserve"> In her book </w:t>
      </w:r>
      <w:r w:rsidRPr="007035C2">
        <w:rPr>
          <w:i/>
          <w:iCs/>
        </w:rPr>
        <w:t xml:space="preserve">An Old Silk Family, </w:t>
      </w:r>
      <w:r w:rsidRPr="007035C2">
        <w:t>Mary Crozier suggests that when Oliver Brocklehurst, gentleman, died in 1566, his lands in Glossop, Derbyshire, passed to George Brocklehurst, who then sold them and ‘settled at Gap House’</w:t>
      </w:r>
      <w:r>
        <w:t>,</w:t>
      </w:r>
      <w:r w:rsidRPr="007035C2">
        <w:t xml:space="preserve"> Kettleshulme.</w:t>
      </w:r>
      <w:r w:rsidRPr="007035C2">
        <w:rPr>
          <w:rStyle w:val="FootnoteReference"/>
        </w:rPr>
        <w:footnoteReference w:id="622"/>
      </w:r>
      <w:r w:rsidRPr="007035C2">
        <w:t xml:space="preserve"> Crozier does not cite this information and no parish register entries are forthcoming, </w:t>
      </w:r>
      <w:r>
        <w:t>making it difficult to ascertain</w:t>
      </w:r>
      <w:r w:rsidRPr="007035C2">
        <w:t xml:space="preserve"> how the two men </w:t>
      </w:r>
      <w:r>
        <w:t>were</w:t>
      </w:r>
      <w:r w:rsidRPr="007035C2">
        <w:t xml:space="preserve"> related. Crozier suggests the same George Brocklehurst ‘was admitted to copyhold property within the manor and forest of Macclesfield in 1623’.</w:t>
      </w:r>
      <w:r w:rsidRPr="007035C2">
        <w:rPr>
          <w:rStyle w:val="FootnoteReference"/>
        </w:rPr>
        <w:footnoteReference w:id="623"/>
      </w:r>
      <w:r w:rsidRPr="007035C2">
        <w:t xml:space="preserve"> Original </w:t>
      </w:r>
      <w:r>
        <w:t xml:space="preserve">papers </w:t>
      </w:r>
      <w:r w:rsidRPr="007035C2">
        <w:t xml:space="preserve">still </w:t>
      </w:r>
      <w:r>
        <w:t xml:space="preserve">held </w:t>
      </w:r>
      <w:r w:rsidRPr="007035C2">
        <w:t>at Gap House confirm this, while an earlier document shows</w:t>
      </w:r>
      <w:r>
        <w:t xml:space="preserve"> that a George Brocklehurst possessed</w:t>
      </w:r>
      <w:r w:rsidRPr="007035C2">
        <w:t xml:space="preserve"> the Gap House estate </w:t>
      </w:r>
      <w:r>
        <w:t xml:space="preserve">by </w:t>
      </w:r>
      <w:r w:rsidRPr="007035C2">
        <w:t>at least 1612.</w:t>
      </w:r>
      <w:r w:rsidRPr="007035C2">
        <w:rPr>
          <w:rStyle w:val="FootnoteReference"/>
        </w:rPr>
        <w:footnoteReference w:id="624"/>
      </w:r>
    </w:p>
    <w:p w14:paraId="422BB3BB" w14:textId="77777777" w:rsidR="00302D44" w:rsidRDefault="00302D44" w:rsidP="00302D44">
      <w:pPr>
        <w:spacing w:after="0" w:line="480" w:lineRule="auto"/>
        <w:jc w:val="both"/>
      </w:pPr>
      <w:r>
        <w:tab/>
        <w:t>When George Brocklehurst died in 1748, Gap House passed to his eldest son, also called George. The 1748 will</w:t>
      </w:r>
      <w:r w:rsidRPr="007035C2">
        <w:t xml:space="preserve"> </w:t>
      </w:r>
      <w:r>
        <w:t>makes it clear that his second son, William, inhabited a property known as</w:t>
      </w:r>
      <w:r w:rsidRPr="007035C2">
        <w:t xml:space="preserve"> ‘The </w:t>
      </w:r>
      <w:proofErr w:type="spellStart"/>
      <w:r w:rsidRPr="007035C2">
        <w:t>Capershaw</w:t>
      </w:r>
      <w:proofErr w:type="spellEnd"/>
      <w:r w:rsidRPr="007035C2">
        <w:t>’</w:t>
      </w:r>
      <w:r>
        <w:t xml:space="preserve"> which lay within</w:t>
      </w:r>
      <w:r w:rsidRPr="007035C2">
        <w:t xml:space="preserve"> the wider estate.</w:t>
      </w:r>
      <w:r w:rsidRPr="007035C2">
        <w:rPr>
          <w:rStyle w:val="FootnoteReference"/>
        </w:rPr>
        <w:footnoteReference w:id="625"/>
      </w:r>
      <w:r w:rsidRPr="007035C2">
        <w:t xml:space="preserve"> When William’s elder brother </w:t>
      </w:r>
      <w:r w:rsidRPr="007035C2">
        <w:lastRenderedPageBreak/>
        <w:t xml:space="preserve">died childless in 1767, </w:t>
      </w:r>
      <w:r>
        <w:t>the full Gap House estate was entailed to</w:t>
      </w:r>
      <w:r w:rsidRPr="007035C2">
        <w:t xml:space="preserve"> William ‘and his heirs male’.</w:t>
      </w:r>
      <w:r w:rsidRPr="007035C2">
        <w:rPr>
          <w:rStyle w:val="FootnoteReference"/>
        </w:rPr>
        <w:footnoteReference w:id="626"/>
      </w:r>
      <w:r w:rsidRPr="007035C2">
        <w:t xml:space="preserve"> William’s own will, made 1770, references several other lands to be passed to his own son</w:t>
      </w:r>
      <w:r>
        <w:t xml:space="preserve">, </w:t>
      </w:r>
      <w:r w:rsidRPr="007035C2">
        <w:t>also called George.</w:t>
      </w:r>
      <w:r w:rsidRPr="007035C2">
        <w:rPr>
          <w:rStyle w:val="FootnoteReference"/>
        </w:rPr>
        <w:footnoteReference w:id="627"/>
      </w:r>
      <w:r w:rsidRPr="007035C2">
        <w:t xml:space="preserve"> Notably, however, Gap House itself is absent </w:t>
      </w:r>
      <w:r>
        <w:t>and it appears</w:t>
      </w:r>
      <w:r w:rsidRPr="007035C2">
        <w:t xml:space="preserve"> that </w:t>
      </w:r>
      <w:r>
        <w:t>William had</w:t>
      </w:r>
      <w:r w:rsidRPr="007035C2">
        <w:t xml:space="preserve"> already conveyed the </w:t>
      </w:r>
      <w:r>
        <w:t xml:space="preserve">primary residence </w:t>
      </w:r>
      <w:r w:rsidRPr="007035C2">
        <w:t xml:space="preserve">to his son as an </w:t>
      </w:r>
      <w:proofErr w:type="spellStart"/>
      <w:r w:rsidRPr="007035C2">
        <w:rPr>
          <w:i/>
          <w:iCs/>
        </w:rPr>
        <w:t>inter</w:t>
      </w:r>
      <w:proofErr w:type="spellEnd"/>
      <w:r w:rsidRPr="007035C2">
        <w:rPr>
          <w:i/>
          <w:iCs/>
        </w:rPr>
        <w:t xml:space="preserve"> </w:t>
      </w:r>
      <w:proofErr w:type="spellStart"/>
      <w:r w:rsidRPr="007035C2">
        <w:rPr>
          <w:i/>
          <w:iCs/>
        </w:rPr>
        <w:t>vivos</w:t>
      </w:r>
      <w:proofErr w:type="spellEnd"/>
      <w:r w:rsidRPr="007035C2">
        <w:rPr>
          <w:i/>
          <w:iCs/>
        </w:rPr>
        <w:t xml:space="preserve"> </w:t>
      </w:r>
      <w:r w:rsidRPr="007035C2">
        <w:t>transfer</w:t>
      </w:r>
      <w:r>
        <w:t xml:space="preserve"> while continuing to </w:t>
      </w:r>
      <w:r w:rsidRPr="007035C2">
        <w:t>liv</w:t>
      </w:r>
      <w:r>
        <w:t>e</w:t>
      </w:r>
      <w:r w:rsidRPr="007035C2">
        <w:t xml:space="preserve"> at The </w:t>
      </w:r>
      <w:proofErr w:type="spellStart"/>
      <w:r w:rsidRPr="007035C2">
        <w:t>Capershaw</w:t>
      </w:r>
      <w:proofErr w:type="spellEnd"/>
      <w:r w:rsidRPr="007035C2">
        <w:t xml:space="preserve"> until his death. William’s son married Ann Bulloch of Lyme Handley (another Prestbury parish township</w:t>
      </w:r>
      <w:r>
        <w:t xml:space="preserve">, </w:t>
      </w:r>
      <w:r w:rsidRPr="007035C2">
        <w:t>neighbouring Kettleshulme) in 1771.</w:t>
      </w:r>
      <w:r w:rsidRPr="007035C2">
        <w:rPr>
          <w:rStyle w:val="FootnoteReference"/>
        </w:rPr>
        <w:footnoteReference w:id="628"/>
      </w:r>
      <w:r w:rsidRPr="007035C2">
        <w:t xml:space="preserve"> William died two years later, in 1773</w:t>
      </w:r>
      <w:r>
        <w:t xml:space="preserve"> – </w:t>
      </w:r>
      <w:r w:rsidRPr="007035C2">
        <w:t xml:space="preserve">the same year </w:t>
      </w:r>
      <w:r>
        <w:t>featured in inscriptions added to Gap House by his son and daughter-in-law.</w:t>
      </w:r>
    </w:p>
    <w:p w14:paraId="219ADA1D" w14:textId="42BA8FEB" w:rsidR="00302D44" w:rsidRDefault="00302D44" w:rsidP="00302D44">
      <w:pPr>
        <w:spacing w:after="0" w:line="480" w:lineRule="auto"/>
        <w:jc w:val="both"/>
      </w:pPr>
      <w:r>
        <w:tab/>
        <w:t xml:space="preserve">Reading </w:t>
      </w:r>
      <w:r w:rsidRPr="001C1F70">
        <w:t>‘G</w:t>
      </w:r>
      <w:r w:rsidRPr="001C1F70">
        <w:rPr>
          <w:vertAlign w:val="superscript"/>
        </w:rPr>
        <w:t>B</w:t>
      </w:r>
      <w:r w:rsidRPr="001C1F70">
        <w:t>A 1773’,</w:t>
      </w:r>
      <w:r>
        <w:t xml:space="preserve"> both later sets of initials </w:t>
      </w:r>
      <w:r w:rsidRPr="005F70DC">
        <w:t xml:space="preserve">likely commemorate a period of rebuilding. The façade featuring the later datestone differs significantly from that featuring the 1662 plaque to the rear, defined by </w:t>
      </w:r>
      <w:r>
        <w:t xml:space="preserve">symmetry and </w:t>
      </w:r>
      <w:r w:rsidRPr="005F70DC">
        <w:t>stonework congruent with the eighteenth-century date (Figures 1</w:t>
      </w:r>
      <w:r w:rsidR="004070D6">
        <w:t>9</w:t>
      </w:r>
      <w:r w:rsidRPr="005F70DC">
        <w:t xml:space="preserve"> and </w:t>
      </w:r>
      <w:r w:rsidR="004070D6">
        <w:t>20, p</w:t>
      </w:r>
      <w:r w:rsidR="00243439">
        <w:t xml:space="preserve">ages </w:t>
      </w:r>
      <w:r w:rsidR="003D48B3">
        <w:t>333 and 334</w:t>
      </w:r>
      <w:r w:rsidRPr="005F70DC">
        <w:t xml:space="preserve">). Facing the driveway, the 1773 inscription would have been the first thing seen by visitors approaching the house, occupying the centre of the façade. </w:t>
      </w:r>
      <w:r>
        <w:t xml:space="preserve">Crucially, </w:t>
      </w:r>
      <w:r w:rsidRPr="005F70DC">
        <w:t xml:space="preserve">the initials also mark a turning point in the history of the house. Given that Gap House had consistently </w:t>
      </w:r>
      <w:r>
        <w:t>passed</w:t>
      </w:r>
      <w:r w:rsidRPr="005F70DC">
        <w:t xml:space="preserve"> from father to son for several generations, George inherit</w:t>
      </w:r>
      <w:r>
        <w:t>ing</w:t>
      </w:r>
      <w:r w:rsidRPr="005F70DC">
        <w:t xml:space="preserve"> the estate from his uncle </w:t>
      </w:r>
      <w:r>
        <w:t>represented</w:t>
      </w:r>
      <w:r w:rsidRPr="005F70DC">
        <w:t xml:space="preserve"> a </w:t>
      </w:r>
      <w:r>
        <w:t>significant</w:t>
      </w:r>
      <w:r w:rsidRPr="005F70DC">
        <w:t xml:space="preserve"> shift.</w:t>
      </w:r>
      <w:r>
        <w:t xml:space="preserve"> When George and Ann placed their initials upon the house, they were commemorating their joint ownership of a property of which they had gained recent control. This was also a statement of continuity. In possessing initials matching those of his ancestor who had rebuilt the house 110 years earlier, George was doubly able to position himself as the appropriate heir to the estate.</w:t>
      </w:r>
    </w:p>
    <w:p w14:paraId="4CAE4175" w14:textId="65EEA267" w:rsidR="00302D44" w:rsidRDefault="00302D44" w:rsidP="00302D44">
      <w:pPr>
        <w:spacing w:after="0" w:line="480" w:lineRule="auto"/>
        <w:jc w:val="both"/>
      </w:pPr>
      <w:r>
        <w:lastRenderedPageBreak/>
        <w:tab/>
      </w:r>
      <w:r w:rsidRPr="00747ADA">
        <w:t xml:space="preserve">At </w:t>
      </w:r>
      <w:r>
        <w:t>G</w:t>
      </w:r>
      <w:r w:rsidRPr="00747ADA">
        <w:t xml:space="preserve">ap </w:t>
      </w:r>
      <w:r>
        <w:t>H</w:t>
      </w:r>
      <w:r w:rsidRPr="00747ADA">
        <w:t>ouse, initials were closely ti</w:t>
      </w:r>
      <w:r>
        <w:t>e</w:t>
      </w:r>
      <w:r w:rsidRPr="00747ADA">
        <w:t xml:space="preserve">d with ownership. The first set were added by the man responsible for constructing the earliest parts of the current house in the 1660s. Whether or not he was married when the earlier iteration of the house was completed, the initials were a mark of pride in construction and a symbol of identity, associating himself with literacy on the </w:t>
      </w:r>
      <w:r w:rsidR="00B42A97">
        <w:t>façade</w:t>
      </w:r>
      <w:r w:rsidRPr="00747ADA">
        <w:t xml:space="preserve"> of his home.</w:t>
      </w:r>
      <w:r w:rsidRPr="00050311">
        <w:t xml:space="preserve"> Added </w:t>
      </w:r>
      <w:r>
        <w:t>over</w:t>
      </w:r>
      <w:r w:rsidRPr="00050311">
        <w:t xml:space="preserve"> a century later, the second and third sets of initials represented both continuity and change. Adopting and transforming the commemorative language used by his ancestor, the later George </w:t>
      </w:r>
      <w:r>
        <w:t>B</w:t>
      </w:r>
      <w:r w:rsidRPr="00050311">
        <w:t xml:space="preserve">rocklehurst drew parallels between himself and his earlier relative, further altering and improving the house at the </w:t>
      </w:r>
      <w:r>
        <w:t>heart</w:t>
      </w:r>
      <w:r w:rsidRPr="00050311">
        <w:t xml:space="preserve"> of his famil</w:t>
      </w:r>
      <w:r>
        <w:t>ial</w:t>
      </w:r>
      <w:r w:rsidRPr="00050311">
        <w:t xml:space="preserve"> estate. Variously communicating lineage, ownership</w:t>
      </w:r>
      <w:r>
        <w:t xml:space="preserve"> and </w:t>
      </w:r>
      <w:r w:rsidRPr="00050311">
        <w:t>marriage</w:t>
      </w:r>
      <w:r>
        <w:t>,</w:t>
      </w:r>
      <w:r w:rsidRPr="002D7ABE">
        <w:t xml:space="preserve"> and commemorating both rebuilding and familial connection</w:t>
      </w:r>
      <w:r>
        <w:t xml:space="preserve"> </w:t>
      </w:r>
      <w:r w:rsidRPr="002D7ABE">
        <w:t>across decades, inscriptions were an important tool for</w:t>
      </w:r>
      <w:r>
        <w:t xml:space="preserve"> </w:t>
      </w:r>
      <w:r w:rsidRPr="002D7ABE">
        <w:t xml:space="preserve">identity formation at </w:t>
      </w:r>
      <w:r>
        <w:t>Gap H</w:t>
      </w:r>
      <w:r w:rsidRPr="002D7ABE">
        <w:t>ouse</w:t>
      </w:r>
      <w:r>
        <w:t xml:space="preserve">, both from personal </w:t>
      </w:r>
      <w:r w:rsidRPr="002D7ABE">
        <w:t>and</w:t>
      </w:r>
      <w:r>
        <w:t xml:space="preserve"> outward</w:t>
      </w:r>
      <w:r w:rsidRPr="002D7ABE">
        <w:t xml:space="preserve"> </w:t>
      </w:r>
      <w:r>
        <w:t>facing perspectives</w:t>
      </w:r>
      <w:r w:rsidRPr="002D7ABE">
        <w:t>.</w:t>
      </w:r>
    </w:p>
    <w:p w14:paraId="541204D0" w14:textId="77777777" w:rsidR="00302D44" w:rsidRDefault="00302D44" w:rsidP="00302D44">
      <w:pPr>
        <w:spacing w:after="0" w:line="480" w:lineRule="auto"/>
        <w:jc w:val="both"/>
      </w:pPr>
    </w:p>
    <w:p w14:paraId="524F7B33" w14:textId="1BF02550" w:rsidR="00302D44" w:rsidRPr="00857AD0" w:rsidRDefault="00302D44" w:rsidP="00302D44">
      <w:pPr>
        <w:spacing w:after="0" w:line="480" w:lineRule="auto"/>
        <w:jc w:val="both"/>
        <w:rPr>
          <w:i/>
          <w:iCs/>
        </w:rPr>
      </w:pPr>
      <w:r>
        <w:rPr>
          <w:i/>
          <w:iCs/>
        </w:rPr>
        <w:t xml:space="preserve">Case Study </w:t>
      </w:r>
      <w:r w:rsidR="0013175B">
        <w:rPr>
          <w:i/>
          <w:iCs/>
        </w:rPr>
        <w:t>8</w:t>
      </w:r>
      <w:r>
        <w:rPr>
          <w:i/>
          <w:iCs/>
        </w:rPr>
        <w:t>: Langley Hall, Sutton</w:t>
      </w:r>
    </w:p>
    <w:p w14:paraId="4E3632FC" w14:textId="6C2B0883" w:rsidR="00302D44" w:rsidRDefault="00302D44" w:rsidP="00302D44">
      <w:pPr>
        <w:spacing w:after="0" w:line="480" w:lineRule="auto"/>
        <w:jc w:val="both"/>
      </w:pPr>
      <w:r>
        <w:tab/>
        <w:t xml:space="preserve">The inscription at Langley Hall occupies a cartouche above the main doorway (Figures </w:t>
      </w:r>
      <w:r w:rsidR="00E469A0">
        <w:t>21</w:t>
      </w:r>
      <w:r>
        <w:t xml:space="preserve"> and </w:t>
      </w:r>
      <w:r w:rsidR="00E469A0">
        <w:t>22, p</w:t>
      </w:r>
      <w:r w:rsidR="003D48B3">
        <w:t xml:space="preserve">ages 335 and </w:t>
      </w:r>
      <w:proofErr w:type="gramStart"/>
      <w:r w:rsidR="003D48B3">
        <w:t>336</w:t>
      </w:r>
      <w:r w:rsidR="00E469A0">
        <w:t xml:space="preserve"> </w:t>
      </w:r>
      <w:r>
        <w:t>)</w:t>
      </w:r>
      <w:proofErr w:type="gramEnd"/>
      <w:r>
        <w:t xml:space="preserve">. Dated 1696, the three letters inside the cartouche are partly illegible and the exact meaning of the initials is unclear. Using surviving documents to trace the factors influencing inscription offers some way of overcoming this issue and, as at Gap House, </w:t>
      </w:r>
      <w:proofErr w:type="gramStart"/>
      <w:r>
        <w:t>it is clear that the</w:t>
      </w:r>
      <w:proofErr w:type="gramEnd"/>
      <w:r>
        <w:t xml:space="preserve"> letters were added in the wake of property transfer. The couple who inscribed Langley Hall inherited the property at some point after 1693. With one legible letter visibly commemorating their shared surname, the inscription is comprehensible as a mark of ownership, placed upon Langley Hall by a couple who had newly rebuilt or at least partly altered a house that had been in their family for half a century.</w:t>
      </w:r>
    </w:p>
    <w:p w14:paraId="104ED720" w14:textId="77777777" w:rsidR="00302D44" w:rsidRDefault="00302D44" w:rsidP="00302D44">
      <w:pPr>
        <w:spacing w:after="0" w:line="480" w:lineRule="auto"/>
        <w:ind w:firstLine="720"/>
        <w:jc w:val="both"/>
      </w:pPr>
      <w:r>
        <w:lastRenderedPageBreak/>
        <w:t>The Clowes family of Langley Hall were of gentry status. Seventeenth-century parish records relating to them are scarce but, owing to their status, their genealogy can be partially reconstructed from two nineteenth-century volumes produced by antiquarians George Ormerod and John Burke.</w:t>
      </w:r>
      <w:r>
        <w:rPr>
          <w:rStyle w:val="FootnoteReference"/>
        </w:rPr>
        <w:footnoteReference w:id="629"/>
      </w:r>
      <w:r>
        <w:t xml:space="preserve"> Ormerod argues that Langley Hall came into the Clowes family in 1651, when William Clowes married ‘Katharine, daughter of Robert </w:t>
      </w:r>
      <w:proofErr w:type="spellStart"/>
      <w:r>
        <w:t>Yeveley</w:t>
      </w:r>
      <w:proofErr w:type="spellEnd"/>
      <w:r>
        <w:t xml:space="preserve"> of Langley, gent. and by that marriage acquired Langley’.</w:t>
      </w:r>
      <w:r>
        <w:rPr>
          <w:rStyle w:val="FootnoteReference"/>
        </w:rPr>
        <w:footnoteReference w:id="630"/>
      </w:r>
      <w:r>
        <w:t xml:space="preserve"> Burke, by contrast, simply states that William was ‘living in 1651’, and rather than providing a marriage date suggests that William and Katherine’s heir, William, was born on 27</w:t>
      </w:r>
      <w:r w:rsidRPr="007D064D">
        <w:rPr>
          <w:vertAlign w:val="superscript"/>
        </w:rPr>
        <w:t>th</w:t>
      </w:r>
      <w:r>
        <w:t xml:space="preserve"> February that year.</w:t>
      </w:r>
      <w:r>
        <w:rPr>
          <w:rStyle w:val="FootnoteReference"/>
        </w:rPr>
        <w:footnoteReference w:id="631"/>
      </w:r>
    </w:p>
    <w:p w14:paraId="3B9F977B" w14:textId="77777777" w:rsidR="00302D44" w:rsidRDefault="00302D44" w:rsidP="00302D44">
      <w:pPr>
        <w:spacing w:after="0" w:line="480" w:lineRule="auto"/>
        <w:ind w:firstLine="720"/>
        <w:jc w:val="both"/>
      </w:pPr>
      <w:r>
        <w:t>Presuming he was born in approximately 1651, William Clowes would have been twenty-eight years old when he married Mary Greene in the summer of 1679.</w:t>
      </w:r>
      <w:r>
        <w:rPr>
          <w:rStyle w:val="FootnoteReference"/>
        </w:rPr>
        <w:footnoteReference w:id="632"/>
      </w:r>
      <w:r>
        <w:t xml:space="preserve"> Mary was the daughter of Macclesfield alderman William Watson and his wife Elizabeth (also an alderman’s daughter) and had been married once before.</w:t>
      </w:r>
      <w:r>
        <w:rPr>
          <w:rStyle w:val="FootnoteReference"/>
        </w:rPr>
        <w:footnoteReference w:id="633"/>
      </w:r>
      <w:r>
        <w:t xml:space="preserve"> Her first husband was Thomas Greene of Bollington – a wealthy gentleman from a neighbouring parish.</w:t>
      </w:r>
      <w:r>
        <w:rPr>
          <w:rStyle w:val="FootnoteReference"/>
        </w:rPr>
        <w:footnoteReference w:id="634"/>
      </w:r>
      <w:r>
        <w:t xml:space="preserve"> At his death in 1675, Greene’s inventory valued his personal estate at just over £750, including over £40 in silver plate alone.</w:t>
      </w:r>
      <w:r>
        <w:rPr>
          <w:rStyle w:val="FootnoteReference"/>
        </w:rPr>
        <w:footnoteReference w:id="635"/>
      </w:r>
      <w:r>
        <w:t xml:space="preserve"> Greene was considerably wealthy and his will includes bequests of £800 to his and Mary’s eldest daughter, and £300 to their youngest.</w:t>
      </w:r>
      <w:r>
        <w:rPr>
          <w:rStyle w:val="FootnoteReference"/>
        </w:rPr>
        <w:footnoteReference w:id="636"/>
      </w:r>
      <w:r>
        <w:t xml:space="preserve"> A clause in his will also references a premarital agreement made with Mary’s father, involving the re-leasing of some </w:t>
      </w:r>
      <w:r>
        <w:lastRenderedPageBreak/>
        <w:t>of Greene’s properties as a jointure for his bride.</w:t>
      </w:r>
      <w:r>
        <w:rPr>
          <w:rStyle w:val="FootnoteReference"/>
        </w:rPr>
        <w:footnoteReference w:id="637"/>
      </w:r>
      <w:r>
        <w:t xml:space="preserve"> Widowed at just twenty-five years old and in control of properties gained through her first marriage, Mary was likely an attractive match in possession of considerable wealth.</w:t>
      </w:r>
    </w:p>
    <w:p w14:paraId="74830DA4" w14:textId="77777777" w:rsidR="00302D44" w:rsidRDefault="00302D44" w:rsidP="00302D44">
      <w:pPr>
        <w:spacing w:after="0" w:line="480" w:lineRule="auto"/>
        <w:ind w:firstLine="720"/>
        <w:jc w:val="both"/>
      </w:pPr>
      <w:r>
        <w:t xml:space="preserve">The initials at Langley Hall were applied in 1696, when the property was in William and Mary’s hands. Although the cartouche was added seventeen years after their marriage, it is uncertain whether the initials should be understood as marriage initials. The upper letter is a ‘C’, likely </w:t>
      </w:r>
      <w:r w:rsidRPr="00832375">
        <w:t>signifying ‘Clowes’,</w:t>
      </w:r>
      <w:r>
        <w:t xml:space="preserve"> but the significance of the two lower initials is less clear. The official listing for the property describes the plaque as reading ‘M</w:t>
      </w:r>
      <w:r>
        <w:rPr>
          <w:vertAlign w:val="superscript"/>
        </w:rPr>
        <w:t xml:space="preserve"> </w:t>
      </w:r>
      <w:r>
        <w:t>C A’ (i.e. ‘M</w:t>
      </w:r>
      <w:r>
        <w:rPr>
          <w:vertAlign w:val="superscript"/>
        </w:rPr>
        <w:t>C</w:t>
      </w:r>
      <w:r>
        <w:t>A’).</w:t>
      </w:r>
      <w:r>
        <w:rPr>
          <w:rStyle w:val="FootnoteReference"/>
        </w:rPr>
        <w:footnoteReference w:id="638"/>
      </w:r>
      <w:r>
        <w:t xml:space="preserve"> These letters do not match with any members of the Clowes family except for Mary, and </w:t>
      </w:r>
      <w:r w:rsidRPr="00E355C9">
        <w:t xml:space="preserve">it is unlikely </w:t>
      </w:r>
      <w:r>
        <w:t xml:space="preserve">that </w:t>
      </w:r>
      <w:r w:rsidRPr="00E355C9">
        <w:t xml:space="preserve">she would </w:t>
      </w:r>
      <w:r>
        <w:t xml:space="preserve">have </w:t>
      </w:r>
      <w:r w:rsidRPr="00E355C9">
        <w:t>be</w:t>
      </w:r>
      <w:r>
        <w:t>en</w:t>
      </w:r>
      <w:r w:rsidRPr="00E355C9">
        <w:t xml:space="preserve"> commemorated alone while both she and her husband were still living</w:t>
      </w:r>
      <w:r>
        <w:t>. It is possible that the ‘M’ is an ornate ‘W’, referencing William, with the third initial perhaps representing a middle name absent from surviving documentation. Although uncommon, the signature of John Leaper discussed in the previous chapter – laid out in a marriage initial triad but representing his forename, middle name and surname – suggests this is not an impossibility.</w:t>
      </w:r>
      <w:r>
        <w:rPr>
          <w:rStyle w:val="FootnoteReference"/>
        </w:rPr>
        <w:footnoteReference w:id="639"/>
      </w:r>
      <w:r>
        <w:t xml:space="preserve"> The comma separating the two lower Langley Hall initials is unusual, too, generally unseen in marriage initial inscriptions and perhaps </w:t>
      </w:r>
      <w:proofErr w:type="spellStart"/>
      <w:r>
        <w:t>referring</w:t>
      </w:r>
      <w:proofErr w:type="spellEnd"/>
      <w:r>
        <w:t xml:space="preserve"> instead to a phrase or motto. No such phrases with the initials ‘M A’, however, have been traceable. Signs of disintegration elsewhere on the cartouche, along with visible differences between the disrupted linework of the lower right initial and the heavily floreated styling and flourishes of the upper and lower left letters suggest the lower right may have been damaged or incorrectly painted in the past. It may even have once been an ‘R’, referencing William’s eldest </w:t>
      </w:r>
      <w:r>
        <w:lastRenderedPageBreak/>
        <w:t xml:space="preserve">son and eventual heir, Robert. Emmeline Garnett has demonstrated fourteen instances of father-son commemoration in South </w:t>
      </w:r>
      <w:proofErr w:type="gramStart"/>
      <w:r>
        <w:t>Lonsdale</w:t>
      </w:r>
      <w:proofErr w:type="gramEnd"/>
      <w:r>
        <w:t xml:space="preserve"> but no comparable Prestbury parish examples have been discussed in extant scholarship.</w:t>
      </w:r>
      <w:r>
        <w:rPr>
          <w:rStyle w:val="FootnoteReference"/>
        </w:rPr>
        <w:footnoteReference w:id="640"/>
      </w:r>
    </w:p>
    <w:p w14:paraId="62AF431D" w14:textId="34397ED1" w:rsidR="00302D44" w:rsidRDefault="00302D44" w:rsidP="00302D44">
      <w:pPr>
        <w:spacing w:after="0" w:line="480" w:lineRule="auto"/>
        <w:ind w:firstLine="720"/>
        <w:jc w:val="both"/>
      </w:pPr>
      <w:r>
        <w:t xml:space="preserve">Examining contemporary documents is useful </w:t>
      </w:r>
      <w:r w:rsidR="00DC3A92">
        <w:t>in seeking to</w:t>
      </w:r>
      <w:r>
        <w:t xml:space="preserve"> better understand the significance of the Langley Hall inscription, even while the exact meaning of each individual letter is unclear. Baptism records survive for just one of William and Mary’s three children. The baptism of </w:t>
      </w:r>
      <w:r w:rsidRPr="00871B83">
        <w:t>‘Catherine daughter of William Clowes’ appears in the Prestbury parish register</w:t>
      </w:r>
      <w:r>
        <w:t xml:space="preserve"> in 1680, a year after the couple’s marriage, and is recorded as taking place in Bollington – the township Mary had inhabited during her marriage to her first husband.</w:t>
      </w:r>
      <w:r>
        <w:rPr>
          <w:rStyle w:val="FootnoteReference"/>
        </w:rPr>
        <w:footnoteReference w:id="641"/>
      </w:r>
      <w:r>
        <w:t xml:space="preserve"> Burke cites the birthdate of another child, Robert, as 28</w:t>
      </w:r>
      <w:r w:rsidRPr="009C6B48">
        <w:rPr>
          <w:vertAlign w:val="superscript"/>
        </w:rPr>
        <w:t>th</w:t>
      </w:r>
      <w:r>
        <w:t xml:space="preserve"> August 1682 while a third child, William, is only traceable in a burial entry dated 1693.</w:t>
      </w:r>
      <w:r>
        <w:rPr>
          <w:rStyle w:val="FootnoteReference"/>
        </w:rPr>
        <w:footnoteReference w:id="642"/>
      </w:r>
      <w:r>
        <w:t xml:space="preserve"> The burial entry for William in the Macclesfield parish register describes him as the son of William Clowes ‘of Langley’. It is uncertain whether the couple had taken up residence in Langley Hall itself, but they had clearly left Bollington by this date, relocating to Langley village.</w:t>
      </w:r>
      <w:r>
        <w:rPr>
          <w:rStyle w:val="FootnoteReference"/>
        </w:rPr>
        <w:footnoteReference w:id="643"/>
      </w:r>
    </w:p>
    <w:p w14:paraId="78AE9728" w14:textId="0DE012CA" w:rsidR="00302D44" w:rsidRDefault="00302D44" w:rsidP="00302D44">
      <w:pPr>
        <w:spacing w:after="0" w:line="480" w:lineRule="auto"/>
        <w:ind w:firstLine="720"/>
        <w:jc w:val="both"/>
      </w:pPr>
      <w:r>
        <w:t>Two more deaths occurred in 1693, with William losing both of his parents within months of one another.</w:t>
      </w:r>
      <w:r>
        <w:rPr>
          <w:rStyle w:val="FootnoteReference"/>
        </w:rPr>
        <w:footnoteReference w:id="644"/>
      </w:r>
      <w:r>
        <w:t xml:space="preserve"> This appears to have paved the way for building works at Langley Hall, including the addition of the initialled cartouche. While the burial entry for William and Mary’s son suggests they may have at least been living nearby, upon the death of William’s </w:t>
      </w:r>
      <w:r>
        <w:lastRenderedPageBreak/>
        <w:t>father the couple undoubtedly inherited the full Langley estate.</w:t>
      </w:r>
      <w:r>
        <w:rPr>
          <w:rStyle w:val="FootnoteReference"/>
        </w:rPr>
        <w:footnoteReference w:id="645"/>
      </w:r>
      <w:r>
        <w:t xml:space="preserve"> The official listing describes Langley Hall as a ‘well-proportioned example of provincial Renaissance architecture’.</w:t>
      </w:r>
      <w:r>
        <w:rPr>
          <w:rStyle w:val="FootnoteReference"/>
        </w:rPr>
        <w:footnoteReference w:id="646"/>
      </w:r>
      <w:r>
        <w:t xml:space="preserve"> Its seven bays feature unbroken symmetry, and the large shell-moulded doorcase occupying the centre of the façade further magnifies the initials. Either side of the door, stylised W initials are incorporated into the jambs (highlighted in Figure 2</w:t>
      </w:r>
      <w:r w:rsidR="002A034A">
        <w:t>3, p.</w:t>
      </w:r>
      <w:r w:rsidR="003D48B3">
        <w:t>337</w:t>
      </w:r>
      <w:r>
        <w:t xml:space="preserve">). The initials above – whatever precisely they may signify – are ornate, heavily floreated with flourishes reminiscent of leaves and feathers, and a design reminiscent of a crown surmounting the surname letter. While the swirling flourishes have not been consistently applied, some variation is apparent in the sizing and shape of the letters, and the head beneath the </w:t>
      </w:r>
      <w:r w:rsidRPr="00FC4CA8">
        <w:t>plaque has been described as ‘primitively carved’</w:t>
      </w:r>
      <w:r>
        <w:t>, the Langley cartouche is unlike anything in the immediate area. It was applied by a couple who had inherited the property in recent years and, along with the house it appeared upon, represented an ambitious attempt to mark the family out as abreast of contemporary design and tastes. Mary Clowes had been married to an incredibly wealthy Cheshire gentleman. While William was much less wealthy upon his own death, Langley Hall and its initials were undoubtedly a cementation of ownership and status, and a tribute to a continuing family legacy.</w:t>
      </w:r>
    </w:p>
    <w:p w14:paraId="5CE9E1C0" w14:textId="77777777" w:rsidR="00302D44" w:rsidRDefault="00302D44" w:rsidP="00302D44">
      <w:pPr>
        <w:spacing w:after="0" w:line="480" w:lineRule="auto"/>
        <w:jc w:val="both"/>
      </w:pPr>
    </w:p>
    <w:p w14:paraId="13866549" w14:textId="57642568" w:rsidR="00302D44" w:rsidRDefault="00302D44" w:rsidP="00302D44">
      <w:pPr>
        <w:spacing w:after="0" w:line="480" w:lineRule="auto"/>
        <w:jc w:val="both"/>
        <w:rPr>
          <w:i/>
          <w:iCs/>
        </w:rPr>
      </w:pPr>
      <w:r>
        <w:rPr>
          <w:i/>
          <w:iCs/>
        </w:rPr>
        <w:t xml:space="preserve">Case Study </w:t>
      </w:r>
      <w:r w:rsidR="00D566F5">
        <w:rPr>
          <w:i/>
          <w:iCs/>
        </w:rPr>
        <w:t>9</w:t>
      </w:r>
      <w:r>
        <w:rPr>
          <w:i/>
          <w:iCs/>
        </w:rPr>
        <w:t>: Brooks Cottage, Butley</w:t>
      </w:r>
    </w:p>
    <w:p w14:paraId="25E84F87" w14:textId="77777777" w:rsidR="00302D44" w:rsidRDefault="00302D44" w:rsidP="00302D44">
      <w:pPr>
        <w:spacing w:after="0" w:line="480" w:lineRule="auto"/>
        <w:jc w:val="both"/>
      </w:pPr>
      <w:r>
        <w:tab/>
        <w:t xml:space="preserve">Brooks Cottage takes its name from the couple who rebuilt it in 1686: Roger and Ellen Brooks. The house appears in documents produced in the months before their wedding and is identifiable as a key asset during the merging of their estates. </w:t>
      </w:r>
      <w:proofErr w:type="gramStart"/>
      <w:r>
        <w:t>In spite of</w:t>
      </w:r>
      <w:proofErr w:type="gramEnd"/>
      <w:r>
        <w:t xml:space="preserve"> this, Roger and </w:t>
      </w:r>
      <w:r>
        <w:lastRenderedPageBreak/>
        <w:t>Ellen seemingly never lived at the property and perhaps never planned to do so. The inscription at Brooks Cottage differs from the marriage initials prevalent on most homes discussed here. It is an even clearer assertion of ownership, featuring the full names of the couple who built it, and examining the context surrounding its creation suggests that this level of detail was important for Roger and Ellen, who – unlike anyone else in the core sample – did not inhabit the home they inscribed. Considering the ways in which the inscription differs from other case studies in the core sample offers a deeper insight into wider inscription practices. In highlighting the different types of identity formation bound up in different types of inscriptions, the way in which marriage initials were perceived and used by inscribers is easier to discern.</w:t>
      </w:r>
    </w:p>
    <w:p w14:paraId="5C3FB5BF" w14:textId="47C83F6F" w:rsidR="00302D44" w:rsidRPr="00EB3EDE" w:rsidRDefault="00302D44" w:rsidP="00302D44">
      <w:pPr>
        <w:spacing w:after="0" w:line="480" w:lineRule="auto"/>
        <w:jc w:val="both"/>
      </w:pPr>
      <w:r>
        <w:tab/>
        <w:t xml:space="preserve">Brooks Cottage is one of the few properties in the Prestbury sample inscribed shortly after marriage. Its inscription reads </w:t>
      </w:r>
      <w:r w:rsidRPr="00CA5876">
        <w:t xml:space="preserve">‘Rodger Brooks and Ellen his Wife Erected this house </w:t>
      </w:r>
      <w:proofErr w:type="gramStart"/>
      <w:r w:rsidRPr="00CA5876">
        <w:t>In</w:t>
      </w:r>
      <w:proofErr w:type="gramEnd"/>
      <w:r w:rsidRPr="00CA5876">
        <w:t xml:space="preserve"> </w:t>
      </w:r>
      <w:proofErr w:type="gramStart"/>
      <w:r w:rsidRPr="00CA5876">
        <w:t>the :</w:t>
      </w:r>
      <w:proofErr w:type="gramEnd"/>
      <w:r w:rsidRPr="00CA5876">
        <w:t xml:space="preserve"> 24 </w:t>
      </w:r>
      <w:proofErr w:type="spellStart"/>
      <w:r w:rsidRPr="00CA5876">
        <w:t>yeare</w:t>
      </w:r>
      <w:proofErr w:type="spellEnd"/>
      <w:r w:rsidRPr="00CA5876">
        <w:t xml:space="preserve"> of his </w:t>
      </w:r>
      <w:proofErr w:type="gramStart"/>
      <w:r w:rsidRPr="00CA5876">
        <w:t>Life :</w:t>
      </w:r>
      <w:proofErr w:type="gramEnd"/>
      <w:r w:rsidRPr="00CA5876">
        <w:t xml:space="preserve"> Ano Dom 1686’ (Figure </w:t>
      </w:r>
      <w:r>
        <w:t>2</w:t>
      </w:r>
      <w:r w:rsidR="00887CB7">
        <w:t>4, p.</w:t>
      </w:r>
      <w:r w:rsidR="003D48B3">
        <w:t>338</w:t>
      </w:r>
      <w:r w:rsidRPr="00CA5876">
        <w:t>).</w:t>
      </w:r>
      <w:r>
        <w:t xml:space="preserve"> Roger and Ellen were married by licence on 20</w:t>
      </w:r>
      <w:r w:rsidRPr="00177FC9">
        <w:rPr>
          <w:vertAlign w:val="superscript"/>
        </w:rPr>
        <w:t>th</w:t>
      </w:r>
      <w:r>
        <w:t xml:space="preserve"> August 1685.</w:t>
      </w:r>
      <w:r>
        <w:rPr>
          <w:rStyle w:val="FootnoteReference"/>
        </w:rPr>
        <w:footnoteReference w:id="647"/>
      </w:r>
      <w:r>
        <w:t xml:space="preserve"> </w:t>
      </w:r>
      <w:r w:rsidRPr="003D0C3B">
        <w:t xml:space="preserve">Once again, as much as historians have argued that </w:t>
      </w:r>
      <w:r>
        <w:t xml:space="preserve">couples sought </w:t>
      </w:r>
      <w:r w:rsidRPr="003D0C3B">
        <w:t>marriage</w:t>
      </w:r>
      <w:r>
        <w:t>s</w:t>
      </w:r>
      <w:r w:rsidRPr="003D0C3B">
        <w:t xml:space="preserve"> by licence to marry in secret</w:t>
      </w:r>
      <w:r>
        <w:t>,</w:t>
      </w:r>
      <w:r w:rsidRPr="003D0C3B">
        <w:t xml:space="preserve"> avoid</w:t>
      </w:r>
      <w:r>
        <w:t>ing</w:t>
      </w:r>
      <w:r w:rsidRPr="003D0C3B">
        <w:t xml:space="preserve"> </w:t>
      </w:r>
      <w:r>
        <w:t>making</w:t>
      </w:r>
      <w:r w:rsidRPr="003D0C3B">
        <w:t xml:space="preserve"> ban</w:t>
      </w:r>
      <w:r>
        <w:t>n</w:t>
      </w:r>
      <w:r w:rsidRPr="003D0C3B">
        <w:t>s</w:t>
      </w:r>
      <w:r>
        <w:t>,</w:t>
      </w:r>
      <w:r w:rsidRPr="003D0C3B">
        <w:t xml:space="preserve"> </w:t>
      </w:r>
      <w:r>
        <w:t>this was evidently not the case for Roger and Ellen.</w:t>
      </w:r>
      <w:r>
        <w:rPr>
          <w:rStyle w:val="FootnoteReference"/>
        </w:rPr>
        <w:footnoteReference w:id="648"/>
      </w:r>
      <w:r>
        <w:t xml:space="preserve"> The survival of a lease document dated 10</w:t>
      </w:r>
      <w:r w:rsidRPr="00DB2861">
        <w:rPr>
          <w:vertAlign w:val="superscript"/>
        </w:rPr>
        <w:t>th</w:t>
      </w:r>
      <w:r>
        <w:t xml:space="preserve"> March 1685 – over five months before the couple’s wedding – indicates that the marriage undoubtedly involved forward planning, more likely motivated by aspiration or a desire for privacy than disreputable secrecy.</w:t>
      </w:r>
      <w:r>
        <w:rPr>
          <w:rStyle w:val="FootnoteReference"/>
        </w:rPr>
        <w:footnoteReference w:id="649"/>
      </w:r>
      <w:r>
        <w:t xml:space="preserve"> </w:t>
      </w:r>
      <w:r w:rsidRPr="00EB3EDE">
        <w:t>The 10</w:t>
      </w:r>
      <w:r w:rsidRPr="00EB3EDE">
        <w:rPr>
          <w:vertAlign w:val="superscript"/>
        </w:rPr>
        <w:t>th</w:t>
      </w:r>
      <w:r w:rsidRPr="00EB3EDE">
        <w:t xml:space="preserve"> March lease </w:t>
      </w:r>
      <w:r>
        <w:t>instituted the couple as joint leaseholders of the property occupying the current site of Brooks Cottage. Significantly, it name</w:t>
      </w:r>
      <w:r w:rsidRPr="00EB3EDE">
        <w:t>s</w:t>
      </w:r>
      <w:r>
        <w:t xml:space="preserve"> both</w:t>
      </w:r>
      <w:r w:rsidRPr="00EB3EDE">
        <w:t xml:space="preserve"> ‘Roger Brooke of Butley, slater’ </w:t>
      </w:r>
      <w:r>
        <w:t>and</w:t>
      </w:r>
      <w:r w:rsidRPr="00EB3EDE">
        <w:t xml:space="preserve"> ‘Ellen Brooke his wife’, </w:t>
      </w:r>
      <w:r>
        <w:t xml:space="preserve">explicitly recognising </w:t>
      </w:r>
      <w:r w:rsidRPr="00EB3EDE">
        <w:t xml:space="preserve">the couple as </w:t>
      </w:r>
      <w:r>
        <w:t xml:space="preserve">legal </w:t>
      </w:r>
      <w:r>
        <w:lastRenderedPageBreak/>
        <w:t>marriage partners</w:t>
      </w:r>
      <w:r w:rsidRPr="00EB3EDE">
        <w:t xml:space="preserve"> before </w:t>
      </w:r>
      <w:r>
        <w:t>they had been officially wed</w:t>
      </w:r>
      <w:r w:rsidRPr="00EB3EDE">
        <w:t xml:space="preserve"> in church.</w:t>
      </w:r>
      <w:r>
        <w:t xml:space="preserve"> </w:t>
      </w:r>
      <w:r w:rsidRPr="002B1CD0">
        <w:t xml:space="preserve">Just as the inscription at Cobblers’ </w:t>
      </w:r>
      <w:r>
        <w:t>L</w:t>
      </w:r>
      <w:r w:rsidRPr="002B1CD0">
        <w:t xml:space="preserve">odge in Bolton-le-Sands signalled the liminality of the </w:t>
      </w:r>
      <w:r w:rsidR="006C5414">
        <w:t>phase</w:t>
      </w:r>
      <w:r w:rsidRPr="002B1CD0">
        <w:t xml:space="preserve"> between courtship and formalised marriage, the documents connected to Brooks Cottage </w:t>
      </w:r>
      <w:r>
        <w:t xml:space="preserve">also </w:t>
      </w:r>
      <w:r w:rsidRPr="002B1CD0">
        <w:t>hint that the lines were blurred.</w:t>
      </w:r>
    </w:p>
    <w:p w14:paraId="132C5A13" w14:textId="77777777" w:rsidR="00302D44" w:rsidRDefault="00302D44" w:rsidP="00302D44">
      <w:pPr>
        <w:spacing w:after="0" w:line="480" w:lineRule="auto"/>
        <w:ind w:firstLine="720"/>
        <w:jc w:val="both"/>
      </w:pPr>
      <w:r>
        <w:t>John Addy has demonstrated the vitality of marriage contracting in Prestbury parish, examining references to the practice in nearby Sutton and Adlington.</w:t>
      </w:r>
      <w:r>
        <w:rPr>
          <w:rStyle w:val="FootnoteReference"/>
        </w:rPr>
        <w:footnoteReference w:id="650"/>
      </w:r>
      <w:r>
        <w:t xml:space="preserve"> Contracting generally involved a verbal agreement to marry, often involving an informality that made them vulnerable to abuse. Addy has highlighted several instances where contracts contested in court (and where no formal marriage later took place) were upheld due to fornication, pregnancy or the wilful deceit of one party by another.</w:t>
      </w:r>
      <w:r>
        <w:rPr>
          <w:rStyle w:val="FootnoteReference"/>
        </w:rPr>
        <w:footnoteReference w:id="651"/>
      </w:r>
      <w:r>
        <w:t xml:space="preserve"> Though evidence about marriage contracts often stems from these kinds of court disputes, the Brooks Cottage lease demonstrates that Roger and Ellin were merging their assets ahead of marriage based on a form of contract or agreement – perhaps verbal, or which has since been lost. Whatever the circumstances, the couple evidently understood themselves (and were understood by the two attorneys named on the lease) as marriage partners even before a formal solemnization by licence had taken place.</w:t>
      </w:r>
    </w:p>
    <w:p w14:paraId="27883DC8" w14:textId="77777777" w:rsidR="00302D44" w:rsidRDefault="00302D44" w:rsidP="00302D44">
      <w:pPr>
        <w:spacing w:after="0" w:line="480" w:lineRule="auto"/>
        <w:ind w:firstLine="720"/>
        <w:jc w:val="both"/>
      </w:pPr>
      <w:r>
        <w:t>Addy has also emphasised that eldest sons were often unable to marry ‘until their father, and sometimes their mother, died’.</w:t>
      </w:r>
      <w:r>
        <w:rPr>
          <w:rStyle w:val="FootnoteReference"/>
        </w:rPr>
        <w:footnoteReference w:id="652"/>
      </w:r>
      <w:r>
        <w:t xml:space="preserve"> Roger Brooks’ father, also named Roger, died in February 1683.</w:t>
      </w:r>
      <w:r>
        <w:rPr>
          <w:rStyle w:val="FootnoteReference"/>
        </w:rPr>
        <w:footnoteReference w:id="653"/>
      </w:r>
      <w:r>
        <w:t xml:space="preserve"> Just two years before the first lease citing Roger and Ellen’s tenure of Brooks Cottage, it is highly likely that the death of Roger’s father contributed to his ability to marry, providing him either with property or inherited funds. The lease made on 10</w:t>
      </w:r>
      <w:r w:rsidRPr="00B50283">
        <w:rPr>
          <w:vertAlign w:val="superscript"/>
        </w:rPr>
        <w:t>th</w:t>
      </w:r>
      <w:r>
        <w:t xml:space="preserve"> March </w:t>
      </w:r>
      <w:r>
        <w:lastRenderedPageBreak/>
        <w:t xml:space="preserve">1685 names no previous owners of the Brooks Cottage site and the lease provides frustratingly little detail, leaving it </w:t>
      </w:r>
      <w:proofErr w:type="gramStart"/>
      <w:r>
        <w:t>unclear</w:t>
      </w:r>
      <w:proofErr w:type="gramEnd"/>
      <w:r>
        <w:t xml:space="preserve"> whether Roger inherited or purchased the house, or whether he and Ellen had bought it together. In any case, the lease constituted a tool through which the couple merged their real property in advance of marriage, showing a payment of £4 10s to ‘Thomas Legh of Adlington, esquire’ to introduce Roger, Ellen ‘his wife’ and ‘Thomas Brooke his brother’ as leaseholders ‘for life’.</w:t>
      </w:r>
      <w:r>
        <w:rPr>
          <w:rStyle w:val="FootnoteReference"/>
        </w:rPr>
        <w:footnoteReference w:id="654"/>
      </w:r>
    </w:p>
    <w:p w14:paraId="30B6E1F2" w14:textId="77777777" w:rsidR="00302D44" w:rsidRPr="0024749E" w:rsidRDefault="00302D44" w:rsidP="00302D44">
      <w:pPr>
        <w:spacing w:after="0" w:line="480" w:lineRule="auto"/>
        <w:ind w:firstLine="720"/>
        <w:jc w:val="both"/>
      </w:pPr>
      <w:r w:rsidRPr="009425A9">
        <w:t xml:space="preserve">Roger and Ellen </w:t>
      </w:r>
      <w:r>
        <w:t xml:space="preserve">seemingly </w:t>
      </w:r>
      <w:r w:rsidRPr="009425A9">
        <w:t xml:space="preserve">never lived at </w:t>
      </w:r>
      <w:r>
        <w:t>B</w:t>
      </w:r>
      <w:r w:rsidRPr="009425A9">
        <w:t xml:space="preserve">rooks </w:t>
      </w:r>
      <w:r>
        <w:t>C</w:t>
      </w:r>
      <w:r w:rsidRPr="009425A9">
        <w:t>ottage.</w:t>
      </w:r>
      <w:r w:rsidRPr="005F09F8">
        <w:t xml:space="preserve"> </w:t>
      </w:r>
      <w:r>
        <w:t>According to t</w:t>
      </w:r>
      <w:r w:rsidRPr="005F09F8">
        <w:t>he inscription</w:t>
      </w:r>
      <w:r>
        <w:t>,</w:t>
      </w:r>
      <w:r w:rsidRPr="005F09F8">
        <w:t xml:space="preserve"> the house </w:t>
      </w:r>
      <w:r>
        <w:t>was reconstructed a</w:t>
      </w:r>
      <w:r w:rsidRPr="005F09F8">
        <w:t xml:space="preserve"> year after the first lease and the</w:t>
      </w:r>
      <w:r>
        <w:t xml:space="preserve"> date on the</w:t>
      </w:r>
      <w:r w:rsidRPr="005F09F8">
        <w:t xml:space="preserve"> couple</w:t>
      </w:r>
      <w:r>
        <w:t>’</w:t>
      </w:r>
      <w:r w:rsidRPr="005F09F8">
        <w:t>s marriage licence</w:t>
      </w:r>
      <w:r>
        <w:t>, completed in</w:t>
      </w:r>
      <w:r w:rsidRPr="005F09F8">
        <w:t xml:space="preserve"> 1686.</w:t>
      </w:r>
      <w:r>
        <w:t xml:space="preserve"> Among documents surviving in the archive of the </w:t>
      </w:r>
      <w:r w:rsidRPr="005F09F8">
        <w:t xml:space="preserve">Adlington </w:t>
      </w:r>
      <w:r>
        <w:t>E</w:t>
      </w:r>
      <w:r w:rsidRPr="005F09F8">
        <w:t>state</w:t>
      </w:r>
      <w:r>
        <w:t>, a</w:t>
      </w:r>
      <w:r w:rsidRPr="005F09F8">
        <w:t xml:space="preserve"> </w:t>
      </w:r>
      <w:r>
        <w:t>‘</w:t>
      </w:r>
      <w:r w:rsidRPr="005F09F8">
        <w:t>grant indented</w:t>
      </w:r>
      <w:r>
        <w:t>’</w:t>
      </w:r>
      <w:r w:rsidRPr="005F09F8">
        <w:t xml:space="preserve"> early in the following year</w:t>
      </w:r>
      <w:r>
        <w:t xml:space="preserve"> – </w:t>
      </w:r>
      <w:r w:rsidRPr="005F09F8">
        <w:t>signed 3</w:t>
      </w:r>
      <w:r w:rsidRPr="00A42771">
        <w:rPr>
          <w:vertAlign w:val="superscript"/>
        </w:rPr>
        <w:t>rd</w:t>
      </w:r>
      <w:r>
        <w:t xml:space="preserve"> </w:t>
      </w:r>
      <w:r w:rsidRPr="005F09F8">
        <w:t>February 1687</w:t>
      </w:r>
      <w:r>
        <w:t xml:space="preserve"> – constituted</w:t>
      </w:r>
      <w:r w:rsidRPr="005F09F8">
        <w:t xml:space="preserve"> an agreement between Roger </w:t>
      </w:r>
      <w:r>
        <w:t>B</w:t>
      </w:r>
      <w:r w:rsidRPr="005F09F8">
        <w:t>rooks and Henry Johnson of Macclesfield</w:t>
      </w:r>
      <w:r w:rsidRPr="00FE307E">
        <w:t>.</w:t>
      </w:r>
      <w:r>
        <w:rPr>
          <w:rStyle w:val="FootnoteReference"/>
        </w:rPr>
        <w:footnoteReference w:id="655"/>
      </w:r>
      <w:r w:rsidRPr="00FE307E">
        <w:t xml:space="preserve"> The agreement specifie</w:t>
      </w:r>
      <w:r>
        <w:t>d</w:t>
      </w:r>
      <w:r w:rsidRPr="00FE307E">
        <w:t xml:space="preserve"> that Johnson w</w:t>
      </w:r>
      <w:r>
        <w:t>ould</w:t>
      </w:r>
      <w:r w:rsidRPr="00FE307E">
        <w:t xml:space="preserve"> </w:t>
      </w:r>
      <w:r>
        <w:t>‘</w:t>
      </w:r>
      <w:r w:rsidRPr="00FE307E">
        <w:t xml:space="preserve">stand </w:t>
      </w:r>
      <w:proofErr w:type="spellStart"/>
      <w:r w:rsidRPr="00FE307E">
        <w:t>sei</w:t>
      </w:r>
      <w:r>
        <w:t>s</w:t>
      </w:r>
      <w:r w:rsidRPr="00FE307E">
        <w:t>ed</w:t>
      </w:r>
      <w:proofErr w:type="spellEnd"/>
      <w:r w:rsidRPr="00FE307E">
        <w:t xml:space="preserve"> of the </w:t>
      </w:r>
      <w:r>
        <w:t>n</w:t>
      </w:r>
      <w:r w:rsidRPr="00FE307E">
        <w:t>ew</w:t>
      </w:r>
      <w:r>
        <w:t xml:space="preserve"> </w:t>
      </w:r>
      <w:r w:rsidRPr="00FE307E">
        <w:t>house erected</w:t>
      </w:r>
      <w:r>
        <w:t>’.</w:t>
      </w:r>
      <w:r>
        <w:rPr>
          <w:rStyle w:val="FootnoteReference"/>
        </w:rPr>
        <w:footnoteReference w:id="656"/>
      </w:r>
      <w:r>
        <w:t xml:space="preserve"> At the same time, it</w:t>
      </w:r>
      <w:r w:rsidRPr="00FE307E">
        <w:t xml:space="preserve"> stipulate</w:t>
      </w:r>
      <w:r>
        <w:t>d</w:t>
      </w:r>
      <w:r w:rsidRPr="00FE307E">
        <w:t xml:space="preserve"> that </w:t>
      </w:r>
      <w:r>
        <w:t xml:space="preserve">the property </w:t>
      </w:r>
      <w:r w:rsidRPr="00FE307E">
        <w:t>w</w:t>
      </w:r>
      <w:r>
        <w:t xml:space="preserve">ould </w:t>
      </w:r>
      <w:r w:rsidRPr="00FE307E">
        <w:t xml:space="preserve">remain </w:t>
      </w:r>
      <w:r>
        <w:t xml:space="preserve">the possession </w:t>
      </w:r>
      <w:r w:rsidRPr="00FE307E">
        <w:t>of Roger and El</w:t>
      </w:r>
      <w:r>
        <w:t>le</w:t>
      </w:r>
      <w:r w:rsidRPr="00FE307E">
        <w:t>n</w:t>
      </w:r>
      <w:r>
        <w:t>,</w:t>
      </w:r>
      <w:r w:rsidRPr="00FE307E">
        <w:t xml:space="preserve"> intended for </w:t>
      </w:r>
      <w:r>
        <w:t>E</w:t>
      </w:r>
      <w:r w:rsidRPr="00FE307E">
        <w:t xml:space="preserve">llen's </w:t>
      </w:r>
      <w:r>
        <w:t>‘</w:t>
      </w:r>
      <w:r w:rsidRPr="00FE307E">
        <w:t>use and benefit</w:t>
      </w:r>
      <w:r>
        <w:t>’</w:t>
      </w:r>
      <w:r w:rsidRPr="00FE307E">
        <w:t xml:space="preserve"> in case of Roger's death and providing </w:t>
      </w:r>
      <w:r>
        <w:t>‘</w:t>
      </w:r>
      <w:r w:rsidRPr="00FE307E">
        <w:t>maintenance</w:t>
      </w:r>
      <w:r>
        <w:t>’</w:t>
      </w:r>
      <w:r w:rsidRPr="00FE307E">
        <w:t xml:space="preserve"> for Ellen and any</w:t>
      </w:r>
      <w:r>
        <w:t xml:space="preserve"> of the couple’s</w:t>
      </w:r>
      <w:r w:rsidRPr="00FE307E">
        <w:t xml:space="preserve"> children still in their minority</w:t>
      </w:r>
      <w:r>
        <w:t xml:space="preserve"> at the time</w:t>
      </w:r>
      <w:r w:rsidRPr="00FE307E">
        <w:t>.</w:t>
      </w:r>
      <w:r>
        <w:rPr>
          <w:rStyle w:val="FootnoteReference"/>
        </w:rPr>
        <w:footnoteReference w:id="657"/>
      </w:r>
    </w:p>
    <w:p w14:paraId="7306D4E8" w14:textId="77777777" w:rsidR="00302D44" w:rsidRDefault="00302D44" w:rsidP="00302D44">
      <w:pPr>
        <w:spacing w:after="0" w:line="480" w:lineRule="auto"/>
        <w:ind w:firstLine="720"/>
        <w:jc w:val="both"/>
      </w:pPr>
      <w:r>
        <w:t>The 1687 grant suggests that Roger Ellen were renting out Brooks Cottage. A lease created after Roger and Ellen’s deaths lends further credit to this idea.</w:t>
      </w:r>
      <w:r>
        <w:rPr>
          <w:rStyle w:val="FootnoteReference"/>
        </w:rPr>
        <w:footnoteReference w:id="658"/>
      </w:r>
      <w:r>
        <w:t xml:space="preserve"> Dated 3</w:t>
      </w:r>
      <w:r w:rsidRPr="00012C35">
        <w:rPr>
          <w:vertAlign w:val="superscript"/>
        </w:rPr>
        <w:t>rd</w:t>
      </w:r>
      <w:r>
        <w:t xml:space="preserve"> December 1740, the later lease shows a payment of £21 to local landlord ‘Charles Legh of Adlington, esquire’, to introduce Roger and Ellen’s son, Robert, as lead tenant within the ‘copyhold for </w:t>
      </w:r>
      <w:r>
        <w:lastRenderedPageBreak/>
        <w:t>lives’ system.</w:t>
      </w:r>
      <w:r>
        <w:rPr>
          <w:rStyle w:val="FootnoteReference"/>
        </w:rPr>
        <w:footnoteReference w:id="659"/>
      </w:r>
      <w:r>
        <w:t xml:space="preserve"> The 1740 lease also introduced </w:t>
      </w:r>
      <w:r w:rsidRPr="00FA7416">
        <w:t>Roger, Robert’s son, and John, Robert’s brother, as leaseholders</w:t>
      </w:r>
      <w:r>
        <w:t>, as well as reaffirming Thomas, Roger’s brother, who had been a life in the original lease drawn up in 1685.</w:t>
      </w:r>
      <w:r>
        <w:rPr>
          <w:rStyle w:val="FootnoteReference"/>
        </w:rPr>
        <w:footnoteReference w:id="660"/>
      </w:r>
      <w:r>
        <w:t xml:space="preserve"> The 1740 lease stipulated that the ‘messuage, cottage and garden with their appurtenances lying in Butley’ was ‘now divided into 4 dwellings’, suggesting that the cottage – having been partitioned further – was still providing rental income for the Brookes family.</w:t>
      </w:r>
    </w:p>
    <w:p w14:paraId="6822B9DF" w14:textId="77777777" w:rsidR="00302D44" w:rsidRDefault="00302D44" w:rsidP="00302D44">
      <w:pPr>
        <w:spacing w:after="0" w:line="480" w:lineRule="auto"/>
        <w:ind w:firstLine="720"/>
        <w:jc w:val="both"/>
      </w:pPr>
      <w:r w:rsidRPr="00AF757D">
        <w:t xml:space="preserve">Roger </w:t>
      </w:r>
      <w:r>
        <w:t>and Ellen</w:t>
      </w:r>
      <w:r w:rsidRPr="00AF757D">
        <w:t xml:space="preserve"> became joint leaseholders of a property on the site of </w:t>
      </w:r>
      <w:r>
        <w:t>B</w:t>
      </w:r>
      <w:r w:rsidRPr="00AF757D">
        <w:t xml:space="preserve">rooks </w:t>
      </w:r>
      <w:r>
        <w:t>C</w:t>
      </w:r>
      <w:r w:rsidRPr="00AF757D">
        <w:t xml:space="preserve">ottage </w:t>
      </w:r>
      <w:proofErr w:type="gramStart"/>
      <w:r w:rsidRPr="00AF757D">
        <w:t>as a result of</w:t>
      </w:r>
      <w:proofErr w:type="gramEnd"/>
      <w:r w:rsidRPr="00AF757D">
        <w:t xml:space="preserve"> their marriage</w:t>
      </w:r>
      <w:r>
        <w:t>. They</w:t>
      </w:r>
      <w:r w:rsidRPr="00AF757D">
        <w:t xml:space="preserve"> likely inherit</w:t>
      </w:r>
      <w:r>
        <w:t>ed</w:t>
      </w:r>
      <w:r w:rsidRPr="00AF757D">
        <w:t xml:space="preserve"> it, </w:t>
      </w:r>
      <w:r>
        <w:t>were given control of</w:t>
      </w:r>
      <w:r w:rsidRPr="00AF757D">
        <w:t xml:space="preserve"> it as either of their marriage </w:t>
      </w:r>
      <w:proofErr w:type="gramStart"/>
      <w:r w:rsidRPr="00AF757D">
        <w:t>portions, or</w:t>
      </w:r>
      <w:proofErr w:type="gramEnd"/>
      <w:r w:rsidRPr="00AF757D">
        <w:t xml:space="preserve"> us</w:t>
      </w:r>
      <w:r>
        <w:t xml:space="preserve">ed </w:t>
      </w:r>
      <w:r w:rsidRPr="00AF757D">
        <w:t>their portions to purchase it together</w:t>
      </w:r>
      <w:r w:rsidRPr="00EA1CB4">
        <w:t xml:space="preserve">. </w:t>
      </w:r>
      <w:r>
        <w:t>Roger and Ellen</w:t>
      </w:r>
      <w:r w:rsidRPr="00EA1CB4">
        <w:t xml:space="preserve"> then </w:t>
      </w:r>
      <w:r>
        <w:t>developed the site, building what is still known as B</w:t>
      </w:r>
      <w:r w:rsidRPr="00EA1CB4">
        <w:t xml:space="preserve">rooks </w:t>
      </w:r>
      <w:r>
        <w:t>C</w:t>
      </w:r>
      <w:r w:rsidRPr="00EA1CB4">
        <w:t>ottage</w:t>
      </w:r>
      <w:r>
        <w:t xml:space="preserve"> and</w:t>
      </w:r>
      <w:r w:rsidRPr="00EA1CB4">
        <w:t xml:space="preserve"> adding the inscription,</w:t>
      </w:r>
      <w:r>
        <w:t xml:space="preserve"> before sub-letting the house to Henry Johnson. The property subsequently appears to have been split into multiple households, with Roger, Ellen and their descendants deriving rental income from the parcel of cottages. Even to the present day the address referenced in the official property listing extends across two house numbers, since Brooks Cottage remains divided into two smaller homes.</w:t>
      </w:r>
      <w:r>
        <w:rPr>
          <w:rStyle w:val="FootnoteReference"/>
        </w:rPr>
        <w:footnoteReference w:id="661"/>
      </w:r>
    </w:p>
    <w:p w14:paraId="174187F1" w14:textId="34CDEE2F" w:rsidR="00302D44" w:rsidRPr="000243C3" w:rsidRDefault="00302D44" w:rsidP="00302D44">
      <w:pPr>
        <w:spacing w:after="0" w:line="480" w:lineRule="auto"/>
        <w:ind w:firstLine="720"/>
        <w:jc w:val="both"/>
      </w:pPr>
      <w:r w:rsidRPr="00802052">
        <w:t xml:space="preserve">The styling of the inscription at </w:t>
      </w:r>
      <w:r>
        <w:t>B</w:t>
      </w:r>
      <w:r w:rsidRPr="00802052">
        <w:t xml:space="preserve">rooks </w:t>
      </w:r>
      <w:r>
        <w:t>C</w:t>
      </w:r>
      <w:r w:rsidRPr="00802052">
        <w:t xml:space="preserve">ottage is quite different from others already discussed. </w:t>
      </w:r>
      <w:proofErr w:type="gramStart"/>
      <w:r w:rsidRPr="00802052">
        <w:t>Also</w:t>
      </w:r>
      <w:proofErr w:type="gramEnd"/>
      <w:r w:rsidRPr="00802052">
        <w:t xml:space="preserve"> unlike any other properties in the core sample, </w:t>
      </w:r>
      <w:r>
        <w:t>B</w:t>
      </w:r>
      <w:r w:rsidRPr="00802052">
        <w:t xml:space="preserve">rooks </w:t>
      </w:r>
      <w:r>
        <w:t>C</w:t>
      </w:r>
      <w:r w:rsidRPr="00802052">
        <w:t>ottage is the only known occasion</w:t>
      </w:r>
      <w:r>
        <w:t xml:space="preserve"> u</w:t>
      </w:r>
      <w:r w:rsidRPr="00802052">
        <w:t xml:space="preserve">pon which a couple rebuilt a house </w:t>
      </w:r>
      <w:r>
        <w:t xml:space="preserve">seemingly </w:t>
      </w:r>
      <w:r w:rsidRPr="00802052">
        <w:t>without living in it</w:t>
      </w:r>
      <w:r>
        <w:t>.</w:t>
      </w:r>
      <w:r w:rsidRPr="00802052">
        <w:t xml:space="preserve"> </w:t>
      </w:r>
      <w:r>
        <w:t>T</w:t>
      </w:r>
      <w:r w:rsidRPr="00802052">
        <w:t xml:space="preserve">his </w:t>
      </w:r>
      <w:r>
        <w:t xml:space="preserve">may </w:t>
      </w:r>
      <w:r w:rsidRPr="00802052">
        <w:t>have influenced the</w:t>
      </w:r>
      <w:r>
        <w:t xml:space="preserve"> inscribed</w:t>
      </w:r>
      <w:r w:rsidRPr="00802052">
        <w:t xml:space="preserve"> text. </w:t>
      </w:r>
      <w:r>
        <w:t xml:space="preserve">While the frontispiece plaque </w:t>
      </w:r>
      <w:r w:rsidRPr="00802052">
        <w:t xml:space="preserve">does not </w:t>
      </w:r>
      <w:r>
        <w:t xml:space="preserve">feature </w:t>
      </w:r>
      <w:r w:rsidRPr="00802052">
        <w:t>marriage initials</w:t>
      </w:r>
      <w:r>
        <w:t>,</w:t>
      </w:r>
      <w:r w:rsidRPr="00802052">
        <w:t xml:space="preserve"> </w:t>
      </w:r>
      <w:r>
        <w:t xml:space="preserve">it </w:t>
      </w:r>
      <w:r w:rsidRPr="00802052">
        <w:t xml:space="preserve">nonetheless commemorates both marriage partners, giving their names in full. </w:t>
      </w:r>
      <w:r>
        <w:t>T</w:t>
      </w:r>
      <w:r w:rsidRPr="00802052">
        <w:t xml:space="preserve">he inscription also provides a very clear narrative, stating who built the house, the year in which </w:t>
      </w:r>
      <w:r w:rsidRPr="00802052">
        <w:lastRenderedPageBreak/>
        <w:t>it was completed</w:t>
      </w:r>
      <w:r w:rsidRPr="00D36F0F">
        <w:t xml:space="preserve">, and </w:t>
      </w:r>
      <w:r>
        <w:t>giving R</w:t>
      </w:r>
      <w:r w:rsidRPr="00D36F0F">
        <w:t>oger</w:t>
      </w:r>
      <w:r>
        <w:t>’</w:t>
      </w:r>
      <w:r w:rsidRPr="00D36F0F">
        <w:t xml:space="preserve">s age. </w:t>
      </w:r>
      <w:r>
        <w:t>Other</w:t>
      </w:r>
      <w:r w:rsidRPr="00D36F0F">
        <w:t xml:space="preserve"> inscriptions with a similar emphasis on names</w:t>
      </w:r>
      <w:r>
        <w:t>,</w:t>
      </w:r>
      <w:r w:rsidRPr="00D36F0F">
        <w:t xml:space="preserve"> dates and deeds survive throughout Prestbury village, all within </w:t>
      </w:r>
      <w:r>
        <w:t>0</w:t>
      </w:r>
      <w:r w:rsidRPr="00D36F0F">
        <w:t xml:space="preserve">.1 miles of </w:t>
      </w:r>
      <w:r>
        <w:t>B</w:t>
      </w:r>
      <w:r w:rsidRPr="00D36F0F">
        <w:t xml:space="preserve">rooks </w:t>
      </w:r>
      <w:r>
        <w:t>C</w:t>
      </w:r>
      <w:r w:rsidRPr="00D36F0F">
        <w:t>ottage.</w:t>
      </w:r>
      <w:r>
        <w:t xml:space="preserve"> Two inscriptions at the Lychgate at St Peter’s Parish Church, Prestbury are s</w:t>
      </w:r>
      <w:r w:rsidRPr="004C38FC">
        <w:t xml:space="preserve">tylistically </w:t>
      </w:r>
      <w:proofErr w:type="gramStart"/>
      <w:r w:rsidRPr="004C38FC">
        <w:t>similar to</w:t>
      </w:r>
      <w:proofErr w:type="gramEnd"/>
      <w:r w:rsidRPr="004C38FC">
        <w:t xml:space="preserve"> that at </w:t>
      </w:r>
      <w:r>
        <w:t>B</w:t>
      </w:r>
      <w:r w:rsidRPr="004C38FC">
        <w:t xml:space="preserve">rooks </w:t>
      </w:r>
      <w:r>
        <w:t>C</w:t>
      </w:r>
      <w:r w:rsidRPr="004C38FC">
        <w:t>ottage and use the same language</w:t>
      </w:r>
      <w:r>
        <w:t>.</w:t>
      </w:r>
      <w:r w:rsidRPr="00442A1E">
        <w:t xml:space="preserve"> </w:t>
      </w:r>
      <w:r>
        <w:t>The first reads ‘This Building was Erected Ano Dom 1715 Robert Brough Richard Sandbach George Taylor ~ Nathaniel Bunnel Church Wardens’ (Figure 2</w:t>
      </w:r>
      <w:r w:rsidR="0031670B">
        <w:t>5, p.</w:t>
      </w:r>
      <w:r w:rsidR="00A86A6A">
        <w:t>339</w:t>
      </w:r>
      <w:r>
        <w:t xml:space="preserve">), while the second is carved ‘This Portal was </w:t>
      </w:r>
      <w:proofErr w:type="spellStart"/>
      <w:r>
        <w:t>removd</w:t>
      </w:r>
      <w:proofErr w:type="spellEnd"/>
      <w:r>
        <w:t xml:space="preserve"> &amp; newly Erected &amp; the Stone Walk </w:t>
      </w:r>
      <w:proofErr w:type="spellStart"/>
      <w:r>
        <w:t>adjoyning</w:t>
      </w:r>
      <w:proofErr w:type="spellEnd"/>
      <w:r>
        <w:t xml:space="preserve"> </w:t>
      </w:r>
      <w:proofErr w:type="spellStart"/>
      <w:r>
        <w:t>layd</w:t>
      </w:r>
      <w:proofErr w:type="spellEnd"/>
      <w:r>
        <w:t xml:space="preserve"> &amp; the Hearse House Built Anno Dom 1728 </w:t>
      </w:r>
      <w:proofErr w:type="spellStart"/>
      <w:r>
        <w:t>Sam</w:t>
      </w:r>
      <w:r>
        <w:rPr>
          <w:vertAlign w:val="superscript"/>
        </w:rPr>
        <w:t>l</w:t>
      </w:r>
      <w:proofErr w:type="spellEnd"/>
      <w:r>
        <w:rPr>
          <w:vertAlign w:val="superscript"/>
        </w:rPr>
        <w:t xml:space="preserve"> </w:t>
      </w:r>
      <w:r>
        <w:t xml:space="preserve">Harryman </w:t>
      </w:r>
      <w:proofErr w:type="spellStart"/>
      <w:r>
        <w:t>Tho</w:t>
      </w:r>
      <w:r>
        <w:rPr>
          <w:vertAlign w:val="superscript"/>
        </w:rPr>
        <w:t>S</w:t>
      </w:r>
      <w:proofErr w:type="spellEnd"/>
      <w:r>
        <w:rPr>
          <w:vertAlign w:val="superscript"/>
        </w:rPr>
        <w:t xml:space="preserve"> </w:t>
      </w:r>
      <w:r>
        <w:t>Mottershead Adam Slack Edmund Massey Church Wardens’ (Figure 2</w:t>
      </w:r>
      <w:r w:rsidR="00B10736">
        <w:t>6, p.</w:t>
      </w:r>
      <w:r w:rsidR="00A86A6A">
        <w:t>340</w:t>
      </w:r>
      <w:r>
        <w:t>). In describing structures that were ‘Erected’ and dating them in Latin using ‘An[n]o Dom’, both use a similar framework to that seen at Brooks Cottage. Names are a key feature across all three inscriptions, which take pains to attribute building work to specific people, and two other lengthy inscriptions on nearby buildings reveal a similar concern with provenance (Figures 2</w:t>
      </w:r>
      <w:r w:rsidR="00B10736">
        <w:t>7</w:t>
      </w:r>
      <w:r>
        <w:t xml:space="preserve"> and 2</w:t>
      </w:r>
      <w:r w:rsidR="00B10736">
        <w:t>8, p</w:t>
      </w:r>
      <w:r w:rsidR="00A86A6A">
        <w:t>ages 341 and 342</w:t>
      </w:r>
      <w:r>
        <w:t>).</w:t>
      </w:r>
    </w:p>
    <w:p w14:paraId="4808D98E" w14:textId="77777777" w:rsidR="00302D44" w:rsidRDefault="00302D44" w:rsidP="00302D44">
      <w:pPr>
        <w:spacing w:after="0" w:line="480" w:lineRule="auto"/>
        <w:ind w:firstLine="720"/>
        <w:jc w:val="both"/>
      </w:pPr>
      <w:r w:rsidRPr="00DF420E">
        <w:t xml:space="preserve">With </w:t>
      </w:r>
      <w:r>
        <w:t>Roger and Ellen</w:t>
      </w:r>
      <w:r w:rsidRPr="00DF420E">
        <w:t xml:space="preserve"> never living at </w:t>
      </w:r>
      <w:r>
        <w:t>B</w:t>
      </w:r>
      <w:r w:rsidRPr="00DF420E">
        <w:t xml:space="preserve">rooks </w:t>
      </w:r>
      <w:r>
        <w:t>C</w:t>
      </w:r>
      <w:r w:rsidRPr="00DF420E">
        <w:t xml:space="preserve">ottage and perhaps never intending to, it is notable that the inscription they </w:t>
      </w:r>
      <w:r>
        <w:t>commissioned for</w:t>
      </w:r>
      <w:r w:rsidRPr="00DF420E">
        <w:t xml:space="preserve"> their home operated in a similar way to surviv</w:t>
      </w:r>
      <w:r>
        <w:t>ing</w:t>
      </w:r>
      <w:r w:rsidRPr="00DF420E">
        <w:t xml:space="preserve"> civic inscriptions nearby. </w:t>
      </w:r>
      <w:r>
        <w:t xml:space="preserve">To be accurately interpreted by those outside the house, marriage initials require knowledge of the full names of the couples they commemorate. In contrast, the Brooks Cottage plaque emphasises ownership through narrative, providing all details necessary for any outside reader to fully understand the house and its owners. </w:t>
      </w:r>
      <w:r w:rsidRPr="0058614E">
        <w:t>This</w:t>
      </w:r>
      <w:r>
        <w:t xml:space="preserve"> distinction was perhaps mo</w:t>
      </w:r>
      <w:r w:rsidRPr="0058614E">
        <w:t>re significant for a couple</w:t>
      </w:r>
      <w:r>
        <w:t xml:space="preserve"> who lived elsewhere</w:t>
      </w:r>
      <w:r w:rsidRPr="0058614E">
        <w:t xml:space="preserve">. </w:t>
      </w:r>
      <w:r>
        <w:t xml:space="preserve">In </w:t>
      </w:r>
      <w:r w:rsidRPr="0058614E">
        <w:t xml:space="preserve">Roger and </w:t>
      </w:r>
      <w:r>
        <w:t>E</w:t>
      </w:r>
      <w:r w:rsidRPr="0058614E">
        <w:t xml:space="preserve">llen's absence, the </w:t>
      </w:r>
      <w:r>
        <w:t xml:space="preserve">inscription at Brooks Cottage </w:t>
      </w:r>
      <w:r w:rsidRPr="0058614E">
        <w:t>sp</w:t>
      </w:r>
      <w:r>
        <w:t>o</w:t>
      </w:r>
      <w:r w:rsidRPr="0058614E">
        <w:t>k</w:t>
      </w:r>
      <w:r>
        <w:t>e</w:t>
      </w:r>
      <w:r w:rsidRPr="0058614E">
        <w:t xml:space="preserve"> about </w:t>
      </w:r>
      <w:r>
        <w:t xml:space="preserve">its </w:t>
      </w:r>
      <w:r w:rsidRPr="0058614E">
        <w:t>owners</w:t>
      </w:r>
      <w:r>
        <w:t xml:space="preserve"> independently and with more clarity than marriage initials could</w:t>
      </w:r>
      <w:r w:rsidRPr="0058614E">
        <w:t>.</w:t>
      </w:r>
      <w:r>
        <w:t xml:space="preserve"> Equally, however, the inscription required a greater level of literacy to be understood, operating as a more restrictive assertion of status. In the context of Roger and Ellen subletting the property, the content and form of the </w:t>
      </w:r>
      <w:r>
        <w:lastRenderedPageBreak/>
        <w:t xml:space="preserve">inscription perhaps also reinforced a difference in status between the Brookes and their tenants, using text to separate themselves from those paying rent to them. The inscription </w:t>
      </w:r>
      <w:r w:rsidRPr="00406516">
        <w:t>at Brooks Cottage was a multifaceted addition to the home</w:t>
      </w:r>
      <w:r>
        <w:t xml:space="preserve">. Inscribed upon a cottage in which they had invested in the early days of their marriage, it proclaimed their union and their joint successes. It did so with an eye on posterity, adopting the style used in many civic epigraphs and dedications nearby, glorifying Roger and Ellen like prosperous local benefactors. In doing so it also bridged a gap between the house and a couple who did not inhabit it, emphasising their joint ownership of a property they had </w:t>
      </w:r>
      <w:proofErr w:type="gramStart"/>
      <w:r>
        <w:t>built</w:t>
      </w:r>
      <w:proofErr w:type="gramEnd"/>
      <w:r>
        <w:t xml:space="preserve"> and which helped to maintain them throughout their marriage.</w:t>
      </w:r>
    </w:p>
    <w:p w14:paraId="168EEE7C" w14:textId="77777777" w:rsidR="00302D44" w:rsidRDefault="00302D44" w:rsidP="00302D44">
      <w:pPr>
        <w:spacing w:after="0" w:line="480" w:lineRule="auto"/>
        <w:jc w:val="both"/>
      </w:pPr>
    </w:p>
    <w:p w14:paraId="045FD2FB" w14:textId="204828A3" w:rsidR="00302D44" w:rsidRDefault="00302D44" w:rsidP="00302D44">
      <w:pPr>
        <w:spacing w:after="0" w:line="480" w:lineRule="auto"/>
        <w:jc w:val="both"/>
        <w:rPr>
          <w:i/>
          <w:iCs/>
        </w:rPr>
      </w:pPr>
      <w:r>
        <w:rPr>
          <w:i/>
          <w:iCs/>
        </w:rPr>
        <w:t xml:space="preserve">Case Study </w:t>
      </w:r>
      <w:r w:rsidR="00D566F5">
        <w:rPr>
          <w:i/>
          <w:iCs/>
        </w:rPr>
        <w:t>10</w:t>
      </w:r>
      <w:r>
        <w:rPr>
          <w:i/>
          <w:iCs/>
        </w:rPr>
        <w:t>: Heybridge Farmhouse, Butley</w:t>
      </w:r>
    </w:p>
    <w:p w14:paraId="6B2DA90B" w14:textId="08360A82" w:rsidR="00302D44" w:rsidRDefault="00302D44" w:rsidP="00302D44">
      <w:pPr>
        <w:spacing w:after="0" w:line="480" w:lineRule="auto"/>
        <w:jc w:val="both"/>
      </w:pPr>
      <w:r>
        <w:tab/>
        <w:t>Heybridge Farmhouse, like Gap House, features two sets of inscriptions on its façade (Figure 2</w:t>
      </w:r>
      <w:r w:rsidR="00DD6A26">
        <w:t>9</w:t>
      </w:r>
      <w:r w:rsidR="008762CE">
        <w:t>, p.</w:t>
      </w:r>
      <w:r w:rsidR="00A86A6A">
        <w:t>343</w:t>
      </w:r>
      <w:r>
        <w:t xml:space="preserve">). Dated ninety years apart (1682 and 1771) the inscriptions were added by different generations of the same family. Like Brooks Cottage, Heybridge Farmhouse was held under a ‘copyhold for lives’ tenancy from the Leghs of Adlington. Unlike Brooks Cottage, however, which was inscribed immediately after marriage, Heybridge was inscribed over a decade after the wedding of the couple who rebuilt it. Examining contemporary documents reveals that Heybridge Farmhouse was rebuilt by an upwardly mobile, socially aspirational couple who succeeded in improving their family’s situation. Simultaneously, it is apparent that their copyhold tenancy brought a range of constraints, leaving them more vulnerable and less able to invest freely in rebuilding and personalising their property in the early years of their marriage.  </w:t>
      </w:r>
    </w:p>
    <w:p w14:paraId="51BAFE3C" w14:textId="77777777" w:rsidR="00302D44" w:rsidRDefault="00302D44" w:rsidP="00302D44">
      <w:pPr>
        <w:spacing w:after="0" w:line="480" w:lineRule="auto"/>
        <w:ind w:firstLine="720"/>
        <w:jc w:val="both"/>
      </w:pPr>
      <w:r w:rsidRPr="00417BEA">
        <w:lastRenderedPageBreak/>
        <w:t xml:space="preserve">Thomas Crowther </w:t>
      </w:r>
      <w:r>
        <w:t>and</w:t>
      </w:r>
      <w:r w:rsidRPr="00417BEA">
        <w:t xml:space="preserve"> Martha Jackson </w:t>
      </w:r>
      <w:r>
        <w:t xml:space="preserve">married </w:t>
      </w:r>
      <w:r w:rsidRPr="00417BEA">
        <w:t>in January 1670.</w:t>
      </w:r>
      <w:r w:rsidRPr="00417BEA">
        <w:rPr>
          <w:rStyle w:val="FootnoteReference"/>
        </w:rPr>
        <w:footnoteReference w:id="662"/>
      </w:r>
      <w:r w:rsidRPr="00417BEA">
        <w:t xml:space="preserve"> Made only a year later and introducing both Martha and Thomas as leaseholders, the </w:t>
      </w:r>
      <w:r>
        <w:t xml:space="preserve">earliest surviving lease for Heybridge Farmhouse was made in </w:t>
      </w:r>
      <w:r w:rsidRPr="00417BEA">
        <w:t>1671</w:t>
      </w:r>
      <w:r>
        <w:t>, in the wake of</w:t>
      </w:r>
      <w:r w:rsidRPr="00417BEA">
        <w:t xml:space="preserve"> their union.</w:t>
      </w:r>
      <w:r>
        <w:rPr>
          <w:rStyle w:val="FootnoteReference"/>
        </w:rPr>
        <w:footnoteReference w:id="663"/>
      </w:r>
      <w:r>
        <w:t xml:space="preserve"> </w:t>
      </w:r>
      <w:r w:rsidRPr="00417BEA">
        <w:t xml:space="preserve">Contracted between ‘Thomas Crowther of </w:t>
      </w:r>
      <w:proofErr w:type="spellStart"/>
      <w:r w:rsidRPr="00417BEA">
        <w:t>Hebridge</w:t>
      </w:r>
      <w:proofErr w:type="spellEnd"/>
      <w:r w:rsidRPr="00417BEA">
        <w:t xml:space="preserve"> Lane within Butley, husbandman’ and ‘Thomas Legh of Adlington, esquire’, the </w:t>
      </w:r>
      <w:r>
        <w:t>surviving document is in fact a</w:t>
      </w:r>
      <w:r w:rsidRPr="00417BEA">
        <w:t xml:space="preserve"> </w:t>
      </w:r>
      <w:r w:rsidRPr="0039733A">
        <w:t>re</w:t>
      </w:r>
      <w:r w:rsidRPr="00417BEA">
        <w:t>-leas</w:t>
      </w:r>
      <w:r>
        <w:t xml:space="preserve">e, naming </w:t>
      </w:r>
      <w:r w:rsidRPr="00417BEA">
        <w:t>Thomas</w:t>
      </w:r>
      <w:r>
        <w:t>,</w:t>
      </w:r>
      <w:r w:rsidRPr="00417BEA">
        <w:t xml:space="preserve"> </w:t>
      </w:r>
      <w:r>
        <w:t xml:space="preserve">his wife </w:t>
      </w:r>
      <w:r w:rsidRPr="00417BEA">
        <w:t>Martha</w:t>
      </w:r>
      <w:r>
        <w:t>,</w:t>
      </w:r>
      <w:r w:rsidRPr="00417BEA">
        <w:t xml:space="preserve"> and </w:t>
      </w:r>
      <w:r>
        <w:t xml:space="preserve">his mother </w:t>
      </w:r>
      <w:r w:rsidRPr="00417BEA">
        <w:t xml:space="preserve">Marie </w:t>
      </w:r>
      <w:r>
        <w:t>as lifetime leaseholders chargeable for a one-off fee of</w:t>
      </w:r>
      <w:r w:rsidRPr="00417BEA">
        <w:t xml:space="preserve"> £40 </w:t>
      </w:r>
      <w:r>
        <w:t>and an</w:t>
      </w:r>
      <w:r w:rsidRPr="00417BEA">
        <w:t xml:space="preserve"> annual rent of </w:t>
      </w:r>
      <w:r>
        <w:t>thirteen shillings and ten pence</w:t>
      </w:r>
      <w:r w:rsidRPr="00417BEA">
        <w:t>.</w:t>
      </w:r>
      <w:r w:rsidRPr="00417BEA">
        <w:rPr>
          <w:rStyle w:val="FootnoteReference"/>
        </w:rPr>
        <w:footnoteReference w:id="664"/>
      </w:r>
      <w:r>
        <w:t xml:space="preserve"> The 1671 lease clarifies that the property had been in Thomas’ family for several generations, referencing an earlier agreement between his grandfather, Raph Crowther, and Sir Urian Legh in 1613. The 1613 lease also made Raph’s daughter Marie (Thomas’ mother) a leaseholder, aged just six or seven years old.</w:t>
      </w:r>
      <w:r>
        <w:rPr>
          <w:rStyle w:val="FootnoteReference"/>
        </w:rPr>
        <w:footnoteReference w:id="665"/>
      </w:r>
      <w:r>
        <w:t xml:space="preserve"> When Thomas and Martha were added to the lease in 1671, Marie was the only original leaseholder still living.</w:t>
      </w:r>
    </w:p>
    <w:p w14:paraId="0DB82BBA" w14:textId="143E81EF" w:rsidR="00302D44" w:rsidRPr="00417BEA" w:rsidRDefault="00302D44" w:rsidP="00302D44">
      <w:pPr>
        <w:spacing w:after="0" w:line="480" w:lineRule="auto"/>
        <w:ind w:firstLine="720"/>
        <w:jc w:val="both"/>
      </w:pPr>
      <w:r>
        <w:t xml:space="preserve">The first inscription at Heybridge Farmhouse, like all others considered here, likely marked a period of rebuilding (Figure </w:t>
      </w:r>
      <w:r w:rsidR="008762CE">
        <w:t>30</w:t>
      </w:r>
      <w:r w:rsidR="0053261F">
        <w:t>, p.</w:t>
      </w:r>
      <w:r w:rsidR="00E630FD">
        <w:t>344</w:t>
      </w:r>
      <w:r>
        <w:t xml:space="preserve">). By the year cited in the inscription, 1682, Thomas and Martha had been married for twelve years. Although the initials read </w:t>
      </w:r>
      <w:proofErr w:type="gramStart"/>
      <w:r>
        <w:t xml:space="preserve">‘ </w:t>
      </w:r>
      <w:r>
        <w:rPr>
          <w:vertAlign w:val="superscript"/>
        </w:rPr>
        <w:t>T</w:t>
      </w:r>
      <w:r>
        <w:t>F</w:t>
      </w:r>
      <w:r>
        <w:rPr>
          <w:vertAlign w:val="superscript"/>
        </w:rPr>
        <w:t>C</w:t>
      </w:r>
      <w:proofErr w:type="gramEnd"/>
      <w:r>
        <w:rPr>
          <w:vertAlign w:val="superscript"/>
        </w:rPr>
        <w:t xml:space="preserve"> ‘</w:t>
      </w:r>
      <w:r>
        <w:t>, ostensibly taking the form of inverted marriage initials, they in fact only commemorate Thomas, making no reference to Martha. Martha did not die until 1697, meaning the ‘F’ initial cannot be attributed to the forename of a second wife.</w:t>
      </w:r>
      <w:r>
        <w:rPr>
          <w:rStyle w:val="FootnoteReference"/>
        </w:rPr>
        <w:footnoteReference w:id="666"/>
      </w:r>
      <w:r>
        <w:t xml:space="preserve"> Possible explanations for the </w:t>
      </w:r>
      <w:r>
        <w:lastRenderedPageBreak/>
        <w:t xml:space="preserve">significance of the letter include ‘founder’ (although the 1671 lease indicates this was not strictly true); </w:t>
      </w:r>
      <w:r w:rsidRPr="00417BEA">
        <w:t xml:space="preserve">‘family’ or </w:t>
      </w:r>
      <w:r w:rsidRPr="00D1370C">
        <w:rPr>
          <w:i/>
          <w:iCs/>
        </w:rPr>
        <w:t>familia</w:t>
      </w:r>
      <w:r w:rsidRPr="00417BEA">
        <w:t>, perhaps cementing the property as home to the Crowthers across multiple generations</w:t>
      </w:r>
      <w:r>
        <w:t>;</w:t>
      </w:r>
      <w:r w:rsidRPr="00417BEA">
        <w:t xml:space="preserve"> or even </w:t>
      </w:r>
      <w:r w:rsidRPr="00D1370C">
        <w:rPr>
          <w:i/>
          <w:iCs/>
        </w:rPr>
        <w:t>fide</w:t>
      </w:r>
      <w:r w:rsidRPr="00417BEA">
        <w:t xml:space="preserve">, meaning </w:t>
      </w:r>
      <w:r>
        <w:t>‘of faith’ or ‘</w:t>
      </w:r>
      <w:r w:rsidRPr="00417BEA">
        <w:t>faithfully</w:t>
      </w:r>
      <w:r>
        <w:t>’</w:t>
      </w:r>
      <w:r w:rsidRPr="00417BEA">
        <w:t xml:space="preserve">. </w:t>
      </w:r>
      <w:r>
        <w:t>It may also reference Thomas’</w:t>
      </w:r>
      <w:r w:rsidRPr="00417BEA">
        <w:t xml:space="preserve"> father, Francis, who died in 1659.</w:t>
      </w:r>
      <w:r w:rsidRPr="00417BEA">
        <w:rPr>
          <w:rStyle w:val="FootnoteReference"/>
        </w:rPr>
        <w:footnoteReference w:id="667"/>
      </w:r>
      <w:r w:rsidRPr="00417BEA">
        <w:t xml:space="preserve"> </w:t>
      </w:r>
      <w:r>
        <w:t>As the ‘</w:t>
      </w:r>
      <w:r w:rsidRPr="00417BEA">
        <w:t>F</w:t>
      </w:r>
      <w:r>
        <w:t>’</w:t>
      </w:r>
      <w:r w:rsidRPr="00417BEA">
        <w:t xml:space="preserve"> </w:t>
      </w:r>
      <w:r>
        <w:t xml:space="preserve">initial has been </w:t>
      </w:r>
      <w:r w:rsidRPr="00417BEA">
        <w:t>placed beneath the date rather than in closer proximity to</w:t>
      </w:r>
      <w:r>
        <w:t xml:space="preserve"> Thomas’ own</w:t>
      </w:r>
      <w:r w:rsidRPr="00417BEA">
        <w:t xml:space="preserve"> initials, it more likely </w:t>
      </w:r>
      <w:r>
        <w:t xml:space="preserve">signifies </w:t>
      </w:r>
      <w:r w:rsidRPr="00417BEA">
        <w:t xml:space="preserve">the Latin term </w:t>
      </w:r>
      <w:proofErr w:type="spellStart"/>
      <w:r w:rsidRPr="00417BEA">
        <w:rPr>
          <w:i/>
          <w:iCs/>
        </w:rPr>
        <w:t>fecit</w:t>
      </w:r>
      <w:proofErr w:type="spellEnd"/>
      <w:r w:rsidRPr="00417BEA">
        <w:t xml:space="preserve">. Meaning ‘he/she made [it]’, </w:t>
      </w:r>
      <w:proofErr w:type="spellStart"/>
      <w:r w:rsidRPr="00417BEA">
        <w:rPr>
          <w:i/>
          <w:iCs/>
        </w:rPr>
        <w:t>fecit</w:t>
      </w:r>
      <w:proofErr w:type="spellEnd"/>
      <w:r w:rsidRPr="00417BEA">
        <w:rPr>
          <w:i/>
          <w:iCs/>
        </w:rPr>
        <w:t xml:space="preserve"> </w:t>
      </w:r>
      <w:r w:rsidRPr="00417BEA">
        <w:t xml:space="preserve">was strongly associated with craftsmanship, authorship and artistry in early modern Europe, used </w:t>
      </w:r>
      <w:r>
        <w:t xml:space="preserve">by makers </w:t>
      </w:r>
      <w:r w:rsidRPr="00417BEA">
        <w:t xml:space="preserve">to identify </w:t>
      </w:r>
      <w:r>
        <w:t>themselves upon a</w:t>
      </w:r>
      <w:r w:rsidRPr="00417BEA">
        <w:t xml:space="preserve"> wide range of objects from crockery and timepieces to musical instruments and weaponry; used in print, paintings and sculptures; and incorporated into monuments and buildings.</w:t>
      </w:r>
      <w:r w:rsidRPr="00417BEA">
        <w:rPr>
          <w:rStyle w:val="FootnoteReference"/>
        </w:rPr>
        <w:footnoteReference w:id="668"/>
      </w:r>
      <w:r w:rsidRPr="00417BEA">
        <w:t xml:space="preserve"> </w:t>
      </w:r>
      <w:r>
        <w:t xml:space="preserve">Importantly, </w:t>
      </w:r>
      <w:r w:rsidRPr="00417BEA">
        <w:t xml:space="preserve">Michael Clarke has noted that </w:t>
      </w:r>
      <w:proofErr w:type="spellStart"/>
      <w:r w:rsidRPr="00417BEA">
        <w:rPr>
          <w:i/>
          <w:iCs/>
        </w:rPr>
        <w:t>fecit</w:t>
      </w:r>
      <w:proofErr w:type="spellEnd"/>
      <w:r w:rsidRPr="00417BEA">
        <w:rPr>
          <w:i/>
          <w:iCs/>
        </w:rPr>
        <w:t xml:space="preserve"> </w:t>
      </w:r>
      <w:r w:rsidRPr="00417BEA">
        <w:t>could be used alongside both names and initials</w:t>
      </w:r>
      <w:r>
        <w:t xml:space="preserve"> and was </w:t>
      </w:r>
      <w:r w:rsidRPr="00417BEA">
        <w:t xml:space="preserve">commonly abbreviated to either </w:t>
      </w:r>
      <w:r w:rsidRPr="00417BEA">
        <w:rPr>
          <w:i/>
          <w:iCs/>
        </w:rPr>
        <w:t xml:space="preserve">fec. </w:t>
      </w:r>
      <w:r w:rsidRPr="00417BEA">
        <w:t xml:space="preserve">or </w:t>
      </w:r>
      <w:r w:rsidRPr="00417BEA">
        <w:rPr>
          <w:i/>
          <w:iCs/>
        </w:rPr>
        <w:t>f</w:t>
      </w:r>
      <w:r w:rsidRPr="00417BEA">
        <w:t>, as seen on the façade of Heybridge Farmhouse</w:t>
      </w:r>
      <w:r w:rsidRPr="00417BEA">
        <w:rPr>
          <w:i/>
          <w:iCs/>
        </w:rPr>
        <w:t>.</w:t>
      </w:r>
      <w:r w:rsidRPr="00417BEA">
        <w:rPr>
          <w:rStyle w:val="FootnoteReference"/>
          <w:i/>
          <w:iCs/>
        </w:rPr>
        <w:footnoteReference w:id="669"/>
      </w:r>
      <w:r w:rsidRPr="00417BEA">
        <w:rPr>
          <w:i/>
          <w:iCs/>
        </w:rPr>
        <w:t xml:space="preserve"> </w:t>
      </w:r>
    </w:p>
    <w:p w14:paraId="6D722F92" w14:textId="572E36E4" w:rsidR="00302D44" w:rsidRDefault="00302D44" w:rsidP="00302D44">
      <w:pPr>
        <w:spacing w:after="0" w:line="480" w:lineRule="auto"/>
        <w:ind w:firstLine="720"/>
        <w:jc w:val="both"/>
      </w:pPr>
      <w:r>
        <w:t>In many of the Bolton-le-Sands case study properties, inscribed dates were very close to the year in which couples married. By contrast, the twelve-year gap between marriage and rebuilding at Heybridge Farmhouse amounts to a considerable delay. The copyhold ‘for lives’ tenancy possessed by the Crowthers may be partly to blame. As discussed in the previous chapter, copyhold for lives tenure was insecure.</w:t>
      </w:r>
      <w:r>
        <w:rPr>
          <w:rStyle w:val="FootnoteReference"/>
        </w:rPr>
        <w:footnoteReference w:id="670"/>
      </w:r>
      <w:r>
        <w:t xml:space="preserve"> Moreover, tenants occupying ‘for lives’ </w:t>
      </w:r>
      <w:r>
        <w:lastRenderedPageBreak/>
        <w:t>properties were unable to raise mortgages against the value of their real estate.</w:t>
      </w:r>
      <w:r>
        <w:rPr>
          <w:rStyle w:val="FootnoteReference"/>
        </w:rPr>
        <w:footnoteReference w:id="671"/>
      </w:r>
      <w:r>
        <w:t xml:space="preserve"> Freeholders in Bolton-le-Sands who found themselves unable to fund the rebuilding of their homes in the years after marriage could at least mortgage their property or use it as a surety when borrowing money from friends, neighbours and acquaintances. By contrast, the threshold for borrowing was much higher for life leaseholders like Thomas and Martha, whose property could not be used as a surety and who needed to accrue finances differently than many of their Bolton-le-Sands counterparts. In these </w:t>
      </w:r>
      <w:proofErr w:type="gramStart"/>
      <w:r>
        <w:t>contexts</w:t>
      </w:r>
      <w:proofErr w:type="gramEnd"/>
      <w:r>
        <w:t xml:space="preserve"> and with these constraints, land ownership provides a reasonable explanation for longer delays between marriage, rebuilding and inscription. Similarly, however, while the value of the portion brought to the marriage by Martha cannot be traced, it is likely significant that Heybridge Farmhouse had been in Thomas’ family for generations when it was inscribed with his initials. While this does not show any positive correlation between bridal wealth and marital inscription, the absence of marital commemoration may indicate that Thomas privileged patriarchal forms of commemoration </w:t>
      </w:r>
      <w:proofErr w:type="gramStart"/>
      <w:r>
        <w:t>as a result of</w:t>
      </w:r>
      <w:proofErr w:type="gramEnd"/>
      <w:r>
        <w:t xml:space="preserve"> his familial claims to the land.</w:t>
      </w:r>
    </w:p>
    <w:p w14:paraId="5097EC4C" w14:textId="77777777" w:rsidR="00302D44" w:rsidRDefault="00302D44" w:rsidP="00302D44">
      <w:pPr>
        <w:spacing w:after="0" w:line="480" w:lineRule="auto"/>
        <w:ind w:firstLine="720"/>
        <w:jc w:val="both"/>
      </w:pPr>
      <w:r>
        <w:t xml:space="preserve">Significantly, while there appears to have been some connection in Bolton-le-Sands between fertility (and parenthood) and inscription, this may also have been magnified in a copyhold ‘for lives’ context. Given the insecurity of ‘for lives’ tenure, couples likely needed to be even more confident that their property would remain within their family before investing in any large-scale changes. When the inscription was added to Heybridge Farmhouse in 1682, Thomas and Martha had four children: </w:t>
      </w:r>
      <w:r w:rsidRPr="00417BEA">
        <w:t>Jane, b.1671; Susanna, b.1676; Thomas, b.1678; Ralph, b.1682.</w:t>
      </w:r>
      <w:r w:rsidRPr="00417BEA">
        <w:rPr>
          <w:rStyle w:val="FootnoteReference"/>
        </w:rPr>
        <w:footnoteReference w:id="672"/>
      </w:r>
      <w:r>
        <w:t xml:space="preserve"> They also had two male heirs, both born within the five years preceding the </w:t>
      </w:r>
      <w:r>
        <w:lastRenderedPageBreak/>
        <w:t>datestone inscription.</w:t>
      </w:r>
      <w:r>
        <w:rPr>
          <w:rStyle w:val="FootnoteReference"/>
        </w:rPr>
        <w:footnoteReference w:id="673"/>
      </w:r>
      <w:r>
        <w:t xml:space="preserve"> Giving his own name to his eldest son – a tradition not practiced by previous generations of the Crowther family – Thomas was seemingly attempting to institute a family name. Ambitiously styling himself as the first in a line of Thomas Crowthers, the significance of Thomas using only his own initials within the inscription at Heybridge Farmhouse stands in even greater relief. Celebrating himself through a connection to the site that stretched at least as far back as his grandfather, the inscription can be read as Thomas staking a claim in his family’s long history, framing the newly rebuilt house as a home for future generations that might also share his name.</w:t>
      </w:r>
    </w:p>
    <w:p w14:paraId="6F510DFA" w14:textId="77777777" w:rsidR="00302D44" w:rsidRDefault="00302D44" w:rsidP="00302D44">
      <w:pPr>
        <w:spacing w:after="0" w:line="480" w:lineRule="auto"/>
        <w:ind w:firstLine="720"/>
        <w:jc w:val="both"/>
      </w:pPr>
      <w:r>
        <w:t>Thomas outlived Martha, who died in 1697, by ten years.</w:t>
      </w:r>
      <w:r>
        <w:rPr>
          <w:rStyle w:val="FootnoteReference"/>
        </w:rPr>
        <w:footnoteReference w:id="674"/>
      </w:r>
      <w:r>
        <w:t xml:space="preserve"> He was buried in February 1707 and the </w:t>
      </w:r>
      <w:r w:rsidRPr="00837F7A">
        <w:t xml:space="preserve">next surviving lease, </w:t>
      </w:r>
      <w:r>
        <w:t>dated</w:t>
      </w:r>
      <w:r w:rsidRPr="00837F7A">
        <w:t xml:space="preserve"> 1711, shows the ‘messuage, farm and tenement with the appurtenances at Heybridge Lane in Butley’ in the hands of Thomas and Martha’s </w:t>
      </w:r>
      <w:r>
        <w:t xml:space="preserve">eldest </w:t>
      </w:r>
      <w:r w:rsidRPr="00837F7A">
        <w:t>son</w:t>
      </w:r>
      <w:r>
        <w:t>, Thomas.</w:t>
      </w:r>
      <w:r w:rsidRPr="00417BEA">
        <w:rPr>
          <w:rStyle w:val="FootnoteReference"/>
        </w:rPr>
        <w:footnoteReference w:id="675"/>
      </w:r>
      <w:r>
        <w:t xml:space="preserve"> Having left the family home, Thomas had relocated to nearby Stockport, described in the 1711 lease as </w:t>
      </w:r>
      <w:r w:rsidRPr="00676F28">
        <w:t>‘Thomas Crowther of Heaton Norris, yeoman’.</w:t>
      </w:r>
      <w:r w:rsidRPr="00676F28">
        <w:rPr>
          <w:vertAlign w:val="superscript"/>
        </w:rPr>
        <w:footnoteReference w:id="676"/>
      </w:r>
      <w:r>
        <w:t xml:space="preserve"> No will survives for Thomas’ father, offering no indication of his status near the end of his life, but compared with the 1671 lease that described him as ‘husbandman’, his son’s apparent attainment of yeoman status by 1711 marked an upswing in the family’s social position. Just as the 1671 lease was created after Thomas and Martha’s wedding, the 1711 lease was necessitated by their son’s nuptials, confirming Thomas,</w:t>
      </w:r>
      <w:r w:rsidRPr="00F24760">
        <w:t xml:space="preserve"> </w:t>
      </w:r>
      <w:r>
        <w:t>his new bride and his brother, Ralph as leaseholders.</w:t>
      </w:r>
      <w:r>
        <w:rPr>
          <w:rStyle w:val="FootnoteReference"/>
        </w:rPr>
        <w:footnoteReference w:id="677"/>
      </w:r>
    </w:p>
    <w:p w14:paraId="13921F04" w14:textId="77777777" w:rsidR="00302D44" w:rsidRDefault="00302D44" w:rsidP="00302D44">
      <w:pPr>
        <w:spacing w:after="0" w:line="480" w:lineRule="auto"/>
        <w:ind w:firstLine="720"/>
        <w:jc w:val="both"/>
      </w:pPr>
      <w:r>
        <w:lastRenderedPageBreak/>
        <w:t>Thomas married Hannah Gilbody, daughter of Stockport chapman Thomas Gilbody, in January 1711, three months before the lease was made.</w:t>
      </w:r>
      <w:r w:rsidRPr="0027761B">
        <w:rPr>
          <w:vertAlign w:val="superscript"/>
        </w:rPr>
        <w:footnoteReference w:id="678"/>
      </w:r>
      <w:r>
        <w:t xml:space="preserve"> Hannah’s father had died in 1703, while she was still a minor. Aged just twenty when she married Thomas, Hannah was twelve years his junior.</w:t>
      </w:r>
      <w:r>
        <w:rPr>
          <w:rStyle w:val="FootnoteReference"/>
        </w:rPr>
        <w:footnoteReference w:id="679"/>
      </w:r>
      <w:r>
        <w:t xml:space="preserve"> As</w:t>
      </w:r>
      <w:r w:rsidRPr="009958FA">
        <w:t xml:space="preserve"> Margaret Pelling has noted</w:t>
      </w:r>
      <w:r>
        <w:t xml:space="preserve">, the </w:t>
      </w:r>
      <w:r w:rsidRPr="009958FA">
        <w:t>spousal age gap was ‘rarely more than ten years’</w:t>
      </w:r>
      <w:r>
        <w:t xml:space="preserve"> in early modern England, and this difference would have been considerable.</w:t>
      </w:r>
      <w:r>
        <w:rPr>
          <w:rStyle w:val="FootnoteReference"/>
        </w:rPr>
        <w:footnoteReference w:id="680"/>
      </w:r>
      <w:r>
        <w:t xml:space="preserve"> Although described as a yeoman in the 1711 lease, Thomas Crowther’s will described him as a ‘chapman’.</w:t>
      </w:r>
      <w:r>
        <w:rPr>
          <w:rStyle w:val="FootnoteReference"/>
        </w:rPr>
        <w:footnoteReference w:id="681"/>
      </w:r>
      <w:r>
        <w:t xml:space="preserve"> Considering his bequests, however, it is more likely that he was a wealthy shopkeeper.</w:t>
      </w:r>
      <w:r>
        <w:rPr>
          <w:rStyle w:val="FootnoteReference"/>
        </w:rPr>
        <w:footnoteReference w:id="682"/>
      </w:r>
      <w:r>
        <w:t xml:space="preserve"> Hannah’s father was also described as a chapman upon his death but seems to have been in a similar situation to Thomas, evidently owning both a shop and his own home.</w:t>
      </w:r>
      <w:r>
        <w:rPr>
          <w:rStyle w:val="FootnoteReference"/>
        </w:rPr>
        <w:footnoteReference w:id="683"/>
      </w:r>
      <w:r>
        <w:t xml:space="preserve"> It is feasible that Thomas and Hannah met through his commercial connections, perhaps even having served as her father’s apprentice.</w:t>
      </w:r>
      <w:r>
        <w:rPr>
          <w:rStyle w:val="FootnoteReference"/>
        </w:rPr>
        <w:footnoteReference w:id="684"/>
      </w:r>
      <w:r>
        <w:t xml:space="preserve"> </w:t>
      </w:r>
      <w:r w:rsidRPr="000C1A49">
        <w:t xml:space="preserve">Marrying </w:t>
      </w:r>
      <w:r>
        <w:t>soon</w:t>
      </w:r>
      <w:r w:rsidRPr="000C1A49">
        <w:t xml:space="preserve"> after the death of his </w:t>
      </w:r>
      <w:r>
        <w:t xml:space="preserve">own </w:t>
      </w:r>
      <w:r w:rsidRPr="000C1A49">
        <w:t>father, like many other men considered</w:t>
      </w:r>
      <w:r>
        <w:t xml:space="preserve"> in this chapter</w:t>
      </w:r>
      <w:r w:rsidRPr="000C1A49">
        <w:t>, Thomas</w:t>
      </w:r>
      <w:r>
        <w:t>’ marriage was likely precipitated partly by</w:t>
      </w:r>
      <w:r w:rsidRPr="000C1A49">
        <w:t xml:space="preserve"> </w:t>
      </w:r>
      <w:r>
        <w:t xml:space="preserve">his inheritance </w:t>
      </w:r>
      <w:r w:rsidRPr="000C1A49">
        <w:t>of the family estate</w:t>
      </w:r>
      <w:r>
        <w:t xml:space="preserve"> at Heybridge Lane. As for Hannah, </w:t>
      </w:r>
      <w:r>
        <w:lastRenderedPageBreak/>
        <w:t xml:space="preserve">her father’s will includes a bequest for a portion worth at least £100, making her an attractive prospect </w:t>
      </w:r>
      <w:proofErr w:type="gramStart"/>
      <w:r>
        <w:t>in spite of</w:t>
      </w:r>
      <w:proofErr w:type="gramEnd"/>
      <w:r>
        <w:t xml:space="preserve"> her age.</w:t>
      </w:r>
      <w:r>
        <w:rPr>
          <w:rStyle w:val="FootnoteReference"/>
        </w:rPr>
        <w:footnoteReference w:id="685"/>
      </w:r>
    </w:p>
    <w:p w14:paraId="67BCA535" w14:textId="77777777" w:rsidR="00302D44" w:rsidRDefault="00302D44" w:rsidP="00302D44">
      <w:pPr>
        <w:spacing w:after="0" w:line="480" w:lineRule="auto"/>
        <w:ind w:firstLine="720"/>
        <w:jc w:val="both"/>
      </w:pPr>
      <w:r>
        <w:t>Over the course of Thomas and Hannah’s marriage, the family’s social position continued to rise. Their eldest son</w:t>
      </w:r>
      <w:r w:rsidRPr="00417BEA">
        <w:t>, James, entered a career in the church</w:t>
      </w:r>
      <w:r>
        <w:t>.</w:t>
      </w:r>
      <w:r>
        <w:rPr>
          <w:rStyle w:val="FootnoteReference"/>
        </w:rPr>
        <w:footnoteReference w:id="686"/>
      </w:r>
      <w:r>
        <w:t xml:space="preserve"> He matriculated at Oxford University </w:t>
      </w:r>
      <w:r w:rsidRPr="00417BEA">
        <w:t>in 1734</w:t>
      </w:r>
      <w:r>
        <w:t>, where – notably – the admissions register described him</w:t>
      </w:r>
      <w:r w:rsidRPr="00417BEA">
        <w:t xml:space="preserve"> as ‘Crowther, James, s. Thomas, of Stockport, co. Lancaster, gent.’.</w:t>
      </w:r>
      <w:r w:rsidRPr="00417BEA">
        <w:rPr>
          <w:rStyle w:val="FootnoteReference"/>
        </w:rPr>
        <w:footnoteReference w:id="687"/>
      </w:r>
      <w:r w:rsidRPr="00417BEA">
        <w:t xml:space="preserve"> </w:t>
      </w:r>
      <w:r>
        <w:t xml:space="preserve">When James was added to the lease for Heybridge Farmhouse in 1740, introduced as leaseholder after his mother and father, the lease included a similar reference to </w:t>
      </w:r>
      <w:r w:rsidRPr="00014338">
        <w:t>‘Thomas Crowther of Heaton Norris, co. Lancashire, gentleman’.</w:t>
      </w:r>
      <w:r w:rsidRPr="00014338">
        <w:rPr>
          <w:vertAlign w:val="superscript"/>
        </w:rPr>
        <w:footnoteReference w:id="688"/>
      </w:r>
      <w:r>
        <w:t xml:space="preserve"> As discussed above, Thomas was not described as a gentleman upon his death in 1742, suggesting he occupied the fluid boundary at the fringes of gentry status, able to style himself as a member of the gentry without necessarily being universally recognised as such.</w:t>
      </w:r>
      <w:r>
        <w:rPr>
          <w:rStyle w:val="FootnoteReference"/>
        </w:rPr>
        <w:footnoteReference w:id="689"/>
      </w:r>
      <w:r>
        <w:t xml:space="preserve"> James died just thirteen years after his father in Catworth, near Cambridge.</w:t>
      </w:r>
      <w:r>
        <w:rPr>
          <w:rStyle w:val="FootnoteReference"/>
        </w:rPr>
        <w:footnoteReference w:id="690"/>
      </w:r>
      <w:r>
        <w:t xml:space="preserve"> His will contains the last reference to Heybridge Farmhouse traceable in any documents related to the family. Within it, James explained that he would inherit the house in Butley, referred to as ‘Crowthers Tenement’, upon his mother’s death and requested that his wife, Mary Dorothea, be added to the lease, securing the property for her and their children</w:t>
      </w:r>
      <w:r w:rsidRPr="00417BEA">
        <w:t>.</w:t>
      </w:r>
      <w:r w:rsidRPr="00417BEA">
        <w:rPr>
          <w:rStyle w:val="FootnoteReference"/>
        </w:rPr>
        <w:footnoteReference w:id="691"/>
      </w:r>
    </w:p>
    <w:p w14:paraId="4B1ACA67" w14:textId="71C684E7" w:rsidR="00302D44" w:rsidRDefault="00302D44" w:rsidP="00302D44">
      <w:pPr>
        <w:spacing w:after="0" w:line="480" w:lineRule="auto"/>
        <w:ind w:firstLine="720"/>
        <w:jc w:val="both"/>
      </w:pPr>
      <w:r>
        <w:lastRenderedPageBreak/>
        <w:t>No further lease documents are traceable for Heybridge Farmhouse. Mary Dorothea Crowther lived until 1789 and likely had some control over the house when it was inscribed again in 1771.</w:t>
      </w:r>
      <w:r w:rsidRPr="00417BEA">
        <w:rPr>
          <w:rStyle w:val="FootnoteReference"/>
        </w:rPr>
        <w:footnoteReference w:id="692"/>
      </w:r>
      <w:r>
        <w:t xml:space="preserve"> As at Gap House, the later inscription at Heybridge occupies a lead hopper head (Figure </w:t>
      </w:r>
      <w:r w:rsidR="0053261F">
        <w:t>31, p.</w:t>
      </w:r>
      <w:r w:rsidR="00E630FD">
        <w:t>345</w:t>
      </w:r>
      <w:r>
        <w:t xml:space="preserve">). </w:t>
      </w:r>
      <w:r w:rsidRPr="00363051">
        <w:t xml:space="preserve">In his authoritative writing on </w:t>
      </w:r>
      <w:r w:rsidRPr="00363051">
        <w:rPr>
          <w:i/>
          <w:iCs/>
        </w:rPr>
        <w:t xml:space="preserve">English Leadwork, </w:t>
      </w:r>
      <w:r w:rsidRPr="00363051">
        <w:t xml:space="preserve">Lawrence Weaver has described </w:t>
      </w:r>
      <w:r>
        <w:t>how similar hoppers were popular in late</w:t>
      </w:r>
      <w:r w:rsidR="00316A8E">
        <w:t>-</w:t>
      </w:r>
      <w:r>
        <w:t>seventeenth-century England and became increasingly widespread throughout the 1700s.</w:t>
      </w:r>
      <w:r>
        <w:rPr>
          <w:rStyle w:val="FootnoteReference"/>
        </w:rPr>
        <w:footnoteReference w:id="693"/>
      </w:r>
      <w:r>
        <w:t xml:space="preserve"> Decorative additions like the winged cherub seen at Heybridge were often manufactured separately to the hopper heads themselves and soldered on afterwards, with many similar designs found across the country.</w:t>
      </w:r>
      <w:r w:rsidRPr="00E077F0">
        <w:rPr>
          <w:vertAlign w:val="superscript"/>
        </w:rPr>
        <w:footnoteReference w:id="694"/>
      </w:r>
      <w:r>
        <w:t xml:space="preserve"> As seen in an example at Eyam Hall in Derbyshire, dated 1676 (Figure </w:t>
      </w:r>
      <w:r w:rsidR="00595B49">
        <w:t>32, p.</w:t>
      </w:r>
      <w:r w:rsidR="00E630FD">
        <w:t>346</w:t>
      </w:r>
      <w:r>
        <w:t xml:space="preserve">) and another from York, </w:t>
      </w:r>
      <w:r w:rsidRPr="00862841">
        <w:t xml:space="preserve">dated 1769 (Figure </w:t>
      </w:r>
      <w:r>
        <w:t>3</w:t>
      </w:r>
      <w:r w:rsidR="00595B49">
        <w:t>3, p.</w:t>
      </w:r>
      <w:r w:rsidR="00E630FD">
        <w:t>347</w:t>
      </w:r>
      <w:r w:rsidRPr="00862841">
        <w:t>)</w:t>
      </w:r>
      <w:r>
        <w:t xml:space="preserve"> cherub stencils could also be accompanied by initials. Though it likely remained within their possession, it is unclear whether any of the Crowthers were still living at Heybridge Farmhouse when the hopper head was added.</w:t>
      </w:r>
      <w:r>
        <w:rPr>
          <w:rStyle w:val="FootnoteReference"/>
        </w:rPr>
        <w:footnoteReference w:id="695"/>
      </w:r>
      <w:r>
        <w:t xml:space="preserve"> Heybridge does not appear to have been a primary residence for the family since Thomas Crowther’s death there in 1707, likely rented out either within the family or to non-relatives. In this context, the hopper head represented a fashionable and practical addition to the house, alluding to classical imagery and updating the seventeenth-century façade with a popular contemporary design. At the same time, the owners did not use initials or text, maintaining earlier commemoration to their relative who had rebuilt the property but opting not to personalise a house in which they apparently did not live.</w:t>
      </w:r>
    </w:p>
    <w:p w14:paraId="5DD3BDB0" w14:textId="77777777" w:rsidR="00302D44" w:rsidRDefault="00302D44" w:rsidP="00302D44">
      <w:pPr>
        <w:spacing w:after="0" w:line="480" w:lineRule="auto"/>
        <w:ind w:firstLine="720"/>
        <w:jc w:val="both"/>
      </w:pPr>
      <w:r>
        <w:lastRenderedPageBreak/>
        <w:t>The two inscriptions at Heybridge Farmhouse appear to have had quite different motivations. The first marked the rebuilding of the house, added by a man keen to improve his family’s social position and create a property matching his social aspirations. While seemingly looking like marriage initials, the 1682 inscription commemorated Thomas Crowther alone and the role he claimed for himself as the first of several hoped-for generations who would share his name and profit from his efforts. While Thomas was successful, his family’s achievements took them away from Heybridge Lane, with his son amassing an extensive portfolio of properties in nearby Stockport and his grandson obtaining a respectable role in the clergy in Cambridgeshire. The 1771 inscription reflected these shifts. It represented a tasteful improvement to the century-old property but featured no further initials, maintaining the home as a site seeped in family history without the personalisation that might have been added had it been inhabited by its owners in the present.</w:t>
      </w:r>
    </w:p>
    <w:p w14:paraId="52289945" w14:textId="77777777" w:rsidR="00030269" w:rsidRDefault="00030269" w:rsidP="00393C6C">
      <w:pPr>
        <w:spacing w:after="0" w:line="480" w:lineRule="auto"/>
        <w:jc w:val="both"/>
      </w:pPr>
    </w:p>
    <w:p w14:paraId="4E5D7ECC" w14:textId="1528A36E" w:rsidR="00302D44" w:rsidRDefault="00302D44" w:rsidP="00302D44">
      <w:pPr>
        <w:spacing w:after="0" w:line="480" w:lineRule="auto"/>
        <w:jc w:val="both"/>
        <w:rPr>
          <w:i/>
          <w:iCs/>
        </w:rPr>
      </w:pPr>
      <w:r>
        <w:rPr>
          <w:i/>
          <w:iCs/>
        </w:rPr>
        <w:t xml:space="preserve">Case Study </w:t>
      </w:r>
      <w:r w:rsidR="00D566F5">
        <w:rPr>
          <w:i/>
          <w:iCs/>
        </w:rPr>
        <w:t>11</w:t>
      </w:r>
      <w:r>
        <w:rPr>
          <w:i/>
          <w:iCs/>
        </w:rPr>
        <w:t>: Yew Tree House, Butley</w:t>
      </w:r>
    </w:p>
    <w:p w14:paraId="73D635C4" w14:textId="77777777" w:rsidR="00302D44" w:rsidRDefault="00302D44" w:rsidP="00302D44">
      <w:pPr>
        <w:spacing w:after="0" w:line="480" w:lineRule="auto"/>
        <w:ind w:firstLine="720"/>
        <w:jc w:val="both"/>
      </w:pPr>
      <w:r>
        <w:t xml:space="preserve">Yew Tree House lies within the hamlet now known as Butley Town. Like both </w:t>
      </w:r>
      <w:r w:rsidRPr="00B20A18">
        <w:t>Brooks Cottage and Heybridge Farmhouse</w:t>
      </w:r>
      <w:r>
        <w:t xml:space="preserve"> discussed above</w:t>
      </w:r>
      <w:r w:rsidRPr="00B20A18">
        <w:t>, Yew Tree House</w:t>
      </w:r>
      <w:r>
        <w:t xml:space="preserve"> was historically part of the Adlington Estate, with its inhabitants subject to similar ‘</w:t>
      </w:r>
      <w:r w:rsidRPr="00422F0C">
        <w:t>copyhold for lives’</w:t>
      </w:r>
      <w:r>
        <w:t xml:space="preserve"> tenancies. These circumstances undoubtedly informed the inscription at Yew Tree House, seeing the couple responsible – Thomas and Hannah Deane – wait until the birth of their first child to inscribe (and perhaps also rebuild) their home. </w:t>
      </w:r>
      <w:proofErr w:type="gramStart"/>
      <w:r>
        <w:t>Also</w:t>
      </w:r>
      <w:proofErr w:type="gramEnd"/>
      <w:r>
        <w:t xml:space="preserve"> like Brooks Cottage, surviving leases include references to the couple as husband and wife long before their church wedding, indicating once more that a prolonged contracting process created a liminal period between courtship and marriage. For Thomas and Hannah to delay inscription until confident that Yew </w:t>
      </w:r>
      <w:r>
        <w:lastRenderedPageBreak/>
        <w:t>Tree would remain within their immediate family, inscription was evidently closely connected with lineage, dependent on fertility and the security of familial wealth.</w:t>
      </w:r>
    </w:p>
    <w:p w14:paraId="7BD9A25A" w14:textId="77777777" w:rsidR="00302D44" w:rsidRDefault="00302D44" w:rsidP="00302D44">
      <w:pPr>
        <w:spacing w:after="0" w:line="480" w:lineRule="auto"/>
        <w:ind w:firstLine="720"/>
        <w:jc w:val="both"/>
      </w:pPr>
      <w:r>
        <w:t>The first lease mentioning Thomas and Hannah Deane in relation to Yew Tree House dates from 24</w:t>
      </w:r>
      <w:r w:rsidRPr="0068572B">
        <w:rPr>
          <w:vertAlign w:val="superscript"/>
        </w:rPr>
        <w:t>th</w:t>
      </w:r>
      <w:r>
        <w:t xml:space="preserve"> January 1699.</w:t>
      </w:r>
      <w:r>
        <w:rPr>
          <w:rStyle w:val="FootnoteReference"/>
        </w:rPr>
        <w:footnoteReference w:id="696"/>
      </w:r>
      <w:r>
        <w:t xml:space="preserve"> Thomas and Hannah Wood did not in fact marry until over eleven months later, on either the 28</w:t>
      </w:r>
      <w:r w:rsidRPr="00CD0E4E">
        <w:rPr>
          <w:vertAlign w:val="superscript"/>
        </w:rPr>
        <w:t>th</w:t>
      </w:r>
      <w:r>
        <w:t xml:space="preserve"> or 29</w:t>
      </w:r>
      <w:r w:rsidRPr="00CD0E4E">
        <w:rPr>
          <w:vertAlign w:val="superscript"/>
        </w:rPr>
        <w:t>th</w:t>
      </w:r>
      <w:r>
        <w:t xml:space="preserve"> December 1699.</w:t>
      </w:r>
      <w:r>
        <w:rPr>
          <w:rStyle w:val="FootnoteReference"/>
        </w:rPr>
        <w:footnoteReference w:id="697"/>
      </w:r>
      <w:r>
        <w:t xml:space="preserve"> Describing Hannah as ‘now wife’ of Thomas, the 1699 lease reveals </w:t>
      </w:r>
      <w:r w:rsidRPr="00393222">
        <w:t>a similar contracting process to that seen at Brooks Cottage,</w:t>
      </w:r>
      <w:r>
        <w:t xml:space="preserve"> where Roger and Ellen Brookes were described as married over five months before their union was solemnised in church.</w:t>
      </w:r>
      <w:r>
        <w:rPr>
          <w:rStyle w:val="FootnoteReference"/>
        </w:rPr>
        <w:footnoteReference w:id="698"/>
      </w:r>
      <w:r>
        <w:t xml:space="preserve"> The Yew Tree document outlines the transfer of a life leasehold, replacing the ‘life of James Wood’ with ‘the lives of [Thomas] and Hannah his wife’. The lease makes it clear that Thomas paid ‘the sum of £50’ to James to do so, becoming lead tenant in his place.</w:t>
      </w:r>
      <w:r>
        <w:rPr>
          <w:rStyle w:val="FootnoteReference"/>
        </w:rPr>
        <w:footnoteReference w:id="699"/>
      </w:r>
    </w:p>
    <w:p w14:paraId="6736442A" w14:textId="77777777" w:rsidR="00302D44" w:rsidRDefault="00302D44" w:rsidP="00302D44">
      <w:pPr>
        <w:spacing w:after="0" w:line="480" w:lineRule="auto"/>
        <w:ind w:firstLine="720"/>
        <w:jc w:val="both"/>
      </w:pPr>
      <w:r>
        <w:t xml:space="preserve">Prior to Thomas and Hannah’s marriage, Yew Tree House had been owned by Hannah’s family. The 1699 lease describes the property as </w:t>
      </w:r>
      <w:r w:rsidRPr="00DF4B90">
        <w:t>‘formerly in the possession of George Wood, deceased (late father of Hannah, now wife of [Thomas])’.</w:t>
      </w:r>
      <w:r>
        <w:rPr>
          <w:rStyle w:val="FootnoteReference"/>
        </w:rPr>
        <w:footnoteReference w:id="700"/>
      </w:r>
      <w:r>
        <w:t xml:space="preserve"> Parish register entries suggest that Hannah was in fact George’s granddaughter, and that James – paid by Thomas – was her uncle.</w:t>
      </w:r>
      <w:r>
        <w:rPr>
          <w:rStyle w:val="FootnoteReference"/>
        </w:rPr>
        <w:footnoteReference w:id="701"/>
      </w:r>
      <w:r>
        <w:t xml:space="preserve"> </w:t>
      </w:r>
      <w:r w:rsidRPr="0016294D">
        <w:t>An earlier lease dated 3 May 1662 show</w:t>
      </w:r>
      <w:r>
        <w:t>s</w:t>
      </w:r>
      <w:r w:rsidRPr="0016294D">
        <w:t xml:space="preserve"> the sale of a ‘messuage, </w:t>
      </w:r>
      <w:r w:rsidRPr="0016294D">
        <w:lastRenderedPageBreak/>
        <w:t>farm and tenement’ to ‘George Wood of Poynton, yeoman’ for ‘the sum of £140’.</w:t>
      </w:r>
      <w:r w:rsidRPr="0016294D">
        <w:rPr>
          <w:vertAlign w:val="superscript"/>
        </w:rPr>
        <w:footnoteReference w:id="702"/>
      </w:r>
      <w:r w:rsidRPr="0016294D">
        <w:t xml:space="preserve"> </w:t>
      </w:r>
      <w:r>
        <w:t>George seemingly bought out the previous tenant and re-leased the property</w:t>
      </w:r>
      <w:r w:rsidRPr="0016294D">
        <w:t xml:space="preserve"> in the lives of</w:t>
      </w:r>
      <w:r>
        <w:t xml:space="preserve"> his three sons,</w:t>
      </w:r>
      <w:r w:rsidRPr="0016294D">
        <w:t xml:space="preserve"> John, Peter and Ja</w:t>
      </w:r>
      <w:r>
        <w:t>mes.</w:t>
      </w:r>
      <w:r w:rsidRPr="00D67D2C">
        <w:rPr>
          <w:vertAlign w:val="superscript"/>
        </w:rPr>
        <w:footnoteReference w:id="703"/>
      </w:r>
      <w:r>
        <w:t xml:space="preserve"> Hannah’s actual father, Peter Wood, died a year after her birth, perhaps explaining her uncle’s role in her marriage arrangements.</w:t>
      </w:r>
      <w:r>
        <w:rPr>
          <w:rStyle w:val="FootnoteReference"/>
        </w:rPr>
        <w:footnoteReference w:id="704"/>
      </w:r>
      <w:r w:rsidRPr="00745A57">
        <w:t xml:space="preserve"> </w:t>
      </w:r>
      <w:r>
        <w:t xml:space="preserve">Based on the </w:t>
      </w:r>
      <w:r w:rsidRPr="00E8298E">
        <w:t>£140 mentioned in the earlier lease,</w:t>
      </w:r>
      <w:r>
        <w:t xml:space="preserve"> the</w:t>
      </w:r>
      <w:r w:rsidRPr="00E8298E">
        <w:t xml:space="preserve"> £50 </w:t>
      </w:r>
      <w:r>
        <w:t xml:space="preserve">paid by Thomas </w:t>
      </w:r>
      <w:r w:rsidRPr="00E8298E">
        <w:t>would not have been sufficient to buy the house outright</w:t>
      </w:r>
      <w:r>
        <w:t xml:space="preserve">. </w:t>
      </w:r>
      <w:r w:rsidRPr="00745A57">
        <w:t xml:space="preserve">No lease survives to indicate that any land was divided from </w:t>
      </w:r>
      <w:r>
        <w:t xml:space="preserve">the estate </w:t>
      </w:r>
      <w:r w:rsidRPr="00745A57">
        <w:t xml:space="preserve">and </w:t>
      </w:r>
      <w:r>
        <w:t>retained</w:t>
      </w:r>
      <w:r w:rsidRPr="00745A57">
        <w:t xml:space="preserve"> by any of Hannah’s relatives</w:t>
      </w:r>
      <w:r>
        <w:t xml:space="preserve">, suggesting that a majority share of Yew Tree House </w:t>
      </w:r>
      <w:r w:rsidRPr="00E8298E">
        <w:t>formed part of Hannah’s marriage portion</w:t>
      </w:r>
      <w:r>
        <w:t>, with Thomas paying the remainder</w:t>
      </w:r>
      <w:r w:rsidRPr="00E8298E">
        <w:t>.</w:t>
      </w:r>
      <w:r>
        <w:t xml:space="preserve"> </w:t>
      </w:r>
    </w:p>
    <w:p w14:paraId="27E1E7A2" w14:textId="4ADFC210" w:rsidR="00302D44" w:rsidRDefault="00302D44" w:rsidP="00302D44">
      <w:pPr>
        <w:spacing w:after="0" w:line="480" w:lineRule="auto"/>
        <w:ind w:firstLine="720"/>
        <w:jc w:val="both"/>
      </w:pPr>
      <w:r>
        <w:t xml:space="preserve">The lease drawn up in 1699 confirmed Thomas and Hannah as lifetime leaseholders. Added twelve years </w:t>
      </w:r>
      <w:r w:rsidRPr="0074758E">
        <w:t>after the lease and the couple’s subsequent wedding</w:t>
      </w:r>
      <w:r>
        <w:t xml:space="preserve">, </w:t>
      </w:r>
      <w:r w:rsidRPr="0074758E">
        <w:t>the plaque set into the frontispiece of Yew Tree House</w:t>
      </w:r>
      <w:r>
        <w:t xml:space="preserve"> reads ‘</w:t>
      </w:r>
      <w:r w:rsidRPr="0074758E">
        <w:t>T</w:t>
      </w:r>
      <w:r w:rsidRPr="0074758E">
        <w:rPr>
          <w:vertAlign w:val="superscript"/>
        </w:rPr>
        <w:t>D</w:t>
      </w:r>
      <w:r w:rsidRPr="0074758E">
        <w:t>H 1711’, commemorat</w:t>
      </w:r>
      <w:r>
        <w:t>ing</w:t>
      </w:r>
      <w:r w:rsidRPr="0074758E">
        <w:t xml:space="preserve"> Thomas, Hannah and their shared surname</w:t>
      </w:r>
      <w:r>
        <w:t xml:space="preserve"> (Figure 3</w:t>
      </w:r>
      <w:r w:rsidR="00DB4FDE">
        <w:t>4, p.</w:t>
      </w:r>
      <w:r w:rsidR="00E630FD">
        <w:t>348</w:t>
      </w:r>
      <w:r>
        <w:t>). T</w:t>
      </w:r>
      <w:r w:rsidRPr="000A18C2">
        <w:t xml:space="preserve">he </w:t>
      </w:r>
      <w:r>
        <w:t>Deanes</w:t>
      </w:r>
      <w:r w:rsidRPr="000A18C2">
        <w:t xml:space="preserve"> baptised their first child </w:t>
      </w:r>
      <w:r>
        <w:t>on</w:t>
      </w:r>
      <w:r w:rsidRPr="000A18C2">
        <w:t xml:space="preserve"> 18 May 1710</w:t>
      </w:r>
      <w:r>
        <w:t xml:space="preserve"> – the year before the carved date – and there is an </w:t>
      </w:r>
      <w:r w:rsidRPr="00BF4675">
        <w:t>evident connection between fertility and the inscription</w:t>
      </w:r>
      <w:r>
        <w:t>.</w:t>
      </w:r>
      <w:r>
        <w:rPr>
          <w:rStyle w:val="FootnoteReference"/>
        </w:rPr>
        <w:footnoteReference w:id="705"/>
      </w:r>
      <w:r>
        <w:t xml:space="preserve"> </w:t>
      </w:r>
      <w:r w:rsidRPr="00821E59">
        <w:t>The pressure and expectation Thomas and Hannah felt around securing their property is tangible in their eagerness to re-lease Yew Tree in June 1715, introducing ‘Wood Deane their son’ as a lifetime leaseholder (alongside themselves) when he was just five years old.</w:t>
      </w:r>
      <w:r w:rsidRPr="00821E59">
        <w:rPr>
          <w:vertAlign w:val="superscript"/>
        </w:rPr>
        <w:footnoteReference w:id="706"/>
      </w:r>
    </w:p>
    <w:p w14:paraId="20800CAB" w14:textId="77777777" w:rsidR="00302D44" w:rsidRPr="00F748D5" w:rsidRDefault="00302D44" w:rsidP="00302D44">
      <w:pPr>
        <w:spacing w:after="0" w:line="480" w:lineRule="auto"/>
        <w:ind w:firstLine="720"/>
        <w:jc w:val="both"/>
      </w:pPr>
      <w:r>
        <w:lastRenderedPageBreak/>
        <w:t xml:space="preserve">In naming their child Wood Deane, the couple used </w:t>
      </w:r>
      <w:r w:rsidRPr="00A748A6">
        <w:t xml:space="preserve">Hannah’s </w:t>
      </w:r>
      <w:r>
        <w:t>family n</w:t>
      </w:r>
      <w:r w:rsidRPr="00A748A6">
        <w:t xml:space="preserve">ame as their </w:t>
      </w:r>
      <w:r>
        <w:t xml:space="preserve">eldest </w:t>
      </w:r>
      <w:r w:rsidRPr="00A748A6">
        <w:t>son’s forename</w:t>
      </w:r>
      <w:r>
        <w:t xml:space="preserve">. </w:t>
      </w:r>
      <w:r w:rsidRPr="0040618F">
        <w:t xml:space="preserve">Scott Smith-Bannister has </w:t>
      </w:r>
      <w:r>
        <w:t>shown</w:t>
      </w:r>
      <w:r w:rsidRPr="0040618F">
        <w:t xml:space="preserve"> that th</w:t>
      </w:r>
      <w:r>
        <w:t xml:space="preserve">is approach to naming sons was </w:t>
      </w:r>
      <w:r w:rsidRPr="0040618F">
        <w:t xml:space="preserve">most common among </w:t>
      </w:r>
      <w:r>
        <w:t xml:space="preserve">the </w:t>
      </w:r>
      <w:r w:rsidRPr="0040618F">
        <w:t>elite</w:t>
      </w:r>
      <w:r>
        <w:t>s</w:t>
      </w:r>
      <w:r w:rsidRPr="0040618F">
        <w:t xml:space="preserve"> in early modern England,</w:t>
      </w:r>
      <w:r>
        <w:t xml:space="preserve"> having</w:t>
      </w:r>
      <w:r w:rsidRPr="0040618F">
        <w:t xml:space="preserve"> ris</w:t>
      </w:r>
      <w:r>
        <w:t>en</w:t>
      </w:r>
      <w:r w:rsidRPr="0040618F">
        <w:t xml:space="preserve"> in popularit</w:t>
      </w:r>
      <w:r>
        <w:t xml:space="preserve">y </w:t>
      </w:r>
      <w:r w:rsidRPr="0040618F">
        <w:t>after the Reformation</w:t>
      </w:r>
      <w:r>
        <w:t>.</w:t>
      </w:r>
      <w:r w:rsidRPr="00444C67">
        <w:rPr>
          <w:vertAlign w:val="superscript"/>
        </w:rPr>
        <w:footnoteReference w:id="707"/>
      </w:r>
      <w:r>
        <w:t xml:space="preserve"> </w:t>
      </w:r>
      <w:r w:rsidRPr="0040618F">
        <w:t xml:space="preserve">Examining the English peerage, Smith-Bannister has </w:t>
      </w:r>
      <w:r>
        <w:t>demonstrated</w:t>
      </w:r>
      <w:r w:rsidRPr="0040618F">
        <w:t xml:space="preserve"> that ‘money’ was the ‘one clear thread which united the practice’, with the majority of surname forenames referenc</w:t>
      </w:r>
      <w:r>
        <w:t>ing</w:t>
      </w:r>
      <w:r w:rsidRPr="0040618F">
        <w:t xml:space="preserve"> </w:t>
      </w:r>
      <w:r>
        <w:t>the maternal</w:t>
      </w:r>
      <w:r w:rsidRPr="0040618F">
        <w:t xml:space="preserve"> line </w:t>
      </w:r>
      <w:r>
        <w:t xml:space="preserve">on occasions </w:t>
      </w:r>
      <w:r w:rsidRPr="0040618F">
        <w:t>whe</w:t>
      </w:r>
      <w:r>
        <w:t>re the mother</w:t>
      </w:r>
      <w:r w:rsidRPr="0040618F">
        <w:t xml:space="preserve"> </w:t>
      </w:r>
      <w:r>
        <w:t>was</w:t>
      </w:r>
      <w:r w:rsidRPr="0040618F">
        <w:t xml:space="preserve"> ‘either an heiress or a co-heiress to her father’s estate’.</w:t>
      </w:r>
      <w:r w:rsidRPr="0040618F">
        <w:rPr>
          <w:vertAlign w:val="superscript"/>
        </w:rPr>
        <w:footnoteReference w:id="708"/>
      </w:r>
      <w:r>
        <w:t xml:space="preserve"> </w:t>
      </w:r>
      <w:r w:rsidRPr="008A7DB6">
        <w:t>Smith-Bannister has also emphasised that, when used by peers, the rarity of such names served to differentiate them ‘most especially, from those of lower social status’.</w:t>
      </w:r>
      <w:r w:rsidRPr="008A7DB6">
        <w:rPr>
          <w:vertAlign w:val="superscript"/>
        </w:rPr>
        <w:footnoteReference w:id="709"/>
      </w:r>
      <w:r w:rsidRPr="008A7DB6">
        <w:t xml:space="preserve"> Given that Hannah’s family were instrumental in furnishing the couple with their home,</w:t>
      </w:r>
      <w:r>
        <w:t xml:space="preserve"> and that she brought considerable material wealth with her to the marriage,</w:t>
      </w:r>
      <w:r w:rsidRPr="008A7DB6">
        <w:t xml:space="preserve"> Thomas and Hannah’s decision to name their heir in </w:t>
      </w:r>
      <w:r>
        <w:t>her family’s</w:t>
      </w:r>
      <w:r w:rsidRPr="008A7DB6">
        <w:t xml:space="preserve"> honour paid </w:t>
      </w:r>
      <w:r>
        <w:t xml:space="preserve">clear </w:t>
      </w:r>
      <w:r w:rsidRPr="008A7DB6">
        <w:t xml:space="preserve">homage to this. </w:t>
      </w:r>
      <w:r>
        <w:t>Simultaneously, g</w:t>
      </w:r>
      <w:r w:rsidRPr="008A7DB6">
        <w:t>iven the origins of the practice</w:t>
      </w:r>
      <w:r>
        <w:t xml:space="preserve"> among the elites</w:t>
      </w:r>
      <w:r w:rsidRPr="008A7DB6">
        <w:t xml:space="preserve">, it is reasonable to conclude that </w:t>
      </w:r>
      <w:r>
        <w:t>for the Deanes this</w:t>
      </w:r>
      <w:r w:rsidRPr="008A7DB6">
        <w:t xml:space="preserve"> was an aspirational</w:t>
      </w:r>
      <w:r>
        <w:t xml:space="preserve"> act.</w:t>
      </w:r>
    </w:p>
    <w:p w14:paraId="6B72B54A" w14:textId="77777777" w:rsidR="00302D44" w:rsidRDefault="00302D44" w:rsidP="00302D44">
      <w:pPr>
        <w:spacing w:after="0" w:line="480" w:lineRule="auto"/>
        <w:ind w:firstLine="720"/>
        <w:jc w:val="both"/>
      </w:pPr>
      <w:r>
        <w:t xml:space="preserve">Many of the case study properties examined in this chapter have featured inscriptions added only after the birth of a first child, implying some connection between confidence in fertility and the decision to make a permanent statement of ownership on the fabric of the home. Nowhere is this connection more discernible than at Yew Tree House, where the birth of a son heralded the end of a twelve-year gap between marriage and inscription. In this context, inscription had multiple factors. It commemorated partnership and the joining of wealth, and it communicated status, adorning a newly rebuilt home. In occupying a site that had previously been held by Hannah’s family and commemorating both her and her husband, it paid homage to her significance in the couple’s material situation while also connecting past </w:t>
      </w:r>
      <w:r>
        <w:lastRenderedPageBreak/>
        <w:t>and present. Added only after they had produced the child that would become their future heir, and whose name represented a parallel consolidation of two families, the inscription also forged a connection with lineage and the family’s future.</w:t>
      </w:r>
    </w:p>
    <w:p w14:paraId="2AA1C86D" w14:textId="77777777" w:rsidR="00302D44" w:rsidRDefault="00302D44" w:rsidP="00302D44">
      <w:pPr>
        <w:spacing w:after="0" w:line="480" w:lineRule="auto"/>
        <w:jc w:val="both"/>
      </w:pPr>
    </w:p>
    <w:p w14:paraId="1B92D0D8" w14:textId="77777777" w:rsidR="00302D44" w:rsidRDefault="00302D44" w:rsidP="00302D44">
      <w:pPr>
        <w:spacing w:after="0" w:line="480" w:lineRule="auto"/>
        <w:jc w:val="both"/>
        <w:rPr>
          <w:i/>
          <w:iCs/>
        </w:rPr>
      </w:pPr>
      <w:r>
        <w:rPr>
          <w:i/>
          <w:iCs/>
        </w:rPr>
        <w:t>Conclusion: Prestbury Parish</w:t>
      </w:r>
    </w:p>
    <w:p w14:paraId="6A62C0BD" w14:textId="77777777" w:rsidR="00302D44" w:rsidRDefault="00302D44" w:rsidP="00302D44">
      <w:pPr>
        <w:spacing w:after="0" w:line="480" w:lineRule="auto"/>
        <w:jc w:val="both"/>
      </w:pPr>
      <w:r>
        <w:tab/>
        <w:t>In Prestbury as in Bolton-le-Sands, inscriptions served a range of different functions. When placed on the outside of homes they were consistently used to celebrate ownership while being entangled with statements of wealth, status and lineage. The survival of more detailed documentation for many Prestbury properties considered here makes the transfer of property through and within families clearer than for similar houses in Bolton-le-Sands, with inscriptions evidently being used to celebrate the passage of a site from one generation to the next, marking inheritance or a new phase in the history of the property. In situations such as these, it is discernible that inscriptions connected owners to their properties, as important for inscribers as for anyone outside the family able to read and interpret the carved text. Clearly inscription was important in recognising the contribution of bridal wealth and property, but documents cannot reveal whether brides within inscribing couples were universally wealthier than grooms. Ownership recurs as a key factor in these houses, with some gaining multiple different inscriptions or being inscribed by non-resident owners to forge or maintain connections to buildings they did not inhabit.</w:t>
      </w:r>
    </w:p>
    <w:p w14:paraId="6988FD6E" w14:textId="57B98AFC" w:rsidR="00302D44" w:rsidRDefault="00302D44" w:rsidP="00302D44">
      <w:pPr>
        <w:spacing w:after="0" w:line="480" w:lineRule="auto"/>
        <w:ind w:firstLine="720"/>
        <w:jc w:val="both"/>
      </w:pPr>
      <w:r>
        <w:t xml:space="preserve">Particularly evident in Prestbury and absent in Bolton-le-Sands are frequent delays between marriage and inscription, and </w:t>
      </w:r>
      <w:proofErr w:type="gramStart"/>
      <w:r>
        <w:t>it is clear that copyhold</w:t>
      </w:r>
      <w:proofErr w:type="gramEnd"/>
      <w:r>
        <w:t xml:space="preserve"> ‘for lives’ tenancies presented complications. When tenants did not inscribe immediately after marriage, this appears to have been the result of financial constraints that affected copyholders and freeholders differently. Both areas </w:t>
      </w:r>
      <w:r w:rsidR="008E7253">
        <w:t>show</w:t>
      </w:r>
      <w:r>
        <w:t xml:space="preserve"> the combined importance of inscription in cementing emotional </w:t>
      </w:r>
      <w:r>
        <w:lastRenderedPageBreak/>
        <w:t xml:space="preserve">and material ties between inhabitants and their homes. They also </w:t>
      </w:r>
      <w:r w:rsidR="008E7253">
        <w:t>demonstrate</w:t>
      </w:r>
      <w:r>
        <w:t xml:space="preserve"> a consistent emphasis on lineage and building a property that would serve future generations. </w:t>
      </w:r>
      <w:r w:rsidR="00903333">
        <w:t>Th</w:t>
      </w:r>
      <w:r w:rsidR="00BF29DA">
        <w:t>ere was even more pressure around this</w:t>
      </w:r>
      <w:r w:rsidR="002810CB">
        <w:t xml:space="preserve"> in </w:t>
      </w:r>
      <w:r>
        <w:t>Prestbury</w:t>
      </w:r>
      <w:r w:rsidR="00903333">
        <w:t xml:space="preserve">, </w:t>
      </w:r>
      <w:r>
        <w:t xml:space="preserve">with inscription functioning as a symbol of stability and security within an insecure lease system. Self-aggrandisement clearly also had a </w:t>
      </w:r>
      <w:r w:rsidR="00545112">
        <w:t>role</w:t>
      </w:r>
      <w:r>
        <w:t>, but wealth alone was never the sole or most essential motivation.</w:t>
      </w:r>
    </w:p>
    <w:p w14:paraId="476F5EF2" w14:textId="77777777" w:rsidR="00302D44" w:rsidRDefault="00302D44" w:rsidP="00302D44">
      <w:pPr>
        <w:spacing w:after="0" w:line="480" w:lineRule="auto"/>
        <w:jc w:val="both"/>
      </w:pPr>
    </w:p>
    <w:p w14:paraId="169A38AB" w14:textId="77777777" w:rsidR="00302D44" w:rsidRDefault="00302D44" w:rsidP="00302D44">
      <w:pPr>
        <w:spacing w:after="0" w:line="480" w:lineRule="auto"/>
        <w:jc w:val="both"/>
        <w:rPr>
          <w:b/>
          <w:bCs/>
        </w:rPr>
      </w:pPr>
      <w:r>
        <w:rPr>
          <w:b/>
          <w:bCs/>
        </w:rPr>
        <w:t>Conclusion</w:t>
      </w:r>
    </w:p>
    <w:p w14:paraId="34ADEE0B" w14:textId="4C099313" w:rsidR="00204368" w:rsidRDefault="00302D44" w:rsidP="00302D44">
      <w:pPr>
        <w:spacing w:after="0" w:line="480" w:lineRule="auto"/>
        <w:jc w:val="both"/>
      </w:pPr>
      <w:r>
        <w:tab/>
        <w:t xml:space="preserve">This chapter has examined six inscribed properties in Bolton-le-Sands and five in Prestbury. </w:t>
      </w:r>
      <w:r w:rsidRPr="005143A5">
        <w:t>Based on extensive analysis of parish registers and exhaustive research into surviving archival sources</w:t>
      </w:r>
      <w:r w:rsidRPr="00163C7E">
        <w:t xml:space="preserve">, it has demonstrated that inscriptions carried a wide range of </w:t>
      </w:r>
      <w:r>
        <w:t>associations</w:t>
      </w:r>
      <w:r w:rsidRPr="00163C7E">
        <w:t xml:space="preserve"> within these early modern communities. Existing scholarship has tended towards considering architectural inscriptions on the outside of homes as outward facing statements, primarily concerned with advertising wealth and status. </w:t>
      </w:r>
      <w:r w:rsidR="00A12E20">
        <w:t xml:space="preserve">Many of the properties considered in this chapter </w:t>
      </w:r>
      <w:r w:rsidR="00A12E20" w:rsidRPr="00A12E20">
        <w:t>belonged to middling sort couples who appear to have been financially comfortable at marriage.</w:t>
      </w:r>
      <w:r w:rsidR="000319EC">
        <w:t xml:space="preserve"> It is possible that, having been </w:t>
      </w:r>
      <w:r w:rsidR="0034503B">
        <w:t>chosen</w:t>
      </w:r>
      <w:r w:rsidR="000319EC">
        <w:t xml:space="preserve"> based on higher numbers of surviving written documents relating to them, the </w:t>
      </w:r>
      <w:r w:rsidR="0034503B">
        <w:t>sample selected here is biased towards inscribers with higher levels of wealth. While wealth was undoubtedly a factor in inscription</w:t>
      </w:r>
      <w:r w:rsidR="006676DF">
        <w:t xml:space="preserve"> – </w:t>
      </w:r>
      <w:r w:rsidR="0034503B">
        <w:t xml:space="preserve">entangled as it was with </w:t>
      </w:r>
      <w:r w:rsidR="006676DF">
        <w:t xml:space="preserve">rebuilding, which could be costly – the previous chapter demonstrated that inscribers were not simply the wealthiest within their communities. Building on that, this chapter has </w:t>
      </w:r>
      <w:r w:rsidR="00BE5BC0">
        <w:t xml:space="preserve">addressed the display of wealth directly and has shown that, wherever present, </w:t>
      </w:r>
      <w:r w:rsidR="00F03118">
        <w:t>wealth</w:t>
      </w:r>
      <w:r w:rsidR="00BE5BC0">
        <w:t xml:space="preserve"> was just one of many meanings </w:t>
      </w:r>
      <w:r w:rsidR="00BE5BC0" w:rsidRPr="00BE5BC0">
        <w:t>embodied within contemporary inscriptions and inscription practices.</w:t>
      </w:r>
    </w:p>
    <w:p w14:paraId="0A430498" w14:textId="0B77A559" w:rsidR="00302D44" w:rsidRDefault="00302D44" w:rsidP="00302D44">
      <w:pPr>
        <w:spacing w:after="0" w:line="480" w:lineRule="auto"/>
        <w:jc w:val="both"/>
      </w:pPr>
      <w:r>
        <w:tab/>
      </w:r>
      <w:r w:rsidRPr="003C082A">
        <w:t>If inscriptions are to be considered outward facing statements, it is vital to recognise that they consistently</w:t>
      </w:r>
      <w:r>
        <w:t xml:space="preserve"> </w:t>
      </w:r>
      <w:r w:rsidR="00DB7A72">
        <w:t xml:space="preserve">foregrounded </w:t>
      </w:r>
      <w:r w:rsidRPr="003C082A">
        <w:t>family and lineage. The inscriptions considered in Bolton</w:t>
      </w:r>
      <w:r>
        <w:t>-</w:t>
      </w:r>
      <w:r w:rsidRPr="003C082A">
        <w:lastRenderedPageBreak/>
        <w:t>le</w:t>
      </w:r>
      <w:r>
        <w:t>-S</w:t>
      </w:r>
      <w:r w:rsidRPr="003C082A">
        <w:t>ands universally emphasised a commitment to home and family, framing</w:t>
      </w:r>
      <w:r>
        <w:t xml:space="preserve"> –</w:t>
      </w:r>
      <w:r w:rsidRPr="003C082A">
        <w:t xml:space="preserve"> </w:t>
      </w:r>
      <w:r>
        <w:t>a</w:t>
      </w:r>
      <w:r w:rsidRPr="003C082A">
        <w:t xml:space="preserve">s </w:t>
      </w:r>
      <w:r>
        <w:t>G</w:t>
      </w:r>
      <w:r w:rsidRPr="003C082A">
        <w:t>reen has suggested</w:t>
      </w:r>
      <w:r>
        <w:t xml:space="preserve"> –</w:t>
      </w:r>
      <w:r w:rsidRPr="003C082A">
        <w:t xml:space="preserve"> the inscribed property as the </w:t>
      </w:r>
      <w:r>
        <w:t>‘</w:t>
      </w:r>
      <w:r w:rsidRPr="003C082A">
        <w:t>enterprise of the couple</w:t>
      </w:r>
      <w:r>
        <w:t>’.</w:t>
      </w:r>
      <w:r>
        <w:rPr>
          <w:rStyle w:val="FootnoteReference"/>
        </w:rPr>
        <w:footnoteReference w:id="710"/>
      </w:r>
      <w:r>
        <w:t xml:space="preserve"> I</w:t>
      </w:r>
      <w:r w:rsidRPr="0042628A">
        <w:t xml:space="preserve">ndeed, the understanding of initials as emblematic of partnership was so pervasive within the </w:t>
      </w:r>
      <w:r>
        <w:t>parish</w:t>
      </w:r>
      <w:r w:rsidRPr="0042628A">
        <w:t xml:space="preserve"> that a couple who were not yet married used marriage initials inside their future home to reinforce their union,</w:t>
      </w:r>
      <w:r w:rsidRPr="002C55F2">
        <w:t xml:space="preserve"> while a bachelor applied </w:t>
      </w:r>
      <w:r>
        <w:t>incomplete</w:t>
      </w:r>
      <w:r w:rsidRPr="002C55F2">
        <w:t xml:space="preserve"> marriage initials to the </w:t>
      </w:r>
      <w:r w:rsidR="008A7FEB">
        <w:t>façade</w:t>
      </w:r>
      <w:r w:rsidRPr="002C55F2">
        <w:t xml:space="preserve"> of his </w:t>
      </w:r>
      <w:r>
        <w:t xml:space="preserve">property in anticipation of matrimony and perhaps even as a symbol of his preparedness for it. </w:t>
      </w:r>
      <w:r w:rsidRPr="002C55F2">
        <w:t>In this context, it is important to note that inscriptions</w:t>
      </w:r>
      <w:r>
        <w:t xml:space="preserve"> were not just instantaneous but were continuously powerful</w:t>
      </w:r>
      <w:r w:rsidRPr="002C55F2">
        <w:t>,</w:t>
      </w:r>
      <w:r>
        <w:t xml:space="preserve"> used by inscribers to shape their own relationships and understandings of their own identities as much as to communicate this outwardly with others in their communities. </w:t>
      </w:r>
      <w:r w:rsidRPr="001B2A16">
        <w:t>Wherever inscriptions were placed in Bolton</w:t>
      </w:r>
      <w:r>
        <w:t>-le-S</w:t>
      </w:r>
      <w:r w:rsidRPr="001B2A16">
        <w:t>ands, they functioned as symbols of lineage, partnership, ownership, wealth and status for those who were secure in their tenancies, added by couples inhabiting a freehold property and often connected closely with fertility.</w:t>
      </w:r>
    </w:p>
    <w:p w14:paraId="4813F85C" w14:textId="07AC2127" w:rsidR="00302D44" w:rsidRDefault="00302D44" w:rsidP="00302D44">
      <w:pPr>
        <w:spacing w:after="0" w:line="480" w:lineRule="auto"/>
        <w:jc w:val="both"/>
      </w:pPr>
      <w:r>
        <w:tab/>
      </w:r>
      <w:r w:rsidRPr="00EB0FA9">
        <w:t>Different land ownership systems prevailed in some parts of Prestbury parish, where copyhold</w:t>
      </w:r>
      <w:r>
        <w:t xml:space="preserve"> ‘for lives’ </w:t>
      </w:r>
      <w:r w:rsidRPr="00EB0FA9">
        <w:t>tenancies left some residents in more insecure positions than their Bolton</w:t>
      </w:r>
      <w:r>
        <w:t>-le-S</w:t>
      </w:r>
      <w:r w:rsidRPr="00EB0FA9">
        <w:t>ands counterparts. I</w:t>
      </w:r>
      <w:r>
        <w:t>n Prestbury</w:t>
      </w:r>
      <w:r w:rsidRPr="00EB0FA9">
        <w:t>, surviving documents made the connection between property transfer and inscription more evident, with epigraphs visibly commemorating a new phase in the history of houses, marking the</w:t>
      </w:r>
      <w:r>
        <w:t>ir</w:t>
      </w:r>
      <w:r w:rsidRPr="00EB0FA9">
        <w:t xml:space="preserve"> passing</w:t>
      </w:r>
      <w:r>
        <w:t xml:space="preserve"> </w:t>
      </w:r>
      <w:r w:rsidRPr="00416DF2">
        <w:t xml:space="preserve">from one generation to the next. Multiple inscriptions on a single property </w:t>
      </w:r>
      <w:r>
        <w:t>evince</w:t>
      </w:r>
      <w:r w:rsidRPr="00416DF2">
        <w:t xml:space="preserve"> the role of inscription as a means of connection between different generations, using different forms of the same stylistic language to emphasise lineage</w:t>
      </w:r>
      <w:r>
        <w:t xml:space="preserve"> </w:t>
      </w:r>
      <w:r w:rsidRPr="00416DF2">
        <w:t>and continuity in different ways.</w:t>
      </w:r>
      <w:r w:rsidRPr="00AB2B95">
        <w:t xml:space="preserve"> Moreover, lease documents revealed dynamics that would otherwise remain unseen</w:t>
      </w:r>
      <w:r>
        <w:t>,</w:t>
      </w:r>
      <w:r w:rsidRPr="00AB2B95">
        <w:t xml:space="preserve"> highlighting the power of inscription </w:t>
      </w:r>
      <w:r w:rsidRPr="00AB2B95">
        <w:lastRenderedPageBreak/>
        <w:t xml:space="preserve">as a means of connecting with and maintaining sovereignty over a property that its inscribers </w:t>
      </w:r>
      <w:r>
        <w:t xml:space="preserve">had </w:t>
      </w:r>
      <w:r w:rsidRPr="00AB2B95">
        <w:t xml:space="preserve">opted not to inhabit. In </w:t>
      </w:r>
      <w:proofErr w:type="gramStart"/>
      <w:r w:rsidRPr="00AB2B95">
        <w:t>all of</w:t>
      </w:r>
      <w:proofErr w:type="gramEnd"/>
      <w:r w:rsidRPr="00AB2B95">
        <w:t xml:space="preserve"> these contexts, wealth informed the act of inscription but did not define it. Adapted by the many individuals and couples who </w:t>
      </w:r>
      <w:r>
        <w:t>commissioned</w:t>
      </w:r>
      <w:r w:rsidRPr="00AB2B95">
        <w:t xml:space="preserve"> </w:t>
      </w:r>
      <w:r>
        <w:t xml:space="preserve">dated </w:t>
      </w:r>
      <w:r w:rsidRPr="00AB2B95">
        <w:t xml:space="preserve">text </w:t>
      </w:r>
      <w:r>
        <w:t>to be carved up</w:t>
      </w:r>
      <w:r w:rsidRPr="00AB2B95">
        <w:t xml:space="preserve">on their homes, </w:t>
      </w:r>
      <w:r>
        <w:t>inscription enable</w:t>
      </w:r>
      <w:r w:rsidR="00CD2267">
        <w:t>d</w:t>
      </w:r>
      <w:r>
        <w:t xml:space="preserve"> people to </w:t>
      </w:r>
      <w:r w:rsidRPr="00AB2B95">
        <w:t>identify themselves with and through literacy as well as a</w:t>
      </w:r>
      <w:r>
        <w:t xml:space="preserve"> commitment to family, home and lineage. Consequently, </w:t>
      </w:r>
      <w:r w:rsidRPr="00C92BFA">
        <w:t>inscription was a rich and complex</w:t>
      </w:r>
      <w:r>
        <w:t xml:space="preserve"> socio-cultural</w:t>
      </w:r>
      <w:r w:rsidRPr="00C92BFA">
        <w:t xml:space="preserve"> practi</w:t>
      </w:r>
      <w:r>
        <w:t>c</w:t>
      </w:r>
      <w:r w:rsidRPr="00C92BFA">
        <w:t>e</w:t>
      </w:r>
      <w:r>
        <w:t xml:space="preserve"> entangled with identity formation, the reinforcement of conjugal and familial relationships, processes of mastering and shaping domestic space and, fundamentally, the transformation of a house into a home.</w:t>
      </w:r>
    </w:p>
    <w:p w14:paraId="1B1FE50A" w14:textId="77777777" w:rsidR="00655E4C" w:rsidRDefault="00655E4C">
      <w:pPr>
        <w:spacing w:after="0" w:line="240" w:lineRule="auto"/>
        <w:sectPr w:rsidR="00655E4C">
          <w:footnotePr>
            <w:numRestart w:val="eachSect"/>
          </w:footnotePr>
          <w:pgSz w:w="11906" w:h="16838"/>
          <w:pgMar w:top="1440" w:right="1440" w:bottom="1440" w:left="1440" w:header="720" w:footer="720" w:gutter="0"/>
          <w:cols w:space="720"/>
          <w:docGrid w:linePitch="360"/>
        </w:sectPr>
      </w:pPr>
    </w:p>
    <w:p w14:paraId="78E39588" w14:textId="2AECAA7B" w:rsidR="00D82F50" w:rsidRPr="00D82F50" w:rsidRDefault="00D82F50" w:rsidP="00282314">
      <w:pPr>
        <w:spacing w:after="0" w:line="480" w:lineRule="auto"/>
        <w:jc w:val="both"/>
        <w:rPr>
          <w:b/>
          <w:bCs/>
          <w:sz w:val="32"/>
          <w:szCs w:val="32"/>
          <w:u w:val="single"/>
        </w:rPr>
      </w:pPr>
      <w:r w:rsidRPr="00D82F50">
        <w:rPr>
          <w:b/>
          <w:bCs/>
          <w:sz w:val="32"/>
          <w:szCs w:val="32"/>
          <w:u w:val="single"/>
        </w:rPr>
        <w:lastRenderedPageBreak/>
        <w:t xml:space="preserve">Chapter Four: Material </w:t>
      </w:r>
      <w:r w:rsidR="006266CB">
        <w:rPr>
          <w:b/>
          <w:bCs/>
          <w:sz w:val="32"/>
          <w:szCs w:val="32"/>
          <w:u w:val="single"/>
        </w:rPr>
        <w:t>Culture and Inscription</w:t>
      </w:r>
      <w:r w:rsidRPr="00D82F50">
        <w:rPr>
          <w:b/>
          <w:bCs/>
          <w:sz w:val="32"/>
          <w:szCs w:val="32"/>
          <w:u w:val="single"/>
        </w:rPr>
        <w:t xml:space="preserve"> in Bolton-le-Sands and Prestbury</w:t>
      </w:r>
    </w:p>
    <w:p w14:paraId="4DEC8B60" w14:textId="77777777" w:rsidR="00D82F50" w:rsidRPr="00D82F50" w:rsidRDefault="00D82F50" w:rsidP="00282314">
      <w:pPr>
        <w:spacing w:after="0" w:line="480" w:lineRule="auto"/>
        <w:jc w:val="both"/>
        <w:rPr>
          <w:b/>
          <w:bCs/>
        </w:rPr>
      </w:pPr>
      <w:r w:rsidRPr="00D82F50">
        <w:rPr>
          <w:b/>
          <w:bCs/>
        </w:rPr>
        <w:t>Introduction</w:t>
      </w:r>
    </w:p>
    <w:p w14:paraId="06ABBD37" w14:textId="40334826" w:rsidR="00D82F50" w:rsidRPr="00D82F50" w:rsidRDefault="00D82F50" w:rsidP="00D82F50">
      <w:pPr>
        <w:spacing w:after="0" w:line="480" w:lineRule="auto"/>
        <w:ind w:firstLine="720"/>
        <w:jc w:val="both"/>
      </w:pPr>
      <w:r w:rsidRPr="00D82F50">
        <w:t>This chapter explores the materiality of people’s lives in Bolton-le-Sands and Prestbury parishes. Previous chapters have considered the broader cultural significance of inscribing words and initials on material culture (and, implicitly, the built environment) in early modern England. The social and economic landscape of the north Lancashire and east Cheshire townships has been charted, and the different circumstances and meanings surrounding inscriptions in Bolton-le-Sands and Prestbury have been untangled. In seeking to better understand the significance of inscribed text in both areas, this chapter now turns to the material form taken by inscriptions within each case study community. Informed by approaches from anthropology, archaeology and art history, this chapter interrogates the visual language used in inscriptions, seeking to further comprehend the connotations attached to them in contemporary society and how they may have changed between 1650 and 1750.</w:t>
      </w:r>
    </w:p>
    <w:p w14:paraId="0586AA92" w14:textId="7F822E33" w:rsidR="00D82F50" w:rsidRPr="00D82F50" w:rsidRDefault="00D82F50" w:rsidP="00D82F50">
      <w:pPr>
        <w:spacing w:after="0" w:line="480" w:lineRule="auto"/>
        <w:ind w:firstLine="720"/>
        <w:jc w:val="both"/>
      </w:pPr>
      <w:r w:rsidRPr="00D82F50">
        <w:t>To do so, the following discussion approaches objects and buildings together as ‘“material culture” conceived as a totality’, examining the overlaps in meaning and form across different types of inscriptions.</w:t>
      </w:r>
      <w:r w:rsidRPr="00D82F50">
        <w:rPr>
          <w:vertAlign w:val="superscript"/>
        </w:rPr>
        <w:footnoteReference w:id="711"/>
      </w:r>
      <w:r w:rsidRPr="00D82F50">
        <w:t xml:space="preserve">  In addition to surviving material sources, it also makes use of the wider survey at the heart of chapter two, comprising 396 wills and inventories linked to 198 people – 99 from each parish. The first section uses inventories to chart the contents of middling sort homes in both areas, to discern the markets for goods with which </w:t>
      </w:r>
      <w:r w:rsidRPr="00D82F50">
        <w:lastRenderedPageBreak/>
        <w:t>local people had contact, and to apprehend consumption practices in the two localities. It thereby builds on conclusions reached in chapter two, demonstrating that as well as being wealthier Prestbury was also more materially rich and diverse than Bolton-le-Sands, with a growing market for newer forms and types of goods. Wills and inventories are also used in the second section, where a close reading of probate documents – and the silences they contain – is used to understand the presence of inscribed objects within contemporary homes. This section also explores the meanings attached to inscribed objects when they appear as bequests, building on existing literature that has emphasised their potency as heirlooms. Analysis is also supplemented by surviving objects and artefacts both in museum collections and still extant within case study homes, delineating their meaning and interpersonal value through reference to parish registers and other documentation.</w:t>
      </w:r>
    </w:p>
    <w:p w14:paraId="1A4A5060" w14:textId="77777777" w:rsidR="00D82F50" w:rsidRPr="00D82F50" w:rsidRDefault="00D82F50" w:rsidP="00D82F50">
      <w:pPr>
        <w:spacing w:after="0" w:line="480" w:lineRule="auto"/>
        <w:ind w:firstLine="720"/>
        <w:jc w:val="both"/>
      </w:pPr>
      <w:r w:rsidRPr="00D82F50">
        <w:t>The final section is concerned with the use of inscriptions on the architectural fabric of case study homes, where buildings have been marked with letters, dates and a range of other symbols. A focus on contemporary belief systems and comparison with other symbols found elsewhere in Europe, as well as a ‘local’ approach to contextualising each home within its neighbourhood, opens the possibility of deciphering these inscriptions and the significance of their different placements around the home. In the process, this chapter demonstrates that inscription was an important medium for reinforcing a multiplicity of different beliefs and ideas about domestic space. Carved text carried social, cultural, emotional and spiritual significance. It was used to commemorate marriage in a variety of different forms that had the capacity to cement inscribers within different emotional communities. Simultaneously, it was hugely important for the emotional community of the household, codifying the house as a shared home, shaping couples’ understandings of themselves as married, and capable of invoking protection of the couple and their joint property.</w:t>
      </w:r>
    </w:p>
    <w:p w14:paraId="2FFA223B" w14:textId="77777777" w:rsidR="00D82F50" w:rsidRPr="00D82F50" w:rsidRDefault="00D82F50" w:rsidP="00D82F50">
      <w:pPr>
        <w:spacing w:after="0" w:line="480" w:lineRule="auto"/>
        <w:ind w:firstLine="720"/>
        <w:jc w:val="both"/>
      </w:pPr>
    </w:p>
    <w:p w14:paraId="2A00037B" w14:textId="4C7496C7" w:rsidR="00D82F50" w:rsidRPr="00D82F50" w:rsidRDefault="00D82F50" w:rsidP="00D82F50">
      <w:pPr>
        <w:spacing w:after="0" w:line="480" w:lineRule="auto"/>
        <w:jc w:val="both"/>
        <w:rPr>
          <w:b/>
          <w:bCs/>
        </w:rPr>
      </w:pPr>
      <w:r w:rsidRPr="00D82F50">
        <w:rPr>
          <w:b/>
          <w:bCs/>
        </w:rPr>
        <w:t>Documentary Traces</w:t>
      </w:r>
      <w:r w:rsidR="00C41C03">
        <w:rPr>
          <w:b/>
          <w:bCs/>
        </w:rPr>
        <w:t xml:space="preserve">: </w:t>
      </w:r>
      <w:r w:rsidR="00BC436D">
        <w:rPr>
          <w:b/>
          <w:bCs/>
        </w:rPr>
        <w:t>Consumption and Household Goods</w:t>
      </w:r>
      <w:r w:rsidRPr="00D82F50">
        <w:rPr>
          <w:b/>
          <w:bCs/>
        </w:rPr>
        <w:t xml:space="preserve"> </w:t>
      </w:r>
    </w:p>
    <w:p w14:paraId="5D925B8D" w14:textId="08DF7118" w:rsidR="00D82F50" w:rsidRPr="00D82F50" w:rsidRDefault="00D82F50" w:rsidP="00D82F50">
      <w:pPr>
        <w:spacing w:after="0" w:line="480" w:lineRule="auto"/>
        <w:ind w:firstLine="720"/>
        <w:jc w:val="both"/>
      </w:pPr>
      <w:r w:rsidRPr="00D82F50">
        <w:t>When examining ownership of different types of goods in Bolton-le-Sands and Prestbury parish townships, it is necessary to address issues affecting source material. Inventories offer a key means of assessing household possessions across the two areas, but data pulled from these documents is unavoidably impacted by differences in recording practices among the appraisers responsible for their production. Inventory appraisers throughout England were selective by nature, often discounting foodstuffs, cheaper fuels and smaller objects from their assessments, and regularly neglecting to itemise the commonly-found phrase ‘clothing and apparel’.</w:t>
      </w:r>
      <w:r w:rsidRPr="00D82F50">
        <w:rPr>
          <w:vertAlign w:val="superscript"/>
        </w:rPr>
        <w:footnoteReference w:id="712"/>
      </w:r>
      <w:r w:rsidRPr="00D82F50">
        <w:t xml:space="preserve"> Table </w:t>
      </w:r>
      <w:r w:rsidR="00E7389B">
        <w:t>34 (p.</w:t>
      </w:r>
      <w:r w:rsidR="00F30F17">
        <w:t>428</w:t>
      </w:r>
      <w:r w:rsidR="00E7389B">
        <w:t>)</w:t>
      </w:r>
      <w:r w:rsidRPr="00D82F50">
        <w:t xml:space="preserve"> demonstrates the extent to which those responsible for valuing goods in Bolton-le-Sands and Prestbury parish townships also engaged in room grouping, further obscuring ownership of goods otherwise routinely mentioned. Room names appear in </w:t>
      </w:r>
      <w:proofErr w:type="gramStart"/>
      <w:r w:rsidRPr="00D82F50">
        <w:t>a majority of</w:t>
      </w:r>
      <w:proofErr w:type="gramEnd"/>
      <w:r w:rsidRPr="00D82F50">
        <w:t xml:space="preserve"> documents across the whole sample, often as headers to subsequent lists of goods. However, when used here, ‘room grouping’ specifically refers to cases where individual goods in a named room pass entirely without comment. In the inventory of John Daine of Sutton, for example, appraisers have listed ‘Goodes </w:t>
      </w:r>
      <w:proofErr w:type="spellStart"/>
      <w:r w:rsidRPr="00D82F50">
        <w:t>standinge</w:t>
      </w:r>
      <w:proofErr w:type="spellEnd"/>
      <w:r w:rsidRPr="00D82F50">
        <w:t xml:space="preserve"> in the </w:t>
      </w:r>
      <w:proofErr w:type="spellStart"/>
      <w:r w:rsidRPr="00D82F50">
        <w:t>parlor</w:t>
      </w:r>
      <w:proofErr w:type="spellEnd"/>
      <w:r w:rsidRPr="00D82F50">
        <w:t xml:space="preserve">’, ‘Goodes in the Chamber over the house’ and ‘Things standing in the </w:t>
      </w:r>
      <w:proofErr w:type="spellStart"/>
      <w:r w:rsidRPr="00D82F50">
        <w:t>shope</w:t>
      </w:r>
      <w:proofErr w:type="spellEnd"/>
      <w:r w:rsidRPr="00D82F50">
        <w:t>’, offering valuations of each room without any further description of their contents.</w:t>
      </w:r>
      <w:r w:rsidRPr="00D82F50">
        <w:rPr>
          <w:vertAlign w:val="superscript"/>
        </w:rPr>
        <w:footnoteReference w:id="713"/>
      </w:r>
      <w:r w:rsidRPr="00D82F50">
        <w:t xml:space="preserve"> Some degree of room grouping was present in 24% of inventories in Bolton-le-Sands and just 10% of inventories from Prestbury, presenting considerably more of an obstacle in the north Lancashire case study area.</w:t>
      </w:r>
    </w:p>
    <w:p w14:paraId="52CF1034" w14:textId="0601418A" w:rsidR="00D82F50" w:rsidRPr="00D82F50" w:rsidRDefault="00D82F50" w:rsidP="00D82F50">
      <w:pPr>
        <w:spacing w:after="0" w:line="480" w:lineRule="auto"/>
        <w:ind w:firstLine="720"/>
        <w:jc w:val="both"/>
      </w:pPr>
      <w:r w:rsidRPr="00D82F50">
        <w:lastRenderedPageBreak/>
        <w:t xml:space="preserve">Table </w:t>
      </w:r>
      <w:r w:rsidR="00E7389B">
        <w:t>35 (p.</w:t>
      </w:r>
      <w:r w:rsidR="00F30F17">
        <w:t>429</w:t>
      </w:r>
      <w:r w:rsidR="00E7389B">
        <w:t>)</w:t>
      </w:r>
      <w:r w:rsidRPr="00D82F50">
        <w:t xml:space="preserve"> shows the presence of different categories of goods in inventories and wills from Bolton-le-Sands and Prestbury parish townships. There is a visible difference between the two areas at first glance, with higher numbers of Prestbury parish inventories referencing objects in almost all categories. This can be explained partly by differences in room grouping, given that Table </w:t>
      </w:r>
      <w:r w:rsidR="00B254B6">
        <w:t>34</w:t>
      </w:r>
      <w:r w:rsidRPr="00D82F50">
        <w:t xml:space="preserve"> demonstrated a significantly higher tendency towards grouping in Bolton-le-Sands (where testators’ belongings were more than twice as likely to be partly or wholly grouped by room than in Prestbury). Where grouping is present, occasionally some farming equipment, livestock and crops have still been specified, and scant information on furniture and small numbers of household goods is sometimes given. Several partially grouped inventories from Bolton-le-Sands also include broad terms like ‘pewter’ and ‘brass’, while bedding, ‘linens’, and storage objects like arks and chests consistently appear among the very few objects itemised by appraisers who have nonetheless favoured grouping. By consequence, Table </w:t>
      </w:r>
      <w:r w:rsidR="00B254B6">
        <w:t>35</w:t>
      </w:r>
      <w:r w:rsidRPr="00D82F50">
        <w:t xml:space="preserve"> shows less of a marked difference between these specific categories across the two case study areas, although overall numbers of inventories referencing them are nonetheless lower in Bolton-le-Sands.</w:t>
      </w:r>
    </w:p>
    <w:p w14:paraId="6CAD8EE1" w14:textId="77777777" w:rsidR="00D82F50" w:rsidRPr="00D82F50" w:rsidRDefault="00D82F50" w:rsidP="00D82F50">
      <w:pPr>
        <w:spacing w:after="0" w:line="480" w:lineRule="auto"/>
        <w:ind w:firstLine="720"/>
        <w:jc w:val="both"/>
      </w:pPr>
      <w:r w:rsidRPr="00D82F50">
        <w:t>Aside from basic cooking equipment, the one category of goods more commonly referenced in Bolton-le-Sands inventories than in Prestbury is wooden wares. Described as either ‘wooden’ or ‘wood vessels’ by Bolton-le-Sands appraisers, Prestbury inventories also mention ‘trine’, ‘</w:t>
      </w:r>
      <w:proofErr w:type="spellStart"/>
      <w:r w:rsidRPr="00D82F50">
        <w:t>treine</w:t>
      </w:r>
      <w:proofErr w:type="spellEnd"/>
      <w:r w:rsidRPr="00D82F50">
        <w:t>’ and ‘treen’ ware. Literally meaning ‘made of tree’, treen ware was another name for the many types of wooden utensils and dining wares in use in early modern England.</w:t>
      </w:r>
      <w:r w:rsidRPr="00D82F50">
        <w:rPr>
          <w:vertAlign w:val="superscript"/>
        </w:rPr>
        <w:footnoteReference w:id="714"/>
      </w:r>
      <w:r w:rsidRPr="00D82F50">
        <w:t xml:space="preserve"> Two inventories make use of both terms, citing ‘</w:t>
      </w:r>
      <w:proofErr w:type="spellStart"/>
      <w:r w:rsidRPr="00D82F50">
        <w:t>Treene</w:t>
      </w:r>
      <w:proofErr w:type="spellEnd"/>
      <w:r w:rsidRPr="00D82F50">
        <w:t xml:space="preserve"> ware &amp; wooden ware’ alongside one another, apparently suggesting subtle differences in what appraisers </w:t>
      </w:r>
      <w:r w:rsidRPr="00D82F50">
        <w:lastRenderedPageBreak/>
        <w:t>understood each to be.</w:t>
      </w:r>
      <w:r w:rsidRPr="00D82F50">
        <w:rPr>
          <w:vertAlign w:val="superscript"/>
        </w:rPr>
        <w:footnoteReference w:id="715"/>
      </w:r>
      <w:r w:rsidRPr="00D82F50">
        <w:t xml:space="preserve"> Historians of material culture have frequently cited clergyman and writer William Harrison’s 1577 comments about rising standards of living in contemporary England, which he suggested was visible through the ‘exchange of vessel, as of treen platters into pewter’.</w:t>
      </w:r>
      <w:r w:rsidRPr="00D82F50">
        <w:rPr>
          <w:vertAlign w:val="superscript"/>
        </w:rPr>
        <w:footnoteReference w:id="716"/>
      </w:r>
      <w:r w:rsidRPr="00D82F50">
        <w:t xml:space="preserve"> Donald Woodward has argued that while wooden wares may indeed have begun to be considered ‘somewhat old fashioned’ by the later 1500s, they were still in wide use throughout the 1600s and thereafter.</w:t>
      </w:r>
      <w:r w:rsidRPr="00D82F50">
        <w:rPr>
          <w:vertAlign w:val="superscript"/>
        </w:rPr>
        <w:footnoteReference w:id="717"/>
      </w:r>
      <w:r w:rsidRPr="00D82F50">
        <w:t xml:space="preserve"> The inventories sampled here reinforce Woodward’s argument, with wooden wares present in both Bolton-le-Sands and Prestbury to a considerable degree. However, the fact that they were among the only goods cited more often in Lancashire townships than in Cheshire is revealing, suggesting that a higher proportion of increasingly outmoded goods were present in homes in Bolton-le-Sands than in Prestbury.</w:t>
      </w:r>
    </w:p>
    <w:p w14:paraId="594F2E78" w14:textId="516DF6A2" w:rsidR="00D82F50" w:rsidRPr="00D82F50" w:rsidRDefault="00D82F50" w:rsidP="00D82F50">
      <w:pPr>
        <w:spacing w:after="0" w:line="480" w:lineRule="auto"/>
        <w:ind w:firstLine="720"/>
        <w:jc w:val="both"/>
      </w:pPr>
      <w:r w:rsidRPr="00D82F50">
        <w:t xml:space="preserve">Tableware will be considered in greater detail below, but higher numbers of wooden dining utensils is an indication of patterns that continue across other object categories. Consistently, it is apparent that inventories from Bolton-le-Sands contained more traditional and fewer ‘newer’ goods that were gradually present in Prestbury and elsewhere, supplementing and replacing older forms and changing existing modes of living in meaningful ways. Four of the objects categorised as ‘miscellaneous goods’ in Table </w:t>
      </w:r>
      <w:r w:rsidR="00B254B6">
        <w:t>35</w:t>
      </w:r>
      <w:r w:rsidRPr="00D82F50">
        <w:t xml:space="preserve"> have been seen in this light: books, looking glasses, clocks and pictures have all been examined as markers of shifting consumption practices by scholars using inventories to interrogate domestic material culture.</w:t>
      </w:r>
      <w:r w:rsidRPr="00D82F50">
        <w:rPr>
          <w:vertAlign w:val="superscript"/>
        </w:rPr>
        <w:footnoteReference w:id="718"/>
      </w:r>
      <w:r w:rsidRPr="00D82F50">
        <w:t xml:space="preserve"> Lorna Weatherill categorised all of these objects as either uncommon or extremely </w:t>
      </w:r>
      <w:r w:rsidRPr="00D82F50">
        <w:lastRenderedPageBreak/>
        <w:t>rare in inventories in 1675, and linked all of them to ‘front stage’ activities, meaning that they were implicated in the appearance of the home and the way in which individuals and the household were able to present themselves.</w:t>
      </w:r>
      <w:r w:rsidRPr="00D82F50">
        <w:rPr>
          <w:vertAlign w:val="superscript"/>
        </w:rPr>
        <w:footnoteReference w:id="719"/>
      </w:r>
      <w:r w:rsidRPr="00D82F50">
        <w:t xml:space="preserve"> Importantly, Weatherill also emphasised the role of regional variation in this, where places with the fewest of these goods in 1675 also had the fewest in 1725, book-ending a period of rapid change in England that was nonetheless experienced to different degrees.</w:t>
      </w:r>
      <w:r w:rsidRPr="00D82F50">
        <w:rPr>
          <w:vertAlign w:val="superscript"/>
        </w:rPr>
        <w:footnoteReference w:id="720"/>
      </w:r>
      <w:r w:rsidRPr="00D82F50">
        <w:t xml:space="preserve"> Ownership of all four goods increased in both Bolton-le-Sands and Prestbury as the period considered here progressed, but as with other goods, numbers were consistently lower in north Lancashire.</w:t>
      </w:r>
    </w:p>
    <w:p w14:paraId="4DB69E9D" w14:textId="2F468168" w:rsidR="00D82F50" w:rsidRPr="00D82F50" w:rsidRDefault="00D82F50" w:rsidP="00D82F50">
      <w:pPr>
        <w:spacing w:after="0" w:line="480" w:lineRule="auto"/>
        <w:ind w:firstLine="720"/>
        <w:jc w:val="both"/>
      </w:pPr>
      <w:r w:rsidRPr="00D82F50">
        <w:t xml:space="preserve">Basic cooking equipment is the only other category from Table </w:t>
      </w:r>
      <w:r w:rsidR="00B254B6">
        <w:t>35</w:t>
      </w:r>
      <w:r w:rsidRPr="00D82F50">
        <w:t xml:space="preserve"> where references to goods were more numerous in inventories from Bolton-le-Sands than Prestbury (present in 47 inventories compared with 9 from east Cheshire). In contrast with cooking pots and pans, ‘basic cooking equipment’ refers to goods placed directly into the fire, such as trivets, gridirons and </w:t>
      </w:r>
      <w:proofErr w:type="spellStart"/>
      <w:r w:rsidRPr="00D82F50">
        <w:t>brandreths</w:t>
      </w:r>
      <w:proofErr w:type="spellEnd"/>
      <w:r w:rsidRPr="00D82F50">
        <w:t xml:space="preserve"> (stands with legs to support cooking pots), and spits and ‘</w:t>
      </w:r>
      <w:proofErr w:type="spellStart"/>
      <w:r w:rsidRPr="00D82F50">
        <w:t>rackencrookes</w:t>
      </w:r>
      <w:proofErr w:type="spellEnd"/>
      <w:r w:rsidRPr="00D82F50">
        <w:t>’, suspended over the fire, typically used in roasting meat. Given the high presence of goods intended for supporting cooking pots, larger pots were almost certainly in use in Bolton-le-</w:t>
      </w:r>
      <w:proofErr w:type="gramStart"/>
      <w:r w:rsidRPr="00D82F50">
        <w:t>Sands, but</w:t>
      </w:r>
      <w:proofErr w:type="gramEnd"/>
      <w:r w:rsidRPr="00D82F50">
        <w:t xml:space="preserve"> were not generally itemised by appraisers. This tallies with the findings of Weatherill, who noted in her regionally-differentiated study of early modern inventories that Lancaster was one of three diocese (along with Carlisle and Lichfield) where cooking pots were not consistently listed.</w:t>
      </w:r>
      <w:r w:rsidRPr="00D82F50">
        <w:rPr>
          <w:vertAlign w:val="superscript"/>
        </w:rPr>
        <w:footnoteReference w:id="721"/>
      </w:r>
      <w:r w:rsidRPr="00D82F50">
        <w:t xml:space="preserve"> Weatherill concluded that pots were likely hidden, grouped together in phrases such as ‘all the brass’, and it is certainly true that collective terms were more commonly used by appraisers in Bolton-le-Sands than in Prestbury. In fact, 92% of Bolton-le-Sands inventories referencing brass did so using un-itemised collective terminology, </w:t>
      </w:r>
      <w:r w:rsidRPr="00D82F50">
        <w:lastRenderedPageBreak/>
        <w:t xml:space="preserve">compared with 62% of those from Prestbury. Where cooking pots were itemised in Prestbury inventories, many were purportedly made of iron which, like brass, was often also grouped: 73% of Bolton-le-Sands inventories mentioning iron employed terms like ‘iron gear’, ‘iron wares’ or ‘iron things’, while in Prestbury just 51% of iron references were indiscriminate. The inventory of John Barker of Bolton-le-Sands is a prime example of this trend, containing itemised furniture but only referencing ‘Brass and </w:t>
      </w:r>
      <w:proofErr w:type="spellStart"/>
      <w:r w:rsidRPr="00D82F50">
        <w:t>pewther</w:t>
      </w:r>
      <w:proofErr w:type="spellEnd"/>
      <w:r w:rsidRPr="00D82F50">
        <w:t xml:space="preserve">’ and ‘Iron Gear &amp; Wood </w:t>
      </w:r>
      <w:proofErr w:type="spellStart"/>
      <w:r w:rsidRPr="00D82F50">
        <w:t>vessell</w:t>
      </w:r>
      <w:proofErr w:type="spellEnd"/>
      <w:r w:rsidRPr="00D82F50">
        <w:t>’ when summarising cookware, kitchenware and tableware.</w:t>
      </w:r>
      <w:r w:rsidRPr="00D82F50">
        <w:rPr>
          <w:vertAlign w:val="superscript"/>
        </w:rPr>
        <w:footnoteReference w:id="722"/>
      </w:r>
      <w:r w:rsidRPr="00D82F50">
        <w:t xml:space="preserve"> </w:t>
      </w:r>
    </w:p>
    <w:p w14:paraId="71EFD1E3" w14:textId="281EC7DB" w:rsidR="00D82F50" w:rsidRPr="00D82F50" w:rsidRDefault="00D82F50" w:rsidP="00D82F50">
      <w:pPr>
        <w:spacing w:after="0" w:line="480" w:lineRule="auto"/>
        <w:ind w:firstLine="720"/>
        <w:jc w:val="both"/>
      </w:pPr>
      <w:r w:rsidRPr="00D82F50">
        <w:t xml:space="preserve">These recording practices frustrate attempts to uncover real ownership levels of cooking equipment. However, disaggregating the data further allows for some slight improvement in understanding. Table </w:t>
      </w:r>
      <w:r w:rsidR="00B254B6">
        <w:t>36</w:t>
      </w:r>
      <w:r w:rsidRPr="00D82F50">
        <w:t xml:space="preserve"> </w:t>
      </w:r>
      <w:r w:rsidR="003F5820">
        <w:t>(p.</w:t>
      </w:r>
      <w:r w:rsidR="00F30F17">
        <w:t>431</w:t>
      </w:r>
      <w:r w:rsidR="003F5820">
        <w:t xml:space="preserve">) </w:t>
      </w:r>
      <w:r w:rsidRPr="00D82F50">
        <w:t xml:space="preserve">categorises cooking equipment in greater detail. While it is likely that many more pots and pans were owned by Bolton-le-Sands testators than is explicitly stated, the greater tendency among Prestbury appraisers towards using descriptive terminology when listing kitchenware is significant in and of itself. Bolton-le-Sands appraisers did not eschew itemisation entirely, as exemplified by the consistent details given for ‘basic cooking equipment’. These more rudimentary objects were often fashioned from iron (like many pots and pans) but the fact that they received considerably more attention in Bolton-le-Sands than in Prestbury may be an indicator of their greater significance for north Lancashire householders. By the same token, Table </w:t>
      </w:r>
      <w:r w:rsidR="00B254B6">
        <w:t>35</w:t>
      </w:r>
      <w:r w:rsidRPr="00D82F50">
        <w:t xml:space="preserve"> demonstrated that a wide range of fire equipment including grates, bellows, backstones and tongs – of which many were also made of iron – were itemised to a much greater degree in east Cheshire than north Lancashire. In comparing total numbers of inventories referencing any pots and pans with those citing their material, purpose or size, Prestbury appraisers appear to have been </w:t>
      </w:r>
      <w:r w:rsidRPr="00D82F50">
        <w:lastRenderedPageBreak/>
        <w:t>itemising individual goods as a means of fully representing a wide range of possessions, where similar objects of multiple different specifications were present in many Prestbury homes. It is difficult to account for these possible idiosyncrasies, but the use of terminological differentiation in Prestbury and not in Bolton-le-Sands may indicate differences in ownership, with a greater variety of goods in east Cheshire than in north Lancashire.</w:t>
      </w:r>
    </w:p>
    <w:p w14:paraId="1853DE0A" w14:textId="75E9BCDB" w:rsidR="00D82F50" w:rsidRPr="00D82F50" w:rsidRDefault="00D82F50" w:rsidP="00D82F50">
      <w:pPr>
        <w:spacing w:after="0" w:line="480" w:lineRule="auto"/>
        <w:ind w:firstLine="720"/>
        <w:jc w:val="both"/>
      </w:pPr>
      <w:r w:rsidRPr="00D82F50">
        <w:t xml:space="preserve">Developing this hypothesis, Tables </w:t>
      </w:r>
      <w:r w:rsidR="005812EE">
        <w:t>37</w:t>
      </w:r>
      <w:r w:rsidRPr="00D82F50">
        <w:t xml:space="preserve"> and </w:t>
      </w:r>
      <w:r w:rsidR="005812EE">
        <w:t xml:space="preserve">38 (pages </w:t>
      </w:r>
      <w:r w:rsidR="00054521">
        <w:t>433</w:t>
      </w:r>
      <w:r w:rsidR="005812EE">
        <w:t xml:space="preserve"> and </w:t>
      </w:r>
      <w:r w:rsidR="00054521">
        <w:t>434</w:t>
      </w:r>
      <w:r w:rsidR="005812EE">
        <w:t>)</w:t>
      </w:r>
      <w:r w:rsidRPr="00D82F50">
        <w:t xml:space="preserve"> examine two categories of goods in greater detail: seating and tables. Numbers of inventories referencing each furniture type are shown, alongside sub-categories determined by appraisers’ descriptions. Room grouping poses a barrier, rendering it </w:t>
      </w:r>
      <w:proofErr w:type="gramStart"/>
      <w:r w:rsidRPr="00D82F50">
        <w:t>unclear</w:t>
      </w:r>
      <w:proofErr w:type="gramEnd"/>
      <w:r w:rsidRPr="00D82F50">
        <w:t xml:space="preserve"> whether Prestbury inventories </w:t>
      </w:r>
      <w:proofErr w:type="gramStart"/>
      <w:r w:rsidRPr="00D82F50">
        <w:t>actually contained</w:t>
      </w:r>
      <w:proofErr w:type="gramEnd"/>
      <w:r w:rsidRPr="00D82F50">
        <w:t xml:space="preserve"> more goods, or whether they simply appear to because of higher levels of itemisation. By separating these objects into sub-categories, it is apparent that Prestbury homes were not only more likely to contain seats and tables, but that they also possessed a wider range of seating and table types. The many descriptors employed by Prestbury appraisers necessitated the use of sub-categories here: thirteen different terms were used to describe tables alone, with an additional twelve terms used to describe chairs, and eight for stools.</w:t>
      </w:r>
      <w:r w:rsidRPr="00D82F50">
        <w:rPr>
          <w:vertAlign w:val="superscript"/>
        </w:rPr>
        <w:footnoteReference w:id="723"/>
      </w:r>
      <w:r w:rsidRPr="00D82F50">
        <w:t xml:space="preserve"> The terms used instance a range of formal differences. Some specify the shape or size of items, while others allude to how they were produced or to adaptations that made them unique. Appraisers valuing the goods of Roger Broadhurst of Sutton describe a ‘let down table’, implying an object whose form could be changed to suit different occasions.</w:t>
      </w:r>
      <w:r w:rsidRPr="00D82F50">
        <w:rPr>
          <w:vertAlign w:val="superscript"/>
        </w:rPr>
        <w:footnoteReference w:id="724"/>
      </w:r>
      <w:r w:rsidRPr="00D82F50">
        <w:t xml:space="preserve"> Other terms identify the wood or stone from which furniture had been carved, or the different textiles and colours used to upholster them.</w:t>
      </w:r>
    </w:p>
    <w:p w14:paraId="6479E0C0" w14:textId="415D9372" w:rsidR="00D82F50" w:rsidRPr="00D82F50" w:rsidRDefault="00D82F50" w:rsidP="00D82F50">
      <w:pPr>
        <w:spacing w:after="0" w:line="480" w:lineRule="auto"/>
        <w:ind w:firstLine="720"/>
        <w:jc w:val="both"/>
      </w:pPr>
      <w:r w:rsidRPr="00D82F50">
        <w:lastRenderedPageBreak/>
        <w:t xml:space="preserve">While possible that Prestbury appraisers tended more towards using additional detail in their accounts, this is unlikely to have been without cause. Mark Overton </w:t>
      </w:r>
      <w:r w:rsidRPr="00803506">
        <w:t>et al</w:t>
      </w:r>
      <w:r w:rsidRPr="00D82F50">
        <w:t xml:space="preserve"> have argued that where present in early modern inventories, descriptive terms were a necessary means of differentiating between various types of goods within the home.</w:t>
      </w:r>
      <w:r w:rsidRPr="00D82F50">
        <w:rPr>
          <w:vertAlign w:val="superscript"/>
        </w:rPr>
        <w:footnoteReference w:id="725"/>
      </w:r>
      <w:r w:rsidRPr="00D82F50">
        <w:t xml:space="preserve"> By the same token, rather than ‘systematically omitting large numbers of items’, an absence of detail has been understood as a signifier of fewer (less varied) items, providing appraisers with comparatively less need to distinguish between them.</w:t>
      </w:r>
      <w:r w:rsidRPr="00D82F50">
        <w:rPr>
          <w:vertAlign w:val="superscript"/>
        </w:rPr>
        <w:footnoteReference w:id="726"/>
      </w:r>
      <w:r w:rsidRPr="00D82F50">
        <w:t xml:space="preserve"> Multiple inventories underscore this argument. For example, the home of Prestbury parish widow Mary Amery purportedly contained ‘2 Joynt </w:t>
      </w:r>
      <w:proofErr w:type="spellStart"/>
      <w:r w:rsidRPr="00D82F50">
        <w:t>Stooles</w:t>
      </w:r>
      <w:proofErr w:type="spellEnd"/>
      <w:r w:rsidRPr="00D82F50">
        <w:t xml:space="preserve">’ in the parlour, ‘3 old </w:t>
      </w:r>
      <w:proofErr w:type="spellStart"/>
      <w:r w:rsidRPr="00D82F50">
        <w:t>Stooles</w:t>
      </w:r>
      <w:proofErr w:type="spellEnd"/>
      <w:r w:rsidRPr="00D82F50">
        <w:t xml:space="preserve">’ in the kitchen, and ‘5 Back </w:t>
      </w:r>
      <w:proofErr w:type="spellStart"/>
      <w:r w:rsidRPr="00D82F50">
        <w:t>Stooles</w:t>
      </w:r>
      <w:proofErr w:type="spellEnd"/>
      <w:r w:rsidRPr="00D82F50">
        <w:t xml:space="preserve">’ and ‘3 Buffett </w:t>
      </w:r>
      <w:proofErr w:type="spellStart"/>
      <w:r w:rsidRPr="00D82F50">
        <w:t>Stooles</w:t>
      </w:r>
      <w:proofErr w:type="spellEnd"/>
      <w:r w:rsidRPr="00D82F50">
        <w:t>’ in the hall chamber.</w:t>
      </w:r>
      <w:r w:rsidRPr="00D82F50">
        <w:rPr>
          <w:vertAlign w:val="superscript"/>
        </w:rPr>
        <w:footnoteReference w:id="727"/>
      </w:r>
      <w:r w:rsidRPr="00D82F50">
        <w:t xml:space="preserve"> In Amery’s inventory descriptors offer distinguishing features of the same type of furniture, in addition to naming the rooms in which they stood. This is in stark contrast to Bolton-le-Sands, where descriptive terms appear in only two inventories out of a total of 57 referencing chairs, stools or tables. These silences are unlikely to be simply a result of different appraisal priorities or </w:t>
      </w:r>
      <w:proofErr w:type="gramStart"/>
      <w:r w:rsidRPr="00D82F50">
        <w:t>preferences, and</w:t>
      </w:r>
      <w:proofErr w:type="gramEnd"/>
      <w:r w:rsidRPr="00D82F50">
        <w:t xml:space="preserve"> instead reflect material differences in the availability and presence of a wider range of furniture in Prestbury townships. Appraisers’ descriptions exhibit practical as well as aesthetic differences in the make-up of east Cheshire homes.</w:t>
      </w:r>
    </w:p>
    <w:p w14:paraId="32B00BA7" w14:textId="1ADF4BDF" w:rsidR="00D82F50" w:rsidRPr="00D82F50" w:rsidRDefault="00D82F50" w:rsidP="00D82F50">
      <w:pPr>
        <w:spacing w:after="0" w:line="480" w:lineRule="auto"/>
        <w:ind w:firstLine="720"/>
        <w:jc w:val="both"/>
      </w:pPr>
      <w:r w:rsidRPr="00D82F50">
        <w:t xml:space="preserve">The patterns observable across seating and tables are also echoed in references to beds and bedding textiles. Table </w:t>
      </w:r>
      <w:r w:rsidR="00D10E2C">
        <w:t>39 (p.</w:t>
      </w:r>
      <w:r w:rsidR="00054521">
        <w:t>435</w:t>
      </w:r>
      <w:r w:rsidR="00D10E2C">
        <w:t>)</w:t>
      </w:r>
      <w:r w:rsidRPr="00D82F50">
        <w:t xml:space="preserve"> presents numbers of inventories and wills citing different forms of bed furniture and mattresses from both case study areas. ‘</w:t>
      </w:r>
      <w:proofErr w:type="spellStart"/>
      <w:r w:rsidRPr="00D82F50">
        <w:t>Bedstocks</w:t>
      </w:r>
      <w:proofErr w:type="spellEnd"/>
      <w:r w:rsidRPr="00D82F50">
        <w:t xml:space="preserve">’ and ‘bedsteads’ were different terms for bedframes, extant in similar numbers in each region. Notably, however, although overall numbers of inventories featuring bed furniture were </w:t>
      </w:r>
      <w:r w:rsidRPr="00D82F50">
        <w:lastRenderedPageBreak/>
        <w:t xml:space="preserve">similar, Prestbury appraisers again used a considerably wider range of terms, using an additional six descriptors completely unseen in Bolton-le-Sands. This relationship is repeated across all categories of bed goods, true of references to bed furniture </w:t>
      </w:r>
      <w:r w:rsidRPr="00D82F50">
        <w:rPr>
          <w:i/>
          <w:iCs/>
        </w:rPr>
        <w:t>and</w:t>
      </w:r>
      <w:r w:rsidRPr="00D82F50">
        <w:t xml:space="preserve"> mattresses in wills and inventories alike. Bolton-le-Sands wills appear to include higher numbers of bed furniture at first glance, but this is misleading: Prestbury will-makers used the ambiguous term ‘bed’ much more frequently than ‘bedstead’ or ‘</w:t>
      </w:r>
      <w:proofErr w:type="spellStart"/>
      <w:r w:rsidRPr="00D82F50">
        <w:t>bedstocks</w:t>
      </w:r>
      <w:proofErr w:type="spellEnd"/>
      <w:r w:rsidRPr="00D82F50">
        <w:t>’, and where unaccompanied by a textile descriptor like ‘feather’ or ‘</w:t>
      </w:r>
      <w:proofErr w:type="spellStart"/>
      <w:r w:rsidRPr="00D82F50">
        <w:t>chaffe</w:t>
      </w:r>
      <w:proofErr w:type="spellEnd"/>
      <w:r w:rsidRPr="00D82F50">
        <w:t>’, this probably referred to both bedframe and mattress. In any case, even where numbers of goods are at times similar, levels of detail are significantly higher in Prestbury parish than in Bolton-le-Sands, further developing a picture of homes with a richer variety of day-to-day furniture.</w:t>
      </w:r>
    </w:p>
    <w:p w14:paraId="26BBE0B5" w14:textId="2355F971" w:rsidR="00D82F50" w:rsidRPr="00D82F50" w:rsidRDefault="00D82F50" w:rsidP="00D82F50">
      <w:pPr>
        <w:spacing w:after="0" w:line="480" w:lineRule="auto"/>
        <w:ind w:firstLine="720"/>
        <w:jc w:val="both"/>
      </w:pPr>
      <w:r w:rsidRPr="00D82F50">
        <w:t xml:space="preserve">Descriptions of bedding textiles also show higher levels of differentiation within Prestbury documents. As Table </w:t>
      </w:r>
      <w:r w:rsidR="000D2026">
        <w:t>40 (p.</w:t>
      </w:r>
      <w:r w:rsidR="00054521">
        <w:t>436</w:t>
      </w:r>
      <w:r w:rsidR="000D2026">
        <w:t>)</w:t>
      </w:r>
      <w:r w:rsidRPr="00D82F50">
        <w:t xml:space="preserve"> shows, almost all categories of sleeping textiles were mentioned more frequently in Prestbury. This is not to say that all were definitively present in more homes: the collective terms ‘bedding’ and ‘bedclothes’ were used more often in Bolton-le-Sands, encompassing a range of textiles that this practice of grouping has hidden from view. Numbers of references to sheets were similar in both areas, used as a standalone term without further specification in an identical number of inventories. Often used interchangeably with ‘sheets’, but also including tablecloths and napkins in many cases, the terms ‘linen’ and ‘linens’ denoted a wide variety of fabrics in early modern England, including flax and hemp, as well as linen itself.</w:t>
      </w:r>
      <w:r w:rsidRPr="00D82F50">
        <w:rPr>
          <w:vertAlign w:val="superscript"/>
        </w:rPr>
        <w:footnoteReference w:id="728"/>
      </w:r>
      <w:r w:rsidRPr="00D82F50">
        <w:t xml:space="preserve"> While flax and hemp are only referenced in Prestbury documents, comparative silence in Bolton-le-Sands inventories may obscure similar variations: 36 Bolton-le-Sands inventories mention hemp cloth, yarn, hempseed, and hemp </w:t>
      </w:r>
      <w:r w:rsidRPr="00D82F50">
        <w:lastRenderedPageBreak/>
        <w:t>crops, in contrast to just four references in Prestbury inventories. Given the higher prevalence of raw and processed flax in Bolton-le-Sands, higher numbers of ‘sheets’ and ‘linens’ there may have been made of this material – perhaps even home-grown or homespun – but this passed without comment.</w:t>
      </w:r>
      <w:r w:rsidRPr="00D82F50">
        <w:rPr>
          <w:vertAlign w:val="superscript"/>
        </w:rPr>
        <w:footnoteReference w:id="729"/>
      </w:r>
      <w:r w:rsidRPr="00D82F50">
        <w:t xml:space="preserve"> Comparing the numbers of inventories referencing bedding textiles with the comparative incidence of room grouping, this is one instance where grouping is likely a significant contributing factor to the greater absence of textiles in Bolton-le-Sands inventories. Object grouping and lack of itemisation compounds this further, and the main conclusion that can be drawn is not one of absolutes but rather of impressions. Prestbury households, in featuring a wider range of different goods in higher numbers, certainly appear to have contained a richer variety of bedding textiles.</w:t>
      </w:r>
    </w:p>
    <w:p w14:paraId="10A84DD5" w14:textId="3FC0E9DC" w:rsidR="00D82F50" w:rsidRPr="00D82F50" w:rsidRDefault="00D82F50" w:rsidP="00D82F50">
      <w:pPr>
        <w:spacing w:after="0" w:line="480" w:lineRule="auto"/>
        <w:ind w:firstLine="720"/>
        <w:jc w:val="both"/>
      </w:pPr>
      <w:r w:rsidRPr="00D82F50">
        <w:t xml:space="preserve">Patterns observed are useful in further understanding tableware, too. Table </w:t>
      </w:r>
      <w:r w:rsidR="00B52838">
        <w:t>41 (p.</w:t>
      </w:r>
      <w:r w:rsidR="00054521">
        <w:t>437</w:t>
      </w:r>
      <w:r w:rsidR="00B52838">
        <w:t>)</w:t>
      </w:r>
      <w:r w:rsidRPr="00D82F50">
        <w:t xml:space="preserve"> shows the number of inventories </w:t>
      </w:r>
      <w:proofErr w:type="gramStart"/>
      <w:r w:rsidRPr="00D82F50">
        <w:t>making reference</w:t>
      </w:r>
      <w:proofErr w:type="gramEnd"/>
      <w:r w:rsidRPr="00D82F50">
        <w:t xml:space="preserve"> to different types of eating and drinking utensils. Although numbers cannot be taken as an exact measure of ownership (it is highly likely that more than two Bolton-le-Sands testators possessed dining dishes at their death, for example), apparent again is the greater variety of goods present in Prestbury parish households. As the table’s final row indicates, object names were used in only a fraction of the overall sample: just one fifth of Bolton-le-Sands inventories and roughly one third from Prestbury featured named tableware, meaning that inventories often included multiple names together. Although room grouping was more prevalent in Bolton-le-Sands, this alone does not account for the gulf between the two areas, given the absence of eating and drinking wares in otherwise-itemised lists of goods from Bolton-le-Sands. By contrast, where eating and drinking wares received attention in Prestbury, individual inventories consistently </w:t>
      </w:r>
      <w:r w:rsidRPr="00D82F50">
        <w:lastRenderedPageBreak/>
        <w:t>included a wider range of terms. As a result, it appears that the greater tendency towards itemisation in Prestbury was borne from a necessity to distinguish between a wider array of objects within similar categories of use.</w:t>
      </w:r>
    </w:p>
    <w:p w14:paraId="23BEA232" w14:textId="1610672E" w:rsidR="00D82F50" w:rsidRPr="00D82F50" w:rsidRDefault="00D82F50" w:rsidP="00D82F50">
      <w:pPr>
        <w:spacing w:after="0" w:line="480" w:lineRule="auto"/>
        <w:ind w:firstLine="720"/>
        <w:jc w:val="both"/>
      </w:pPr>
      <w:r w:rsidRPr="00D82F50">
        <w:t>In addition to named eating and drinking wares, other goods used for this purpose were undoubtedly present in case study households but were hidden by broad terminology. In Bolton-le-Sands, the phrase ‘earthen pots’ – which likely included eating and drinking wares – appears in 28 inventories, grouped together by appraisers.</w:t>
      </w:r>
      <w:r w:rsidRPr="00D82F50">
        <w:rPr>
          <w:vertAlign w:val="superscript"/>
        </w:rPr>
        <w:footnoteReference w:id="730"/>
      </w:r>
      <w:r w:rsidRPr="00D82F50">
        <w:t xml:space="preserve"> While Table </w:t>
      </w:r>
      <w:r w:rsidR="00EB5EF1">
        <w:t>35 (p.</w:t>
      </w:r>
      <w:r w:rsidR="00054521">
        <w:t>429</w:t>
      </w:r>
      <w:r w:rsidR="00EB5EF1">
        <w:t>)</w:t>
      </w:r>
      <w:r w:rsidRPr="00D82F50">
        <w:t xml:space="preserve"> showed exactly the same number of inventories referencing earthenware goods in each case study area (31 per region), the situation was qualitatively different in Prestbury, where appraisers opted for further specificity. Table </w:t>
      </w:r>
      <w:r w:rsidR="00552DB1">
        <w:t>42 (p.</w:t>
      </w:r>
      <w:r w:rsidR="006E674F">
        <w:t>438</w:t>
      </w:r>
      <w:r w:rsidR="00552DB1">
        <w:t>)</w:t>
      </w:r>
      <w:r w:rsidRPr="00D82F50">
        <w:t xml:space="preserve"> shows named pottery types in both areas. In contrast with Bolton-le-Sands, some Prestbury appraisers distinguished between different types of earthenware based on its place of production. Bar one inventory – that of William Worthington of Sutton – there was no overlap in terminology, with appraisers using only one word for pottery goods per inventory. It is thus unclear whether appraisers’ assessments are an accurate measure of all goods present in households, but their records are nonetheless useful in understanding the types of goods with which local people were </w:t>
      </w:r>
      <w:proofErr w:type="gramStart"/>
      <w:r w:rsidRPr="00D82F50">
        <w:t>familiar</w:t>
      </w:r>
      <w:proofErr w:type="gramEnd"/>
      <w:r w:rsidRPr="00D82F50">
        <w:t xml:space="preserve"> and which were making it into Prestbury homes.</w:t>
      </w:r>
    </w:p>
    <w:p w14:paraId="63612C62" w14:textId="69A86919" w:rsidR="00D82F50" w:rsidRPr="00D82F50" w:rsidRDefault="00D82F50" w:rsidP="00D82F50">
      <w:pPr>
        <w:spacing w:after="0" w:line="480" w:lineRule="auto"/>
        <w:ind w:firstLine="720"/>
        <w:jc w:val="both"/>
      </w:pPr>
      <w:r w:rsidRPr="00D82F50">
        <w:t xml:space="preserve">Eleven Prestbury inventories describe </w:t>
      </w:r>
      <w:proofErr w:type="spellStart"/>
      <w:r w:rsidRPr="00D82F50">
        <w:t>Ticknall</w:t>
      </w:r>
      <w:proofErr w:type="spellEnd"/>
      <w:r w:rsidRPr="00D82F50">
        <w:t xml:space="preserve"> ware, rendered variously as ‘</w:t>
      </w:r>
      <w:proofErr w:type="spellStart"/>
      <w:r w:rsidRPr="00D82F50">
        <w:t>tirkney</w:t>
      </w:r>
      <w:proofErr w:type="spellEnd"/>
      <w:r w:rsidRPr="00D82F50">
        <w:t xml:space="preserve"> ware’, ‘</w:t>
      </w:r>
      <w:proofErr w:type="spellStart"/>
      <w:r w:rsidRPr="00D82F50">
        <w:t>ticknor</w:t>
      </w:r>
      <w:proofErr w:type="spellEnd"/>
      <w:r w:rsidRPr="00D82F50">
        <w:t xml:space="preserve"> ware’ and ‘</w:t>
      </w:r>
      <w:proofErr w:type="spellStart"/>
      <w:r w:rsidRPr="00D82F50">
        <w:t>tigney</w:t>
      </w:r>
      <w:proofErr w:type="spellEnd"/>
      <w:r w:rsidRPr="00D82F50">
        <w:t xml:space="preserve"> ware’ by appraisers. Produced in the town of </w:t>
      </w:r>
      <w:proofErr w:type="spellStart"/>
      <w:r w:rsidRPr="00D82F50">
        <w:t>Ticknall</w:t>
      </w:r>
      <w:proofErr w:type="spellEnd"/>
      <w:r w:rsidRPr="00D82F50">
        <w:t>, Derbyshire, from the late</w:t>
      </w:r>
      <w:r w:rsidR="00316A8E">
        <w:t>-</w:t>
      </w:r>
      <w:r w:rsidRPr="00D82F50">
        <w:t xml:space="preserve">fifteenth century onwards, </w:t>
      </w:r>
      <w:proofErr w:type="spellStart"/>
      <w:r w:rsidRPr="00D82F50">
        <w:t>Ticknall</w:t>
      </w:r>
      <w:proofErr w:type="spellEnd"/>
      <w:r w:rsidRPr="00D82F50">
        <w:t xml:space="preserve"> ware was transported throughout the midlands as far as southern Lancashire to the north, and Oxfordshire to the </w:t>
      </w:r>
      <w:r w:rsidRPr="00D82F50">
        <w:lastRenderedPageBreak/>
        <w:t>south.</w:t>
      </w:r>
      <w:r w:rsidRPr="00D82F50">
        <w:rPr>
          <w:vertAlign w:val="superscript"/>
        </w:rPr>
        <w:footnoteReference w:id="731"/>
      </w:r>
      <w:r w:rsidRPr="00D82F50">
        <w:t xml:space="preserve"> Janet </w:t>
      </w:r>
      <w:proofErr w:type="spellStart"/>
      <w:r w:rsidRPr="00D82F50">
        <w:t>Spavold</w:t>
      </w:r>
      <w:proofErr w:type="spellEnd"/>
      <w:r w:rsidRPr="00D82F50">
        <w:t xml:space="preserve"> and Sue Brown have traced seventeenth-century sales of </w:t>
      </w:r>
      <w:proofErr w:type="spellStart"/>
      <w:r w:rsidRPr="00D82F50">
        <w:t>Ticknall</w:t>
      </w:r>
      <w:proofErr w:type="spellEnd"/>
      <w:r w:rsidRPr="00D82F50">
        <w:t xml:space="preserve"> goods at Leek, a market town just seven miles from the southern edge of Prestbury parish.</w:t>
      </w:r>
      <w:r w:rsidRPr="00D82F50">
        <w:rPr>
          <w:vertAlign w:val="superscript"/>
        </w:rPr>
        <w:footnoteReference w:id="732"/>
      </w:r>
      <w:r w:rsidRPr="00D82F50">
        <w:t xml:space="preserve"> </w:t>
      </w:r>
      <w:proofErr w:type="spellStart"/>
      <w:r w:rsidRPr="00D82F50">
        <w:t>Ticknall</w:t>
      </w:r>
      <w:proofErr w:type="spellEnd"/>
      <w:r w:rsidRPr="00D82F50">
        <w:t xml:space="preserve"> pots appeared in Randle Holme’s </w:t>
      </w:r>
      <w:r w:rsidRPr="00D82F50">
        <w:rPr>
          <w:i/>
          <w:iCs/>
        </w:rPr>
        <w:t>Academy of Armoury</w:t>
      </w:r>
      <w:r w:rsidRPr="00D82F50">
        <w:t xml:space="preserve"> in 1688, described as ‘earthen </w:t>
      </w:r>
      <w:proofErr w:type="spellStart"/>
      <w:r w:rsidRPr="00D82F50">
        <w:t>weare</w:t>
      </w:r>
      <w:proofErr w:type="spellEnd"/>
      <w:r w:rsidRPr="00D82F50">
        <w:t xml:space="preserve"> called </w:t>
      </w:r>
      <w:proofErr w:type="spellStart"/>
      <w:r w:rsidRPr="00D82F50">
        <w:t>Tickney</w:t>
      </w:r>
      <w:proofErr w:type="spellEnd"/>
      <w:r w:rsidRPr="00D82F50">
        <w:t xml:space="preserve"> ware’, but Holme captured </w:t>
      </w:r>
      <w:proofErr w:type="spellStart"/>
      <w:r w:rsidRPr="00D82F50">
        <w:t>Ticknall</w:t>
      </w:r>
      <w:proofErr w:type="spellEnd"/>
      <w:r w:rsidRPr="00D82F50">
        <w:t xml:space="preserve"> at the beginning of its decline: although industry was booming in the mid-1600s, production was eclipsed by the more famous Staffordshire potteries thereafter.</w:t>
      </w:r>
      <w:r w:rsidRPr="00D82F50">
        <w:rPr>
          <w:vertAlign w:val="superscript"/>
        </w:rPr>
        <w:footnoteReference w:id="733"/>
      </w:r>
      <w:r w:rsidRPr="00D82F50">
        <w:t xml:space="preserve"> The Prestbury inventories reflect this pattern, with all 11 references to </w:t>
      </w:r>
      <w:proofErr w:type="spellStart"/>
      <w:r w:rsidRPr="00D82F50">
        <w:t>Ticknall</w:t>
      </w:r>
      <w:proofErr w:type="spellEnd"/>
      <w:r w:rsidRPr="00D82F50">
        <w:t xml:space="preserve"> ware occurring between 1667 and 1706, citing goods purchased in the preceding decades. Although Prestbury was less than 50 miles from </w:t>
      </w:r>
      <w:proofErr w:type="spellStart"/>
      <w:r w:rsidRPr="00D82F50">
        <w:t>Ticknall</w:t>
      </w:r>
      <w:proofErr w:type="spellEnd"/>
      <w:r w:rsidRPr="00D82F50">
        <w:t xml:space="preserve">, as </w:t>
      </w:r>
      <w:proofErr w:type="spellStart"/>
      <w:r w:rsidRPr="00D82F50">
        <w:t>Ticknall’s</w:t>
      </w:r>
      <w:proofErr w:type="spellEnd"/>
      <w:r w:rsidRPr="00D82F50">
        <w:t xml:space="preserve"> potteries were superseded, local trading relationships appear to have suffered.</w:t>
      </w:r>
    </w:p>
    <w:p w14:paraId="21F08BBD" w14:textId="2F13B1F3" w:rsidR="00D82F50" w:rsidRPr="00D82F50" w:rsidRDefault="00D82F50" w:rsidP="00D82F50">
      <w:pPr>
        <w:spacing w:after="0" w:line="480" w:lineRule="auto"/>
        <w:ind w:firstLine="720"/>
        <w:jc w:val="both"/>
      </w:pPr>
      <w:proofErr w:type="spellStart"/>
      <w:r w:rsidRPr="00D82F50">
        <w:t>Burslem</w:t>
      </w:r>
      <w:proofErr w:type="spellEnd"/>
      <w:r w:rsidRPr="00D82F50">
        <w:t xml:space="preserve"> was a key centre among the north Staffordshire potteries outvying </w:t>
      </w:r>
      <w:proofErr w:type="spellStart"/>
      <w:r w:rsidRPr="00D82F50">
        <w:t>Ticknall’s</w:t>
      </w:r>
      <w:proofErr w:type="spellEnd"/>
      <w:r w:rsidRPr="00D82F50">
        <w:t xml:space="preserve"> production, and it became a thriving hub in the late</w:t>
      </w:r>
      <w:r w:rsidR="00316A8E">
        <w:t>-</w:t>
      </w:r>
      <w:r w:rsidRPr="00D82F50">
        <w:t>seventeenth and early</w:t>
      </w:r>
      <w:r w:rsidR="00316A8E">
        <w:t>-</w:t>
      </w:r>
      <w:r w:rsidRPr="00D82F50">
        <w:t xml:space="preserve">eighteenth centuries. When </w:t>
      </w:r>
      <w:proofErr w:type="spellStart"/>
      <w:r w:rsidRPr="00D82F50">
        <w:t>Burslem</w:t>
      </w:r>
      <w:proofErr w:type="spellEnd"/>
      <w:r w:rsidRPr="00D82F50">
        <w:t xml:space="preserve"> pots appeared in a Prestbury inventory in 1729 – belonging to Sutton husbandman John Wilkinson – they were being distributed nationally and were even part of colonial exports to North America and the Caribbean.</w:t>
      </w:r>
      <w:r w:rsidRPr="00D82F50">
        <w:rPr>
          <w:vertAlign w:val="superscript"/>
        </w:rPr>
        <w:footnoteReference w:id="734"/>
      </w:r>
      <w:r w:rsidRPr="00D82F50">
        <w:t xml:space="preserve"> Two streams of goods were produced: those for a ‘local’ market, comprising ‘coarse’ kitchen wares; and higher quality products for a middling market also stretching further afield.</w:t>
      </w:r>
      <w:r w:rsidRPr="00D82F50">
        <w:rPr>
          <w:vertAlign w:val="superscript"/>
        </w:rPr>
        <w:footnoteReference w:id="735"/>
      </w:r>
      <w:r w:rsidRPr="00D82F50">
        <w:t xml:space="preserve"> Weatherill suggests that the ‘local’ market for </w:t>
      </w:r>
      <w:proofErr w:type="spellStart"/>
      <w:r w:rsidRPr="00D82F50">
        <w:t>Burslem</w:t>
      </w:r>
      <w:proofErr w:type="spellEnd"/>
      <w:r w:rsidRPr="00D82F50">
        <w:t xml:space="preserve"> extended just north of the Staffordshire-Cheshire border – roughly </w:t>
      </w:r>
      <w:r w:rsidRPr="00D82F50">
        <w:lastRenderedPageBreak/>
        <w:t>five miles south of Wilkinson’s home in Sutton – but without further detail it is unknowable whether his pottery was the coarser or more up-market type.</w:t>
      </w:r>
      <w:r w:rsidRPr="00D82F50">
        <w:rPr>
          <w:vertAlign w:val="superscript"/>
        </w:rPr>
        <w:footnoteReference w:id="736"/>
      </w:r>
      <w:r w:rsidRPr="00D82F50">
        <w:t xml:space="preserve"> It is possible that not all earthenware in testators’ homes was from either </w:t>
      </w:r>
      <w:proofErr w:type="spellStart"/>
      <w:r w:rsidRPr="00D82F50">
        <w:t>Burslem</w:t>
      </w:r>
      <w:proofErr w:type="spellEnd"/>
      <w:r w:rsidRPr="00D82F50">
        <w:t xml:space="preserve"> or </w:t>
      </w:r>
      <w:proofErr w:type="spellStart"/>
      <w:r w:rsidRPr="00D82F50">
        <w:t>Ticknall</w:t>
      </w:r>
      <w:proofErr w:type="spellEnd"/>
      <w:r w:rsidRPr="00D82F50">
        <w:t xml:space="preserve"> as stated by appraisers, and that when used these terms described a majority of goods or were even implemented in the way a modern consumer might name goods through reference to brands as a by-word for other objects of the same type. In any case, appraisers’ familiarity with these types of pottery and terms, and that their timing reflects known shifts in production, demonstrates the market with which Prestbury testators had contact, able to access and purchase newly available goods as they were being developed. The absence of comparable phrases in Bolton-le-Sands may indicate a lack of exposure to these shifts in market goods.</w:t>
      </w:r>
    </w:p>
    <w:p w14:paraId="242D86DC" w14:textId="5417685E" w:rsidR="00D82F50" w:rsidRPr="00D82F50" w:rsidRDefault="00D82F50" w:rsidP="00D82F50">
      <w:pPr>
        <w:spacing w:after="0" w:line="480" w:lineRule="auto"/>
        <w:ind w:firstLine="720"/>
        <w:jc w:val="both"/>
      </w:pPr>
      <w:proofErr w:type="spellStart"/>
      <w:r w:rsidRPr="00D82F50">
        <w:t>Burslem</w:t>
      </w:r>
      <w:proofErr w:type="spellEnd"/>
      <w:r w:rsidRPr="00D82F50">
        <w:t xml:space="preserve"> was also a centre for ‘white ware’ – referenced in four Prestbury inventories. Dependent on imported white Dorset clay, however, </w:t>
      </w:r>
      <w:proofErr w:type="spellStart"/>
      <w:r w:rsidRPr="00D82F50">
        <w:t>Burslem</w:t>
      </w:r>
      <w:proofErr w:type="spellEnd"/>
      <w:r w:rsidRPr="00D82F50">
        <w:t xml:space="preserve"> white ware production only commenced from the 1730s onwards, and as three of the four Prestbury references date from 1710 and earlier, these products were likely not </w:t>
      </w:r>
      <w:proofErr w:type="spellStart"/>
      <w:r w:rsidRPr="00D82F50">
        <w:t>Burslem</w:t>
      </w:r>
      <w:proofErr w:type="spellEnd"/>
      <w:r w:rsidRPr="00D82F50">
        <w:t>-made.</w:t>
      </w:r>
      <w:r w:rsidRPr="00D82F50">
        <w:rPr>
          <w:vertAlign w:val="superscript"/>
        </w:rPr>
        <w:footnoteReference w:id="737"/>
      </w:r>
      <w:r w:rsidRPr="00D82F50">
        <w:t xml:space="preserve"> In addition to earthen wares produced from white clay, ‘white ware’ also referred to tin-glazed white earthenware, mainly produced in larger towns and cities.</w:t>
      </w:r>
      <w:r w:rsidRPr="00D82F50">
        <w:rPr>
          <w:vertAlign w:val="superscript"/>
        </w:rPr>
        <w:footnoteReference w:id="738"/>
      </w:r>
      <w:r w:rsidRPr="00D82F50">
        <w:t xml:space="preserve"> These urban centres were the primary markets for their own goods, and</w:t>
      </w:r>
      <w:r w:rsidR="009E7446">
        <w:t xml:space="preserve"> </w:t>
      </w:r>
      <w:r w:rsidR="009E7446" w:rsidRPr="00D82F50">
        <w:t xml:space="preserve">Weatherill </w:t>
      </w:r>
      <w:r w:rsidR="009E7446">
        <w:t xml:space="preserve">and </w:t>
      </w:r>
      <w:r w:rsidRPr="00D82F50">
        <w:t>Rhoda Edwards have commented that only the gentry and ‘trading classes’ from the provinces would have been regularly purchasing products from these hubs.</w:t>
      </w:r>
      <w:r w:rsidRPr="00D82F50">
        <w:rPr>
          <w:vertAlign w:val="superscript"/>
        </w:rPr>
        <w:footnoteReference w:id="739"/>
      </w:r>
      <w:r w:rsidRPr="00D82F50">
        <w:t xml:space="preserve"> The four Prestbury inventories citing white wares largely confirm Edwards and </w:t>
      </w:r>
      <w:proofErr w:type="spellStart"/>
      <w:r w:rsidRPr="00D82F50">
        <w:t>Weathrill’s</w:t>
      </w:r>
      <w:proofErr w:type="spellEnd"/>
      <w:r w:rsidRPr="00D82F50">
        <w:t xml:space="preserve"> arguments, given that two belonged to tradesmen and one to a tradesman’s widow. The use of room grouping and collective terms like ‘earthenware’ was undoubtedly </w:t>
      </w:r>
      <w:r w:rsidRPr="00D82F50">
        <w:lastRenderedPageBreak/>
        <w:t xml:space="preserve">an issue in both case study areas – and more so in Bolton-le-Sands – and true ownership levels have been obfuscated by these practices. Nevertheless, the glimpses of </w:t>
      </w:r>
      <w:proofErr w:type="spellStart"/>
      <w:r w:rsidRPr="00D82F50">
        <w:t>Ticknall</w:t>
      </w:r>
      <w:proofErr w:type="spellEnd"/>
      <w:r w:rsidRPr="00D82F50">
        <w:t xml:space="preserve">, </w:t>
      </w:r>
      <w:proofErr w:type="spellStart"/>
      <w:r w:rsidRPr="00D82F50">
        <w:t>Burslem</w:t>
      </w:r>
      <w:proofErr w:type="spellEnd"/>
      <w:r w:rsidRPr="00D82F50">
        <w:t xml:space="preserve"> and white ware goods in Prestbury parish are hugely telling. Even without knowledge of the exact quality of these products, together they reveal an area in contact with markets of national and international significance, exposed to cosmopolitan tastes. The variety of pottery goods present in some Prestbury homes – and recognised by local appraisers – represents a tangible distinction between the two case study areas, revealing differences in consumption practices, standards of living, and the pace of change.</w:t>
      </w:r>
    </w:p>
    <w:p w14:paraId="019B7E6B" w14:textId="77777777" w:rsidR="00D82F50" w:rsidRPr="00D82F50" w:rsidRDefault="00D82F50" w:rsidP="00D82F50">
      <w:pPr>
        <w:spacing w:after="0" w:line="480" w:lineRule="auto"/>
        <w:ind w:firstLine="720"/>
        <w:jc w:val="both"/>
      </w:pPr>
      <w:r w:rsidRPr="00D82F50">
        <w:t>Examining wills and inventories is a useful tool for understanding the material worlds inhabited by those living in Bolton-le-Sands and Prestbury parish townships. Probate documents open a window into the way in which the areas differed, creating and consistently reinforcing a view of Prestbury homes as more densely furnished and equipped with a wider range of goods. These goods spanned cooking, eating and drinking wares, and encompassed textiles as well as larger items of furniture. Notably, for all their many shades of difference, these documents do not reveal any fundamental oppositions between the two areas. Levels of silverware were similarly low in both, and though numbers of new goods like pictures, looking glasses and clocks were higher in Prestbury, they were by no means present across the board. Testators in Bolton-le-Sands and Prestbury were different by degrees and by access rather than in any fundamental outlook, too: in neither area do they appear to have been using their resources to ape the nobility, instead opting to improve their comfort and situation through purchasing a higher number and wider range of specialised (and aesthetically appealing) furnishings and household goods.</w:t>
      </w:r>
      <w:r w:rsidRPr="00D82F50">
        <w:rPr>
          <w:vertAlign w:val="superscript"/>
        </w:rPr>
        <w:footnoteReference w:id="740"/>
      </w:r>
      <w:r w:rsidRPr="00D82F50">
        <w:t xml:space="preserve"> As a result, Prestbury emerges as a community </w:t>
      </w:r>
      <w:r w:rsidRPr="00D82F50">
        <w:lastRenderedPageBreak/>
        <w:t>not fundamentally different to Bolton-le-Sands, but one with a more rapidly increasing standard of living, undoubtedly better connected to national markets and shifting trends. The following sections will explore the relationship of this situation to inscription practices.</w:t>
      </w:r>
    </w:p>
    <w:p w14:paraId="454D6FD7" w14:textId="77777777" w:rsidR="00D82F50" w:rsidRPr="00D82F50" w:rsidRDefault="00D82F50" w:rsidP="00D82F50">
      <w:pPr>
        <w:spacing w:after="0" w:line="480" w:lineRule="auto"/>
        <w:ind w:firstLine="720"/>
        <w:jc w:val="both"/>
        <w:rPr>
          <w:b/>
          <w:bCs/>
        </w:rPr>
      </w:pPr>
    </w:p>
    <w:p w14:paraId="46C861F3" w14:textId="38534DC6" w:rsidR="00D82F50" w:rsidRPr="00D82F50" w:rsidRDefault="00BC436D" w:rsidP="00D82F50">
      <w:pPr>
        <w:spacing w:after="0" w:line="480" w:lineRule="auto"/>
        <w:jc w:val="both"/>
        <w:rPr>
          <w:b/>
          <w:bCs/>
        </w:rPr>
      </w:pPr>
      <w:r>
        <w:rPr>
          <w:b/>
          <w:bCs/>
        </w:rPr>
        <w:t>Personal Property:</w:t>
      </w:r>
      <w:r w:rsidR="00D82F50" w:rsidRPr="00D82F50">
        <w:rPr>
          <w:b/>
          <w:bCs/>
        </w:rPr>
        <w:t xml:space="preserve"> Inscriptions </w:t>
      </w:r>
      <w:r>
        <w:rPr>
          <w:b/>
          <w:bCs/>
        </w:rPr>
        <w:t>w</w:t>
      </w:r>
      <w:r w:rsidR="00D82F50" w:rsidRPr="00D82F50">
        <w:rPr>
          <w:b/>
          <w:bCs/>
        </w:rPr>
        <w:t>ithin the Home</w:t>
      </w:r>
    </w:p>
    <w:p w14:paraId="10627A3A" w14:textId="1857E20C" w:rsidR="00D82F50" w:rsidRPr="00D82F50" w:rsidRDefault="00D82F50" w:rsidP="00D82F50">
      <w:pPr>
        <w:spacing w:after="0" w:line="480" w:lineRule="auto"/>
        <w:ind w:firstLine="720"/>
        <w:jc w:val="both"/>
        <w:rPr>
          <w:b/>
          <w:bCs/>
        </w:rPr>
      </w:pPr>
      <w:r w:rsidRPr="00D82F50">
        <w:t xml:space="preserve">Amongst the many objects owned by testators and other householders in Bolton-le-Sands and Prestbury parishes, inscriptions were undoubtedly present. Unfortunately, wills and inventories do not provide an exact mirror to </w:t>
      </w:r>
      <w:proofErr w:type="gramStart"/>
      <w:r w:rsidRPr="00D82F50">
        <w:t>possessions, and</w:t>
      </w:r>
      <w:proofErr w:type="gramEnd"/>
      <w:r w:rsidRPr="00D82F50">
        <w:t xml:space="preserve"> regularly contain silences. Appraisers provided varying levels of detail, as charted above, referencing objects using only one or two adjectives, if at all. Nonetheless, inscription was common throughout early modern England, and though goods varied in their distribution and designs, inscriptions upon homes in Bolton-le-Sands and Prestbury are a strong indicator that personalised inscribed goods were also present within these communities. This section uses scant documentary evidence to reconstruct</w:t>
      </w:r>
      <w:r w:rsidR="00DE51D0">
        <w:t xml:space="preserve"> potential</w:t>
      </w:r>
      <w:r w:rsidRPr="00D82F50">
        <w:t xml:space="preserve"> inscription practices upon such goods in both case study areas. Surviving instances of inscriptions are also used – some of which are present in case study homes – and are charted and contextualised through reference to documentary and written sources to better understand their meanings. Comparison with other contemporary sources – both written and material – has been used to develop this picture further and to theorise what else may have been present within these case study homes. </w:t>
      </w:r>
      <w:r w:rsidR="00A7044D">
        <w:t>The picture t</w:t>
      </w:r>
      <w:r w:rsidR="009455BD">
        <w:t>hat</w:t>
      </w:r>
      <w:r w:rsidR="00344E2A">
        <w:t xml:space="preserve"> emerge</w:t>
      </w:r>
      <w:r w:rsidR="009455BD">
        <w:t>s</w:t>
      </w:r>
      <w:r w:rsidR="00344E2A">
        <w:t xml:space="preserve"> suggests</w:t>
      </w:r>
      <w:r w:rsidRPr="00D82F50">
        <w:t xml:space="preserve"> that inscription</w:t>
      </w:r>
      <w:r w:rsidR="000F0972">
        <w:t>s</w:t>
      </w:r>
      <w:r w:rsidRPr="00D82F50">
        <w:t xml:space="preserve"> served dual emotional and practical purposes in the early modern home, used by householders to shape both their own perceptions of themselves and the ways in which they were perceived and understood by others.</w:t>
      </w:r>
    </w:p>
    <w:p w14:paraId="2CF7B978" w14:textId="195AF5DA" w:rsidR="00D82F50" w:rsidRPr="00D82F50" w:rsidRDefault="00D82F50" w:rsidP="00D82F50">
      <w:pPr>
        <w:spacing w:after="0" w:line="480" w:lineRule="auto"/>
        <w:ind w:firstLine="720"/>
        <w:jc w:val="both"/>
      </w:pPr>
      <w:r w:rsidRPr="00D82F50">
        <w:t>Amidst more opaque references to different household ‘</w:t>
      </w:r>
      <w:proofErr w:type="gramStart"/>
      <w:r w:rsidRPr="00D82F50">
        <w:t>wares’</w:t>
      </w:r>
      <w:proofErr w:type="gramEnd"/>
      <w:r w:rsidRPr="00D82F50">
        <w:t xml:space="preserve"> and furniture, some highly personal objects can be found in case study inventories. Compared with other local </w:t>
      </w:r>
      <w:r w:rsidRPr="00D82F50">
        <w:lastRenderedPageBreak/>
        <w:t xml:space="preserve">documents, the list drawn up on the death of Sutton widow </w:t>
      </w:r>
      <w:proofErr w:type="spellStart"/>
      <w:r w:rsidRPr="00D82F50">
        <w:t>Alsant</w:t>
      </w:r>
      <w:proofErr w:type="spellEnd"/>
      <w:r w:rsidRPr="00D82F50">
        <w:t xml:space="preserve"> Hulme in 1731 is especially detailed.</w:t>
      </w:r>
      <w:r w:rsidRPr="00D82F50">
        <w:rPr>
          <w:vertAlign w:val="superscript"/>
        </w:rPr>
        <w:footnoteReference w:id="741"/>
      </w:r>
      <w:r w:rsidRPr="00D82F50">
        <w:t xml:space="preserve"> Only three inventories in the full sample itemise any clothing (in-keeping with wider findings from across early modern England), yet Hulme’s references several different items including a cloak, </w:t>
      </w:r>
      <w:proofErr w:type="spellStart"/>
      <w:r w:rsidRPr="00D82F50">
        <w:t>caphood</w:t>
      </w:r>
      <w:proofErr w:type="spellEnd"/>
      <w:r w:rsidRPr="00D82F50">
        <w:t>, petticoats, waistcoats and linen undergarments.</w:t>
      </w:r>
      <w:r w:rsidRPr="00D82F50">
        <w:rPr>
          <w:vertAlign w:val="superscript"/>
        </w:rPr>
        <w:footnoteReference w:id="742"/>
      </w:r>
      <w:r w:rsidRPr="00D82F50">
        <w:t xml:space="preserve"> Hulme’s inventory is also unique in referencing a ‘tobacco box’.</w:t>
      </w:r>
      <w:r w:rsidRPr="00D82F50">
        <w:rPr>
          <w:vertAlign w:val="superscript"/>
        </w:rPr>
        <w:footnoteReference w:id="743"/>
      </w:r>
      <w:r w:rsidRPr="00D82F50">
        <w:t xml:space="preserve"> These highly personal objects were often absent from testamentary documents, having either been gifted to friends and family during the testator’s life or excluded by appraisers as a result of their diminutive size.</w:t>
      </w:r>
    </w:p>
    <w:p w14:paraId="3693057D" w14:textId="77777777" w:rsidR="00D82F50" w:rsidRPr="00D82F50" w:rsidRDefault="00D82F50" w:rsidP="00D82F50">
      <w:pPr>
        <w:spacing w:after="0" w:line="480" w:lineRule="auto"/>
        <w:ind w:firstLine="720"/>
        <w:jc w:val="both"/>
      </w:pPr>
      <w:r w:rsidRPr="00D82F50">
        <w:t>Tobacco paraphernalia was by no means rare, however, and ownership levels in Bolton-le-Sands and Prestbury parish were likely significantly higher than documents suggest. While tobacco boxes were increasingly owned from the 1650s onwards and snuff was widely embraced later in the century, by the 1720s both forms of tobacco-taking transcended different social levels and were a ubiquitous feature of lower and middling sort life across Europe and colonial British America.</w:t>
      </w:r>
      <w:r w:rsidRPr="00D82F50">
        <w:rPr>
          <w:vertAlign w:val="superscript"/>
        </w:rPr>
        <w:footnoteReference w:id="744"/>
      </w:r>
      <w:r w:rsidRPr="00D82F50">
        <w:t xml:space="preserve"> Angela McShane has noted that boxes like Hulme’s were considered ‘a vital accessory for any man or woman of real or aspirational fashion – whether they used tobacco or not’.</w:t>
      </w:r>
      <w:r w:rsidRPr="00D82F50">
        <w:rPr>
          <w:vertAlign w:val="superscript"/>
        </w:rPr>
        <w:footnoteReference w:id="745"/>
      </w:r>
      <w:r w:rsidRPr="00D82F50">
        <w:t xml:space="preserve"> Within the top quintile of the sample in terms of assessed wealth, possessing over £156 at her death (she was 16</w:t>
      </w:r>
      <w:r w:rsidRPr="00D82F50">
        <w:rPr>
          <w:vertAlign w:val="superscript"/>
        </w:rPr>
        <w:t>th</w:t>
      </w:r>
      <w:r w:rsidRPr="00D82F50">
        <w:t xml:space="preserve"> wealthiest across 99 inventories), Hulme was likely not the only testator in possession of tobacco goods. </w:t>
      </w:r>
      <w:proofErr w:type="gramStart"/>
      <w:r w:rsidRPr="00D82F50">
        <w:t>In spite of</w:t>
      </w:r>
      <w:proofErr w:type="gramEnd"/>
      <w:r w:rsidRPr="00D82F50">
        <w:t xml:space="preserve"> the detail they applied to her effects, Hulme’s appraisers neglected to mention the form, decoration, or material comprising the tobacco box. It is listed amongst a haphazard group, </w:t>
      </w:r>
      <w:r w:rsidRPr="00D82F50">
        <w:lastRenderedPageBreak/>
        <w:t xml:space="preserve">containing a ‘lanthorn Shelves 3 Cushions </w:t>
      </w:r>
      <w:proofErr w:type="spellStart"/>
      <w:r w:rsidRPr="00D82F50">
        <w:t>trowell</w:t>
      </w:r>
      <w:proofErr w:type="spellEnd"/>
      <w:r w:rsidRPr="00D82F50">
        <w:t xml:space="preserve"> &amp; tobacco box’.</w:t>
      </w:r>
      <w:r w:rsidRPr="00D82F50">
        <w:rPr>
          <w:vertAlign w:val="superscript"/>
        </w:rPr>
        <w:footnoteReference w:id="746"/>
      </w:r>
      <w:r w:rsidRPr="00D82F50">
        <w:t xml:space="preserve"> Valued collectively with these goods at 3 shillings and 10 pence, Hulme’s box was considerably cheaper than the silver tobacco box owned by Somerset exciseman John Cannon, which in 1725 cost 12s 6d and was engraved with a Latin motto and his astrological nativity chart.</w:t>
      </w:r>
      <w:r w:rsidRPr="00D82F50">
        <w:rPr>
          <w:vertAlign w:val="superscript"/>
        </w:rPr>
        <w:footnoteReference w:id="747"/>
      </w:r>
    </w:p>
    <w:p w14:paraId="41465E88" w14:textId="77777777" w:rsidR="00D82F50" w:rsidRPr="00D82F50" w:rsidRDefault="00D82F50" w:rsidP="00D82F50">
      <w:pPr>
        <w:spacing w:after="0" w:line="480" w:lineRule="auto"/>
        <w:ind w:firstLine="720"/>
        <w:jc w:val="both"/>
      </w:pPr>
      <w:r w:rsidRPr="00D82F50">
        <w:t>Although Hulme’s box was not necessarily made from high-value materials, its design likely incorporated an inscription. Boxes could be incredibly expensive or more crude in form, but regardless of quality were consistently shaped and decorated in ways relevant to their owner.</w:t>
      </w:r>
      <w:r w:rsidRPr="00D82F50">
        <w:rPr>
          <w:vertAlign w:val="superscript"/>
        </w:rPr>
        <w:footnoteReference w:id="748"/>
      </w:r>
      <w:r w:rsidRPr="00D82F50">
        <w:t xml:space="preserve"> In addition to verses and imagery placed upon them in workshops, box designs featured cartouches specifically intended for the addition of initials, names, trades and dates – what McShane refers to as ‘routinized life writings’ that were markers of identity and connected the owner with specific moments in their life cycle.</w:t>
      </w:r>
      <w:r w:rsidRPr="00D82F50">
        <w:rPr>
          <w:vertAlign w:val="superscript"/>
        </w:rPr>
        <w:footnoteReference w:id="749"/>
      </w:r>
      <w:r w:rsidRPr="00D82F50">
        <w:t xml:space="preserve"> Documentary evidence purports an established trend for mutual ‘box-gifting’ between men and women, with a wealth of surviving objects carrying hearts, flowers, courtship scenes and love posies upon them, as well as pairs of initials.</w:t>
      </w:r>
      <w:r w:rsidRPr="00D82F50">
        <w:rPr>
          <w:vertAlign w:val="superscript"/>
        </w:rPr>
        <w:footnoteReference w:id="750"/>
      </w:r>
      <w:r w:rsidRPr="00D82F50">
        <w:t xml:space="preserve"> McShane and Edward Town have noted that whether gifted, inherited or purchased, the </w:t>
      </w:r>
      <w:proofErr w:type="spellStart"/>
      <w:r w:rsidRPr="00D82F50">
        <w:t>reinscription</w:t>
      </w:r>
      <w:proofErr w:type="spellEnd"/>
      <w:r w:rsidRPr="00D82F50">
        <w:t xml:space="preserve"> of second-hand boxes was common across the social spectrum, suggesting a widespread appreciation for the emotional dimensions of these objects and the attention paid to the words present upon them.</w:t>
      </w:r>
      <w:r w:rsidRPr="00D82F50">
        <w:rPr>
          <w:vertAlign w:val="superscript"/>
        </w:rPr>
        <w:footnoteReference w:id="751"/>
      </w:r>
    </w:p>
    <w:p w14:paraId="43A5643E" w14:textId="77777777" w:rsidR="00D82F50" w:rsidRPr="00D82F50" w:rsidRDefault="00D82F50" w:rsidP="00D82F50">
      <w:pPr>
        <w:spacing w:after="0" w:line="480" w:lineRule="auto"/>
        <w:ind w:firstLine="720"/>
        <w:jc w:val="both"/>
      </w:pPr>
      <w:r w:rsidRPr="00D82F50">
        <w:t xml:space="preserve">Tobacco boxes like Hulme’s were often kept in pockets, carried close to the body by men and women alike. Their inscriptions were highly personal, often identifying the owner </w:t>
      </w:r>
      <w:r w:rsidRPr="00D82F50">
        <w:lastRenderedPageBreak/>
        <w:t xml:space="preserve">themselves or featuring words added by loved ones. The wearing of words </w:t>
      </w:r>
      <w:proofErr w:type="gramStart"/>
      <w:r w:rsidRPr="00D82F50">
        <w:t>in close proximity to</w:t>
      </w:r>
      <w:proofErr w:type="gramEnd"/>
      <w:r w:rsidRPr="00D82F50">
        <w:t xml:space="preserve"> the flesh was visibly a priority in early modern jewellery, too, and although no rings, necklaces or bracelets are described in Bolton-le-Sands and Prestbury parish documents, examining the use of these objects offers important insight into the relationship between personal possessions and inscriptions in contemporary society. In addition to tobacco- and </w:t>
      </w:r>
      <w:proofErr w:type="gramStart"/>
      <w:r w:rsidRPr="00D82F50">
        <w:t>snuff-boxes</w:t>
      </w:r>
      <w:proofErr w:type="gramEnd"/>
      <w:r w:rsidRPr="00D82F50">
        <w:t>, which were common love tokens given during courtship or in commemoration of marriage, posy rings performed a similar function. Often inscribed on their inner band, they pressed words against the skin of the wearer, in an attempt – as Juliet Fleming has argued –  to bridge the interface between the material and spiritual.</w:t>
      </w:r>
      <w:r w:rsidRPr="00D82F50">
        <w:rPr>
          <w:vertAlign w:val="superscript"/>
        </w:rPr>
        <w:footnoteReference w:id="752"/>
      </w:r>
      <w:r w:rsidRPr="00D82F50">
        <w:t xml:space="preserve"> One example from the Victoria and Albert Museum features the Latin engraving </w:t>
      </w:r>
      <w:r w:rsidRPr="00D82F50">
        <w:rPr>
          <w:i/>
          <w:iCs/>
        </w:rPr>
        <w:t>TIME·DEVM·ET·ME·AMA·QD</w:t>
      </w:r>
      <w:r w:rsidRPr="00D82F50">
        <w:t xml:space="preserve"> – ‘fear God and love me’ – alongside a triangle of three marriage initials, carved together into the inner surface of the ring.</w:t>
      </w:r>
      <w:r w:rsidRPr="00D82F50">
        <w:rPr>
          <w:vertAlign w:val="superscript"/>
        </w:rPr>
        <w:footnoteReference w:id="753"/>
      </w:r>
      <w:r w:rsidRPr="00D82F50">
        <w:t xml:space="preserve"> Posy rings offered a means of materialising emotion, and Fleming asserts that posy rings acted as both a ‘promise’ in themselves, and as a ‘material witness’ to promises made in speech, with the ring grounding an inscribed statement and verbal emotional ‘performance within its own material being’.</w:t>
      </w:r>
      <w:r w:rsidRPr="00D82F50">
        <w:rPr>
          <w:vertAlign w:val="superscript"/>
        </w:rPr>
        <w:footnoteReference w:id="754"/>
      </w:r>
    </w:p>
    <w:p w14:paraId="3B037A63" w14:textId="5AE5B1B0" w:rsidR="00D82F50" w:rsidRPr="00D82F50" w:rsidRDefault="00D82F50" w:rsidP="00D82F50">
      <w:pPr>
        <w:spacing w:after="0" w:line="480" w:lineRule="auto"/>
        <w:ind w:firstLine="720"/>
        <w:jc w:val="both"/>
      </w:pPr>
      <w:r w:rsidRPr="00D82F50">
        <w:t>Simultaneous with the development of the posy ring, the mid-seventeenth century saw the spread of the ‘memorial’ or ‘mourning ring’.</w:t>
      </w:r>
      <w:r w:rsidRPr="00D82F50">
        <w:rPr>
          <w:vertAlign w:val="superscript"/>
        </w:rPr>
        <w:footnoteReference w:id="755"/>
      </w:r>
      <w:r w:rsidRPr="00D82F50">
        <w:t xml:space="preserve"> Carrying initials or other inscriptions memorialising a lost individual, Diana Scarisbrick has argued that by the mid-1600s the earlier </w:t>
      </w:r>
      <w:r w:rsidRPr="00D82F50">
        <w:rPr>
          <w:i/>
          <w:iCs/>
        </w:rPr>
        <w:t xml:space="preserve">memento mori </w:t>
      </w:r>
      <w:r w:rsidRPr="00D82F50">
        <w:t xml:space="preserve">ring type, which focused on the ‘exhortation of godly living’ and contemplation </w:t>
      </w:r>
      <w:r w:rsidRPr="00D82F50">
        <w:lastRenderedPageBreak/>
        <w:t>of human mortality, had been transformed into the specific ‘memorial of individuals’.</w:t>
      </w:r>
      <w:r w:rsidRPr="00D82F50">
        <w:rPr>
          <w:vertAlign w:val="superscript"/>
        </w:rPr>
        <w:footnoteReference w:id="756"/>
      </w:r>
      <w:r w:rsidRPr="00D82F50">
        <w:t xml:space="preserve"> Financial provision for the creation of such jewellery was not uncommon among contemporary bequests, and Cara Sian Middlemass has demonstrated that specially purchased and customised rings became a ‘conventional testamentary token of regard – for those who could afford it’.</w:t>
      </w:r>
      <w:r w:rsidRPr="00D82F50">
        <w:rPr>
          <w:vertAlign w:val="superscript"/>
        </w:rPr>
        <w:footnoteReference w:id="757"/>
      </w:r>
      <w:r w:rsidRPr="00D82F50">
        <w:t xml:space="preserve"> Leaving his own jewellery to his son rather than commissioning a new ring, Yorkshire yeoman Nicholas Fenay made clear his intentions that his gold signet ring, engraved with his initials and the words </w:t>
      </w:r>
      <w:r w:rsidRPr="00D82F50">
        <w:rPr>
          <w:i/>
          <w:iCs/>
        </w:rPr>
        <w:t xml:space="preserve">Nosce </w:t>
      </w:r>
      <w:proofErr w:type="spellStart"/>
      <w:r w:rsidRPr="00D82F50">
        <w:rPr>
          <w:i/>
          <w:iCs/>
        </w:rPr>
        <w:t>te</w:t>
      </w:r>
      <w:proofErr w:type="spellEnd"/>
      <w:r w:rsidRPr="00D82F50">
        <w:rPr>
          <w:i/>
          <w:iCs/>
        </w:rPr>
        <w:t xml:space="preserve"> ipsum</w:t>
      </w:r>
      <w:r w:rsidRPr="00D82F50">
        <w:t xml:space="preserve"> meaning ‘know thyself’, should be given so ‘that my said son, William Fenay, in the often </w:t>
      </w:r>
      <w:proofErr w:type="spellStart"/>
      <w:r w:rsidRPr="00D82F50">
        <w:t>behouldinge</w:t>
      </w:r>
      <w:proofErr w:type="spellEnd"/>
      <w:r w:rsidRPr="00D82F50">
        <w:t xml:space="preserve"> and </w:t>
      </w:r>
      <w:proofErr w:type="spellStart"/>
      <w:r w:rsidRPr="00D82F50">
        <w:t>consideringe</w:t>
      </w:r>
      <w:proofErr w:type="spellEnd"/>
      <w:r w:rsidRPr="00D82F50">
        <w:t xml:space="preserve"> of that worthy </w:t>
      </w:r>
      <w:proofErr w:type="spellStart"/>
      <w:r w:rsidRPr="00D82F50">
        <w:t>poesye</w:t>
      </w:r>
      <w:proofErr w:type="spellEnd"/>
      <w:r w:rsidRPr="00D82F50">
        <w:t xml:space="preserve"> may be the better put in </w:t>
      </w:r>
      <w:proofErr w:type="spellStart"/>
      <w:r w:rsidRPr="00D82F50">
        <w:t>mynd</w:t>
      </w:r>
      <w:proofErr w:type="spellEnd"/>
      <w:r w:rsidRPr="00D82F50">
        <w:t xml:space="preserve"> of </w:t>
      </w:r>
      <w:proofErr w:type="spellStart"/>
      <w:r w:rsidRPr="00D82F50">
        <w:t>himselfe</w:t>
      </w:r>
      <w:proofErr w:type="spellEnd"/>
      <w:r w:rsidRPr="00D82F50">
        <w:t xml:space="preserve"> and of his estate’.</w:t>
      </w:r>
      <w:r w:rsidRPr="00D82F50">
        <w:rPr>
          <w:vertAlign w:val="superscript"/>
        </w:rPr>
        <w:footnoteReference w:id="758"/>
      </w:r>
      <w:r w:rsidRPr="00D82F50">
        <w:t xml:space="preserve"> Through the use of inscription, early modern jewellery was positioned as a means of consistently reactivating emotion, reminding the wearer of their status and duty when visible to them, and attempting to enact the words and actions spelled out as instructions when unseen, pressed against the surface of the skin. Although such objects are unmentioned in Bolton-le-Sands and Prestbury documents, they may </w:t>
      </w:r>
      <w:r w:rsidR="00B516DC">
        <w:t>well</w:t>
      </w:r>
      <w:r w:rsidRPr="00D82F50">
        <w:t xml:space="preserve"> have been present. People living in both areas were likely aware of these practices, within communities where inscription was evidently intimately connected with the commemoration of conjugal love and key life cycle events.</w:t>
      </w:r>
      <w:r w:rsidRPr="00D82F50">
        <w:rPr>
          <w:vertAlign w:val="superscript"/>
        </w:rPr>
        <w:footnoteReference w:id="759"/>
      </w:r>
    </w:p>
    <w:p w14:paraId="0F7AF5F8" w14:textId="77777777" w:rsidR="00D82F50" w:rsidRPr="00D82F50" w:rsidRDefault="00D82F50" w:rsidP="00D82F50">
      <w:pPr>
        <w:spacing w:after="0" w:line="480" w:lineRule="auto"/>
        <w:ind w:firstLine="720"/>
        <w:jc w:val="both"/>
      </w:pPr>
      <w:r w:rsidRPr="00D82F50">
        <w:t xml:space="preserve">Coins are scarcely itemised in early modern English inventories, and cash is routinely summarised as ‘money’ among the possessions of case study testators. Undoubtedly present within the home and in pouches and pockets held close to the body, however, coins (although not always those issued by the Royal Mint) were widespread in early modern England. </w:t>
      </w:r>
      <w:r w:rsidRPr="00D82F50">
        <w:lastRenderedPageBreak/>
        <w:t>Primarily among poorer groups, coins had a huge range of possibilities for personalisation, with low-cost keepsakes regularly created among the labouring classes by filing down and effacing existing coin designs and replacing them with new dedicatory inscriptions.</w:t>
      </w:r>
      <w:r w:rsidRPr="00D82F50">
        <w:rPr>
          <w:vertAlign w:val="superscript"/>
        </w:rPr>
        <w:footnoteReference w:id="760"/>
      </w:r>
      <w:r w:rsidRPr="00D82F50">
        <w:t xml:space="preserve"> Bridget Millmore has charted over 5,000 examples of love tokens produced in this way between 1700 and 1856, and has recorded a range of details upon them including initials, names, dates, events, occupations and locations, as well as mottoes and popular sayings.</w:t>
      </w:r>
      <w:r w:rsidRPr="00D82F50">
        <w:rPr>
          <w:vertAlign w:val="superscript"/>
        </w:rPr>
        <w:footnoteReference w:id="761"/>
      </w:r>
      <w:r w:rsidRPr="00D82F50">
        <w:t xml:space="preserve"> Such coins are almost invariably absent in testamentary and probate evidence, both too small and of too little economic value to be mentioned where possessions were appraised, but more significantly, often the only surviving trace of their makers and recipients.</w:t>
      </w:r>
    </w:p>
    <w:p w14:paraId="7B3AE1F0" w14:textId="5A61C994" w:rsidR="00D82F50" w:rsidRPr="00D82F50" w:rsidRDefault="00D82F50" w:rsidP="00D82F50">
      <w:pPr>
        <w:spacing w:after="0" w:line="480" w:lineRule="auto"/>
        <w:ind w:firstLine="720"/>
        <w:jc w:val="both"/>
      </w:pPr>
      <w:r w:rsidRPr="00D82F50">
        <w:t xml:space="preserve">Among coins used directly by wealthier Bolton-le-Sands and Prestbury testators, trade tokens would very likely have been present. Made in response to shortages in coinage, trade tokens were produced </w:t>
      </w:r>
      <w:proofErr w:type="spellStart"/>
      <w:r w:rsidRPr="00D82F50">
        <w:rPr>
          <w:i/>
          <w:iCs/>
        </w:rPr>
        <w:t>en</w:t>
      </w:r>
      <w:proofErr w:type="spellEnd"/>
      <w:r w:rsidRPr="00D82F50">
        <w:rPr>
          <w:i/>
          <w:iCs/>
        </w:rPr>
        <w:t xml:space="preserve"> masse</w:t>
      </w:r>
      <w:r w:rsidRPr="00D82F50">
        <w:t xml:space="preserve"> by shopkeepers and tradespeople across England. An estimated 12,000 different types of token were produced at the peak of production between 1648 and 1672, with c.3,500 originating in London.</w:t>
      </w:r>
      <w:r w:rsidRPr="00D82F50">
        <w:rPr>
          <w:vertAlign w:val="superscript"/>
        </w:rPr>
        <w:footnoteReference w:id="762"/>
      </w:r>
      <w:r w:rsidRPr="00D82F50">
        <w:t xml:space="preserve"> Though tokens could only be redeemed for royal currency with those who originally minted them, they travelled long distances and were in wide circulation throughout the country, routinely accepted and used as small change in goods exchanges.</w:t>
      </w:r>
      <w:r w:rsidRPr="00D82F50">
        <w:rPr>
          <w:vertAlign w:val="superscript"/>
        </w:rPr>
        <w:footnoteReference w:id="763"/>
      </w:r>
      <w:r w:rsidRPr="00D82F50">
        <w:t xml:space="preserve"> Marriage initials like those found upon homes in both case study areas (often referred to as ‘triads’ or ‘triplets’ by numismatists) were prominent among token designs, commemorating the husbands and wives who ran businesses together.</w:t>
      </w:r>
      <w:r w:rsidRPr="00D82F50">
        <w:rPr>
          <w:vertAlign w:val="superscript"/>
        </w:rPr>
        <w:footnoteReference w:id="764"/>
      </w:r>
      <w:r w:rsidRPr="00D82F50">
        <w:t xml:space="preserve"> </w:t>
      </w:r>
      <w:r w:rsidRPr="00D82F50">
        <w:lastRenderedPageBreak/>
        <w:t>Researching London, Idit Ben-Or has found that over half of coin types minted in the capital in the mid-seventeenth century included marriage initials.</w:t>
      </w:r>
      <w:r w:rsidRPr="00D82F50">
        <w:rPr>
          <w:vertAlign w:val="superscript"/>
        </w:rPr>
        <w:footnoteReference w:id="765"/>
      </w:r>
      <w:r w:rsidRPr="00D82F50">
        <w:t xml:space="preserve"> Similar proportions are reflected closer to case study areas: of the eight Lancaster coins that were minted between 1667 and 1670 and described in William Boyne’s three-volume trade token gazetteer, four featured marriage initials.</w:t>
      </w:r>
      <w:r w:rsidRPr="00D82F50">
        <w:rPr>
          <w:vertAlign w:val="superscript"/>
        </w:rPr>
        <w:footnoteReference w:id="766"/>
      </w:r>
      <w:r w:rsidRPr="00D82F50">
        <w:t xml:space="preserve"> Across the twenty-three coins Boyne recorded from the areas of Congleton, Knutsford, Macclesfield and Stockport – which all neighboured Prestbury – eight included marriage initials.</w:t>
      </w:r>
      <w:r w:rsidRPr="00D82F50">
        <w:rPr>
          <w:vertAlign w:val="superscript"/>
        </w:rPr>
        <w:footnoteReference w:id="767"/>
      </w:r>
      <w:r w:rsidRPr="00D82F50">
        <w:t xml:space="preserve"> Coins and trade tokens were a key part of daily life, kept close to the skin while in</w:t>
      </w:r>
      <w:r w:rsidR="00371074">
        <w:t xml:space="preserve"> the</w:t>
      </w:r>
      <w:r w:rsidRPr="00D82F50">
        <w:t xml:space="preserve"> possession of their temporary owner. Featuring sets of marriage initials, they reflected wider cultural trends and means of </w:t>
      </w:r>
      <w:proofErr w:type="gramStart"/>
      <w:r w:rsidRPr="00D82F50">
        <w:t>commemoration, and</w:t>
      </w:r>
      <w:proofErr w:type="gramEnd"/>
      <w:r w:rsidRPr="00D82F50">
        <w:t xml:space="preserve"> may have played a role in transmitting this iconography to different areas of early modern England. </w:t>
      </w:r>
    </w:p>
    <w:p w14:paraId="1CFAB2E5" w14:textId="77777777" w:rsidR="00D82F50" w:rsidRPr="00D82F50" w:rsidRDefault="00D82F50" w:rsidP="00D82F50">
      <w:pPr>
        <w:spacing w:after="0" w:line="480" w:lineRule="auto"/>
        <w:ind w:firstLine="720"/>
        <w:jc w:val="both"/>
      </w:pPr>
      <w:r w:rsidRPr="00D82F50">
        <w:t xml:space="preserve">While coins were held close to the body outside the home, sheets and bedding fabrics were in close contact with the skin during </w:t>
      </w:r>
      <w:proofErr w:type="gramStart"/>
      <w:r w:rsidRPr="00D82F50">
        <w:t>sleep, and</w:t>
      </w:r>
      <w:proofErr w:type="gramEnd"/>
      <w:r w:rsidRPr="00D82F50">
        <w:t xml:space="preserve"> thereby took on a range of emotional significances. Present in inventories from Bolton-le-Sands and Prestbury parishes but with consistently scant descriptive detail, household linens were rich in personalisation. Primarily, bedsheets were worked at home, cut, stitched and shaped by female members of the household.</w:t>
      </w:r>
      <w:r w:rsidRPr="00D82F50">
        <w:rPr>
          <w:vertAlign w:val="superscript"/>
        </w:rPr>
        <w:footnoteReference w:id="768"/>
      </w:r>
      <w:r w:rsidRPr="00D82F50">
        <w:t xml:space="preserve"> Sasha Handley has demonstrated that decorative panels, borders and stitched designs were routinely added even when sheets were bought readymade, and many surviving examples were kept as treasured heirlooms despite their everyday purpose.</w:t>
      </w:r>
      <w:r w:rsidRPr="00D82F50">
        <w:rPr>
          <w:vertAlign w:val="superscript"/>
        </w:rPr>
        <w:footnoteReference w:id="769"/>
      </w:r>
      <w:r w:rsidRPr="00D82F50">
        <w:t xml:space="preserve"> Again the probate documents of widow </w:t>
      </w:r>
      <w:proofErr w:type="spellStart"/>
      <w:r w:rsidRPr="00D82F50">
        <w:t>Alsant</w:t>
      </w:r>
      <w:proofErr w:type="spellEnd"/>
      <w:r w:rsidRPr="00D82F50">
        <w:t xml:space="preserve"> Hulme offer a glimpse of a widespread practice, as she makes reference to a personalised sheet. Among eighteen bequests to twelve different </w:t>
      </w:r>
      <w:r w:rsidRPr="00D82F50">
        <w:lastRenderedPageBreak/>
        <w:t xml:space="preserve">beneficiaries, four friends and relatives received linens and sheets from Hulme. To her friend Elizabeth Vardon, Hulme bequeathed ‘a </w:t>
      </w:r>
      <w:proofErr w:type="spellStart"/>
      <w:r w:rsidRPr="00D82F50">
        <w:t>pare</w:t>
      </w:r>
      <w:proofErr w:type="spellEnd"/>
      <w:r w:rsidRPr="00D82F50">
        <w:t xml:space="preserve"> of sheets </w:t>
      </w:r>
      <w:proofErr w:type="spellStart"/>
      <w:r w:rsidRPr="00D82F50">
        <w:t>sode</w:t>
      </w:r>
      <w:proofErr w:type="spellEnd"/>
      <w:r w:rsidRPr="00D82F50">
        <w:t xml:space="preserve"> [sewn] with Red </w:t>
      </w:r>
      <w:proofErr w:type="spellStart"/>
      <w:r w:rsidRPr="00D82F50">
        <w:t>yarne</w:t>
      </w:r>
      <w:proofErr w:type="spellEnd"/>
      <w:r w:rsidRPr="00D82F50">
        <w:t xml:space="preserve"> in the Corners’.</w:t>
      </w:r>
      <w:r w:rsidRPr="00D82F50">
        <w:rPr>
          <w:vertAlign w:val="superscript"/>
        </w:rPr>
        <w:footnoteReference w:id="770"/>
      </w:r>
      <w:r w:rsidRPr="00D82F50">
        <w:t xml:space="preserve"> The only description of embellished household textiles in the full sample, the appearance of Hulme’s sheets can only be guessed at. The corners may have been marked in an accent colour with decorative stitching or edging. Equally possible, however, Hulme may have applied lettering to the sheet. Handley remarks that the treasuring of linens as heirlooms would have been more possible in wealthier homes, but that simple initials and minor decorative additions were used by – and were within reach of – a broad social spectrum of householders.</w:t>
      </w:r>
      <w:r w:rsidRPr="00D82F50">
        <w:rPr>
          <w:vertAlign w:val="superscript"/>
        </w:rPr>
        <w:footnoteReference w:id="771"/>
      </w:r>
    </w:p>
    <w:p w14:paraId="58ADB4A9" w14:textId="77777777" w:rsidR="00D82F50" w:rsidRPr="00D82F50" w:rsidRDefault="00D82F50" w:rsidP="00D82F50">
      <w:pPr>
        <w:spacing w:after="0" w:line="480" w:lineRule="auto"/>
        <w:ind w:firstLine="720"/>
        <w:jc w:val="both"/>
      </w:pPr>
      <w:r w:rsidRPr="00D82F50">
        <w:t>Some textual additions had functional motivations. Names and initials were stitched into many textiles, including undergarments and other clothing, sheets, tablecloths and napkins, to assist with laundering.</w:t>
      </w:r>
      <w:r w:rsidRPr="00D82F50">
        <w:rPr>
          <w:vertAlign w:val="superscript"/>
        </w:rPr>
        <w:footnoteReference w:id="772"/>
      </w:r>
      <w:r w:rsidRPr="00D82F50">
        <w:t xml:space="preserve"> Equally importantly, the thriving second-hand textile market rendered marking a key concern, with stitches resistant to unpicking offering protection against theft and loss.</w:t>
      </w:r>
      <w:r w:rsidRPr="00D82F50">
        <w:rPr>
          <w:vertAlign w:val="superscript"/>
        </w:rPr>
        <w:footnoteReference w:id="773"/>
      </w:r>
      <w:r w:rsidRPr="00D82F50">
        <w:t xml:space="preserve"> Inscription aided household organisation, too, and Sasha Handley has shown how the letters ‘B’, ‘F’, and ‘S’ – stitched into numerous surviving early modern bedsheets – facilitated differentiation between ‘Best’, ‘Family’ and ‘Service’ quality textiles.</w:t>
      </w:r>
      <w:r w:rsidRPr="00D82F50">
        <w:rPr>
          <w:vertAlign w:val="superscript"/>
        </w:rPr>
        <w:footnoteReference w:id="774"/>
      </w:r>
      <w:r w:rsidRPr="00D82F50">
        <w:t xml:space="preserve"> Contemporary household manuals stipulated the ideal height, quality and form of sewn initials, in a society where ‘needlework in general, and marking in particular [was </w:t>
      </w:r>
      <w:r w:rsidRPr="00D82F50">
        <w:lastRenderedPageBreak/>
        <w:t>perceived] as embodying virtuous neatness’, closely tied with the orderly running of the home.</w:t>
      </w:r>
      <w:r w:rsidRPr="00D82F50">
        <w:rPr>
          <w:vertAlign w:val="superscript"/>
        </w:rPr>
        <w:footnoteReference w:id="775"/>
      </w:r>
    </w:p>
    <w:p w14:paraId="1AF89D73" w14:textId="77777777" w:rsidR="00D82F50" w:rsidRPr="00D82F50" w:rsidRDefault="00D82F50" w:rsidP="00D82F50">
      <w:pPr>
        <w:spacing w:after="0" w:line="480" w:lineRule="auto"/>
        <w:ind w:firstLine="720"/>
        <w:jc w:val="both"/>
      </w:pPr>
      <w:r w:rsidRPr="00D82F50">
        <w:t>Linens and their stitched additions were a cornerstone of early modern domesticity, and Hulme’s wide dispersal of sheets among her friends and family was undoubtedly practical, distributing these valuable resources among her loved ones. Concurrently, though, her bequests likely also had a sentimental dimension. Mark Hailwood has found documentary traces of linen-marking in seventeenth-century Kent, with testators possessing initialled sheets and napkins at their death. In both cases detailed by Hailwood, the initials were not the testators’ own and perhaps signified that the objects were inherited heirlooms, or were the handiwork of wives or daughters, kept not only for their function but for the emotions and connections they embodied.</w:t>
      </w:r>
      <w:r w:rsidRPr="00D82F50">
        <w:rPr>
          <w:vertAlign w:val="superscript"/>
        </w:rPr>
        <w:footnoteReference w:id="776"/>
      </w:r>
      <w:r w:rsidRPr="00D82F50">
        <w:t xml:space="preserve"> Hailwood has argued that this stitching of initials on household goods amounted to ‘humble heraldic self-fashioning’, undertaken self-consciously beyond any simultaneous utility.</w:t>
      </w:r>
      <w:r w:rsidRPr="00D82F50">
        <w:rPr>
          <w:vertAlign w:val="superscript"/>
        </w:rPr>
        <w:footnoteReference w:id="777"/>
      </w:r>
      <w:r w:rsidRPr="00D82F50">
        <w:t xml:space="preserve"> Early modern wills were replete with symbolic bequests. Small sums of money were commonly bequeathed to more distant kin as a token of regard rather than pure pragmatism, and Hulme’s will </w:t>
      </w:r>
      <w:proofErr w:type="gramStart"/>
      <w:r w:rsidRPr="00D82F50">
        <w:t>features</w:t>
      </w:r>
      <w:proofErr w:type="gramEnd"/>
      <w:r w:rsidRPr="00D82F50">
        <w:t xml:space="preserve"> amounts as small as twelvepence to members of her wider kin network.</w:t>
      </w:r>
      <w:r w:rsidRPr="00D82F50">
        <w:rPr>
          <w:vertAlign w:val="superscript"/>
        </w:rPr>
        <w:footnoteReference w:id="778"/>
      </w:r>
      <w:r w:rsidRPr="00D82F50">
        <w:t xml:space="preserve"> Combined with her careful identification of different sheets for different recipients, the emotion underlying Hulme’s decision-making process is evident. Though we cannot know the form taken by the ‘Red </w:t>
      </w:r>
      <w:proofErr w:type="spellStart"/>
      <w:r w:rsidRPr="00D82F50">
        <w:t>yarne</w:t>
      </w:r>
      <w:proofErr w:type="spellEnd"/>
      <w:r w:rsidRPr="00D82F50">
        <w:t xml:space="preserve"> in the corners’ of Hulme’s sheets, it was a means through which Hulme could inscribe herself upon them.</w:t>
      </w:r>
    </w:p>
    <w:p w14:paraId="4EBD0763" w14:textId="685B94E3" w:rsidR="00D82F50" w:rsidRPr="00D82F50" w:rsidRDefault="00D82F50" w:rsidP="00D82F50">
      <w:pPr>
        <w:spacing w:after="0" w:line="480" w:lineRule="auto"/>
        <w:ind w:firstLine="720"/>
        <w:jc w:val="both"/>
      </w:pPr>
      <w:r w:rsidRPr="00D82F50">
        <w:lastRenderedPageBreak/>
        <w:t xml:space="preserve">Only one object was explicitly described as initialled in the probate documents comprising the Bolton-le-Sands and Prestbury wider survey: a writing desk. In her 1702 will, widow Elizabeth Wales bequeathed ‘my little desk </w:t>
      </w:r>
      <w:proofErr w:type="spellStart"/>
      <w:r w:rsidRPr="00D82F50">
        <w:t>letterd</w:t>
      </w:r>
      <w:proofErr w:type="spellEnd"/>
      <w:r w:rsidRPr="00D82F50">
        <w:t xml:space="preserve"> E·H: A</w:t>
      </w:r>
      <w:r w:rsidRPr="00D82F50">
        <w:rPr>
          <w:vertAlign w:val="superscript"/>
        </w:rPr>
        <w:t>o</w:t>
      </w:r>
      <w:r w:rsidRPr="00D82F50">
        <w:t xml:space="preserve"> Domini 1677’.</w:t>
      </w:r>
      <w:r w:rsidRPr="00D82F50">
        <w:rPr>
          <w:vertAlign w:val="superscript"/>
        </w:rPr>
        <w:footnoteReference w:id="779"/>
      </w:r>
      <w:r w:rsidRPr="00D82F50">
        <w:t xml:space="preserve"> At the time of her death, Wales had been married three times. Her first marriage to Henry Holme is the source of the initials inscribed upon the desk and though she was married at the time, the desk appears to have been made for her alone, eight years into their marriage. The couple were married for fifteen years until Henry’s death in early 1684.</w:t>
      </w:r>
      <w:r w:rsidRPr="00D82F50">
        <w:rPr>
          <w:vertAlign w:val="superscript"/>
        </w:rPr>
        <w:footnoteReference w:id="780"/>
      </w:r>
      <w:r w:rsidRPr="00D82F50">
        <w:t xml:space="preserve"> Elizabeth married again just a year later, but kept the desk throughout her lifetime, never altering the initials to match any later surname. The provenance of the desk can only be guessed at, but it was evidently inscribed in the years following Elizabeth’s first marriage. It is possible that it was hers prior to matrimony, with the initials added later. Similarly, the desk may have been purchased after marriage, either by Elizabeth herself or as a gift by her husband. Potentially either gifted or bought using shared funds despite being intended for her use alone, the desk almost certainly represented a significant economic and emotional investment.</w:t>
      </w:r>
    </w:p>
    <w:p w14:paraId="44D14D29" w14:textId="6C2A1086" w:rsidR="00D82F50" w:rsidRPr="00D82F50" w:rsidRDefault="00D82F50" w:rsidP="00D82F50">
      <w:pPr>
        <w:spacing w:after="0" w:line="480" w:lineRule="auto"/>
        <w:ind w:firstLine="720"/>
        <w:jc w:val="both"/>
      </w:pPr>
      <w:r w:rsidRPr="00D82F50">
        <w:t>James Daybell has noted that while the term ‘desk’ denoted two things – either portable, lockable boxes intended to rest on flat surfaces, or table-like objects with flat or angled top pieces – both were invariably associated with reading and writing.</w:t>
      </w:r>
      <w:r w:rsidRPr="00D82F50">
        <w:rPr>
          <w:vertAlign w:val="superscript"/>
        </w:rPr>
        <w:footnoteReference w:id="781"/>
      </w:r>
      <w:r w:rsidRPr="00D82F50">
        <w:t xml:space="preserve"> Based on the mark made by Wales at the foot of her will (Figure </w:t>
      </w:r>
      <w:r w:rsidR="00A43C38">
        <w:t>35, p.</w:t>
      </w:r>
      <w:r w:rsidR="00E630FD">
        <w:t>349</w:t>
      </w:r>
      <w:r w:rsidRPr="00D82F50">
        <w:t xml:space="preserve">), she would traditionally be interpreted as illiterate. Nonetheless, her ownership of a desk for her personal use is a strong indication that she was not. One interpretation of </w:t>
      </w:r>
      <w:proofErr w:type="spellStart"/>
      <w:r w:rsidRPr="00D82F50">
        <w:t>Wales’</w:t>
      </w:r>
      <w:proofErr w:type="spellEnd"/>
      <w:r w:rsidRPr="00D82F50">
        <w:t xml:space="preserve"> mark is that she may have been intending to sign the document with a cross – the first letter learned by children using the </w:t>
      </w:r>
      <w:proofErr w:type="gramStart"/>
      <w:r w:rsidRPr="00D82F50">
        <w:lastRenderedPageBreak/>
        <w:t>horn-book</w:t>
      </w:r>
      <w:proofErr w:type="gramEnd"/>
      <w:r w:rsidRPr="00D82F50">
        <w:t xml:space="preserve"> at school.</w:t>
      </w:r>
      <w:r w:rsidRPr="00D82F50">
        <w:rPr>
          <w:vertAlign w:val="superscript"/>
        </w:rPr>
        <w:footnoteReference w:id="782"/>
      </w:r>
      <w:r w:rsidRPr="00D82F50">
        <w:t xml:space="preserve"> Comparatively, considering the </w:t>
      </w:r>
      <w:proofErr w:type="gramStart"/>
      <w:r w:rsidRPr="00D82F50">
        <w:t>down-stroke</w:t>
      </w:r>
      <w:proofErr w:type="gramEnd"/>
      <w:r w:rsidRPr="00D82F50">
        <w:t xml:space="preserve"> to the left of the cross, </w:t>
      </w:r>
      <w:proofErr w:type="spellStart"/>
      <w:r w:rsidRPr="00D82F50">
        <w:t>Wales’</w:t>
      </w:r>
      <w:proofErr w:type="spellEnd"/>
      <w:r w:rsidRPr="00D82F50">
        <w:t xml:space="preserve"> mark may also have been an inaccurate attempt at the letter ‘H’. If this was the case, this might signify that Wales was still identifying herself using the surname initial of her first husband. Any conclusion can only be tentative, and the first reading is likely closer to the truth. In any case, </w:t>
      </w:r>
      <w:proofErr w:type="spellStart"/>
      <w:r w:rsidRPr="00D82F50">
        <w:t>Wales’</w:t>
      </w:r>
      <w:proofErr w:type="spellEnd"/>
      <w:r w:rsidRPr="00D82F50">
        <w:t xml:space="preserve"> dexterity was likely in decline in her final years, rendering any assessment of her literacy difficult when based on her signature alone. Her ownership of a personalised desk is representative of a far higher understanding of letters than her will would suggest, reinforcing the argument that such arguably rudimentary signatures were in fact used by those with considerabl</w:t>
      </w:r>
      <w:r w:rsidR="00D34894">
        <w:t>e</w:t>
      </w:r>
      <w:r w:rsidRPr="00D82F50">
        <w:t xml:space="preserve"> literacy skills in early modern England.</w:t>
      </w:r>
      <w:r w:rsidRPr="00D82F50">
        <w:rPr>
          <w:vertAlign w:val="superscript"/>
        </w:rPr>
        <w:footnoteReference w:id="783"/>
      </w:r>
    </w:p>
    <w:p w14:paraId="2C8A02D3" w14:textId="77777777" w:rsidR="00D82F50" w:rsidRPr="00D82F50" w:rsidRDefault="00D82F50" w:rsidP="00D82F50">
      <w:pPr>
        <w:spacing w:after="0" w:line="480" w:lineRule="auto"/>
        <w:ind w:firstLine="720"/>
        <w:jc w:val="both"/>
      </w:pPr>
      <w:r w:rsidRPr="00D82F50">
        <w:t xml:space="preserve">Wales refers to four women as sisters in her final testament: Elizabeth Holme, Isabell </w:t>
      </w:r>
      <w:proofErr w:type="spellStart"/>
      <w:r w:rsidRPr="00D82F50">
        <w:t>Chippindall</w:t>
      </w:r>
      <w:proofErr w:type="spellEnd"/>
      <w:r w:rsidRPr="00D82F50">
        <w:t xml:space="preserve">, Elling Chaffer, and Elizabeth Ashton. Just one sister, however, was related by blood. Though she married Robert </w:t>
      </w:r>
      <w:proofErr w:type="spellStart"/>
      <w:r w:rsidRPr="00D82F50">
        <w:t>Chippindall</w:t>
      </w:r>
      <w:proofErr w:type="spellEnd"/>
      <w:r w:rsidRPr="00D82F50">
        <w:t xml:space="preserve"> in 1663, Isabell Toulnson was baptised in </w:t>
      </w:r>
      <w:proofErr w:type="spellStart"/>
      <w:r w:rsidRPr="00D82F50">
        <w:t>Skerton</w:t>
      </w:r>
      <w:proofErr w:type="spellEnd"/>
      <w:r w:rsidRPr="00D82F50">
        <w:t>, Lancaster, on 24</w:t>
      </w:r>
      <w:r w:rsidRPr="00D82F50">
        <w:rPr>
          <w:vertAlign w:val="superscript"/>
        </w:rPr>
        <w:t>th</w:t>
      </w:r>
      <w:r w:rsidRPr="00D82F50">
        <w:t xml:space="preserve"> August 1645 – seemingly a twin to her sister, Elizabeth Toulnson, later Elizabeth Wales.</w:t>
      </w:r>
      <w:r w:rsidRPr="00D82F50">
        <w:rPr>
          <w:vertAlign w:val="superscript"/>
        </w:rPr>
        <w:footnoteReference w:id="784"/>
      </w:r>
      <w:r w:rsidRPr="00D82F50">
        <w:t xml:space="preserve"> Among eleven beneficiaries named in her will, Wales made twenty bequests. Like many early modern women’s wills, clothing featured significantly: almost all of </w:t>
      </w:r>
      <w:proofErr w:type="spellStart"/>
      <w:r w:rsidRPr="00D82F50">
        <w:t>Wales’</w:t>
      </w:r>
      <w:proofErr w:type="spellEnd"/>
      <w:r w:rsidRPr="00D82F50">
        <w:t xml:space="preserve"> bequests were clothing, which she distributed among nine women comprising kin, friends, daughters of friends, and her maid, Mary </w:t>
      </w:r>
      <w:proofErr w:type="spellStart"/>
      <w:r w:rsidRPr="00D82F50">
        <w:t>Cauffield</w:t>
      </w:r>
      <w:proofErr w:type="spellEnd"/>
      <w:r w:rsidRPr="00D82F50">
        <w:t>.</w:t>
      </w:r>
      <w:r w:rsidRPr="00D82F50">
        <w:rPr>
          <w:vertAlign w:val="superscript"/>
        </w:rPr>
        <w:footnoteReference w:id="785"/>
      </w:r>
      <w:r w:rsidRPr="00D82F50">
        <w:t xml:space="preserve"> Making her twin sister the sole executor of her will, she also bequeathed all of her ‘goods, </w:t>
      </w:r>
      <w:proofErr w:type="spellStart"/>
      <w:r w:rsidRPr="00D82F50">
        <w:t>Chattells</w:t>
      </w:r>
      <w:proofErr w:type="spellEnd"/>
      <w:r w:rsidRPr="00D82F50">
        <w:t xml:space="preserve">, utensils of household, </w:t>
      </w:r>
      <w:proofErr w:type="spellStart"/>
      <w:r w:rsidRPr="00D82F50">
        <w:t>sumes</w:t>
      </w:r>
      <w:proofErr w:type="spellEnd"/>
      <w:r w:rsidRPr="00D82F50">
        <w:t xml:space="preserve"> of money … charge of rents’ and all other personal estate to her. Excepting a bond </w:t>
      </w:r>
      <w:r w:rsidRPr="00D82F50">
        <w:lastRenderedPageBreak/>
        <w:t xml:space="preserve">owed to her by a debtor – worth £20 </w:t>
      </w:r>
      <w:proofErr w:type="gramStart"/>
      <w:r w:rsidRPr="00D82F50">
        <w:t>and also</w:t>
      </w:r>
      <w:proofErr w:type="gramEnd"/>
      <w:r w:rsidRPr="00D82F50">
        <w:t xml:space="preserve"> bequeathed to Isabell – </w:t>
      </w:r>
      <w:proofErr w:type="spellStart"/>
      <w:r w:rsidRPr="00D82F50">
        <w:t>Wales’</w:t>
      </w:r>
      <w:proofErr w:type="spellEnd"/>
      <w:r w:rsidRPr="00D82F50">
        <w:t xml:space="preserve"> initialled desk was her only non-clothing bequest. Significantly, she chose to pass it to Isabell’s daughter: </w:t>
      </w:r>
      <w:proofErr w:type="spellStart"/>
      <w:r w:rsidRPr="00D82F50">
        <w:t>Wales’</w:t>
      </w:r>
      <w:proofErr w:type="spellEnd"/>
      <w:r w:rsidRPr="00D82F50">
        <w:t xml:space="preserve"> niece, Deborah </w:t>
      </w:r>
      <w:proofErr w:type="spellStart"/>
      <w:r w:rsidRPr="00D82F50">
        <w:t>Chippindall</w:t>
      </w:r>
      <w:proofErr w:type="spellEnd"/>
      <w:r w:rsidRPr="00D82F50">
        <w:t>.</w:t>
      </w:r>
    </w:p>
    <w:p w14:paraId="459B25D4" w14:textId="77777777" w:rsidR="00D82F50" w:rsidRPr="00D82F50" w:rsidRDefault="00D82F50" w:rsidP="00D82F50">
      <w:pPr>
        <w:spacing w:after="0" w:line="480" w:lineRule="auto"/>
        <w:ind w:firstLine="720"/>
        <w:jc w:val="both"/>
      </w:pPr>
      <w:r w:rsidRPr="00D82F50">
        <w:t>Amy Louise Erickson has demonstrated the ways in which bequests differed by gender. While men’s wills were primarily concerned with the dispersion of money, animals and land, women in Erickson’s sample most commonly featured cash bequests, followed by clothing, textiles, kitchen- and tableware, and furniture, in order of frequency.</w:t>
      </w:r>
      <w:r w:rsidRPr="00D82F50">
        <w:rPr>
          <w:vertAlign w:val="superscript"/>
        </w:rPr>
        <w:footnoteReference w:id="786"/>
      </w:r>
      <w:r w:rsidRPr="00D82F50">
        <w:t xml:space="preserve"> Erickson suggests this was partly explicable by life stage: many male will-makers were survived by their wives and thus bequeathed the majority of their household in-tact to their partner or heir, while female will-makers were in most cases already widowed. Erickson has shown that female testators generally favoured female legatees, preferencing daughters, granddaughters, nieces, female in-laws and friends.</w:t>
      </w:r>
      <w:r w:rsidRPr="00D82F50">
        <w:rPr>
          <w:vertAlign w:val="superscript"/>
        </w:rPr>
        <w:footnoteReference w:id="787"/>
      </w:r>
      <w:r w:rsidRPr="00D82F50">
        <w:t xml:space="preserve"> This is borne out by all of </w:t>
      </w:r>
      <w:proofErr w:type="spellStart"/>
      <w:r w:rsidRPr="00D82F50">
        <w:t>Wales’</w:t>
      </w:r>
      <w:proofErr w:type="spellEnd"/>
      <w:r w:rsidRPr="00D82F50">
        <w:t xml:space="preserve"> bequests. </w:t>
      </w:r>
      <w:proofErr w:type="spellStart"/>
      <w:r w:rsidRPr="00D82F50">
        <w:t>Wales’</w:t>
      </w:r>
      <w:proofErr w:type="spellEnd"/>
      <w:r w:rsidRPr="00D82F50">
        <w:t xml:space="preserve"> sister, Isabell, and her husband, Robert, had at least eight children still living when Wales made her will in 1702.</w:t>
      </w:r>
      <w:r w:rsidRPr="00D82F50">
        <w:rPr>
          <w:vertAlign w:val="superscript"/>
        </w:rPr>
        <w:footnoteReference w:id="788"/>
      </w:r>
      <w:r w:rsidRPr="00D82F50">
        <w:t xml:space="preserve"> Deborah was the youngest, and the only among them yet to come into her majority – at </w:t>
      </w:r>
      <w:proofErr w:type="spellStart"/>
      <w:r w:rsidRPr="00D82F50">
        <w:t>Wales’</w:t>
      </w:r>
      <w:proofErr w:type="spellEnd"/>
      <w:r w:rsidRPr="00D82F50">
        <w:t xml:space="preserve"> death, she was either 17 or 18 years old.</w:t>
      </w:r>
      <w:r w:rsidRPr="00D82F50">
        <w:rPr>
          <w:vertAlign w:val="superscript"/>
        </w:rPr>
        <w:footnoteReference w:id="789"/>
      </w:r>
    </w:p>
    <w:p w14:paraId="6C07134D" w14:textId="3B9E4EAC" w:rsidR="00D82F50" w:rsidRPr="00D82F50" w:rsidRDefault="00D82F50" w:rsidP="00D82F50">
      <w:pPr>
        <w:spacing w:after="0" w:line="480" w:lineRule="auto"/>
        <w:ind w:firstLine="720"/>
        <w:jc w:val="both"/>
      </w:pPr>
      <w:r w:rsidRPr="00D82F50">
        <w:t xml:space="preserve">In opting to bequeath her one itemised household object to Deborah, Wales was seemingly creating provision for a female relative as far as she was able to do so. Making just </w:t>
      </w:r>
      <w:r w:rsidRPr="00D82F50">
        <w:lastRenderedPageBreak/>
        <w:t>one cash bequest of an unrecovered bond and otherwise distributing only textiles, the desk represented a means through which Wales could provide for Deborah in her minority, perhaps contributing to her material dowry as was customarily undertaken by godparents.</w:t>
      </w:r>
      <w:r w:rsidRPr="00D82F50">
        <w:rPr>
          <w:vertAlign w:val="superscript"/>
        </w:rPr>
        <w:footnoteReference w:id="790"/>
      </w:r>
      <w:r w:rsidRPr="00D82F50">
        <w:t xml:space="preserve">  Crucially, the desk may also have been viewed as an heirloom by Wales and her niece. As an initialled – and therefore perhaps otherwise decorated – piece of specialised furniture, the writing desk is likely to have been a comparatively high-value purchase. </w:t>
      </w:r>
      <w:proofErr w:type="gramStart"/>
      <w:r w:rsidRPr="00D82F50">
        <w:t>However</w:t>
      </w:r>
      <w:proofErr w:type="gramEnd"/>
      <w:r w:rsidRPr="00D82F50">
        <w:t xml:space="preserve"> it was acquired, whether purchased by Wales alone, purchased as a </w:t>
      </w:r>
      <w:proofErr w:type="gramStart"/>
      <w:r w:rsidRPr="00D82F50">
        <w:t>dual-investment</w:t>
      </w:r>
      <w:proofErr w:type="gramEnd"/>
      <w:r w:rsidRPr="00D82F50">
        <w:t xml:space="preserve"> by Wales and her first husband (from which Wales alone would benefit) or purchased by Henry Holme as a gift for his wife, the sentimental value underlying each possibility and the inscription on the desk itself creates an array of layered meanings. In giving the desk as one of only two bequests made to her blood relatives, the object stands in clear relief from the rest of </w:t>
      </w:r>
      <w:proofErr w:type="spellStart"/>
      <w:r w:rsidRPr="00D82F50">
        <w:t>Wales’</w:t>
      </w:r>
      <w:proofErr w:type="spellEnd"/>
      <w:r w:rsidRPr="00D82F50">
        <w:t xml:space="preserve"> will: while distributing her gowns and petticoats among her friends and kin was evidently important to her, it is the desk that she passed to the next generation of her blood family, underlining its importance as an heirloom.</w:t>
      </w:r>
    </w:p>
    <w:p w14:paraId="667C5048" w14:textId="1479AC45" w:rsidR="00D82F50" w:rsidRPr="00D82F50" w:rsidRDefault="00D82F50" w:rsidP="00D82F50">
      <w:pPr>
        <w:spacing w:after="0" w:line="480" w:lineRule="auto"/>
        <w:ind w:firstLine="720"/>
        <w:jc w:val="both"/>
      </w:pPr>
      <w:r w:rsidRPr="00D82F50">
        <w:t>In addition to a reference to an initialled writing desk in a Bolton-le-Sands will, initialled cupboards survive in two case study homes from Bolton-le-Sands parish. Both are set into the wall, matching the timeline that Ronald Brunskill set out in his authoritative handbook of vernacular architecture, where he suggested that built-in cupboards became popular in English farmhouses over the course of the seventeenth century.</w:t>
      </w:r>
      <w:r w:rsidRPr="00D82F50">
        <w:rPr>
          <w:vertAlign w:val="superscript"/>
        </w:rPr>
        <w:footnoteReference w:id="791"/>
      </w:r>
      <w:r w:rsidRPr="00D82F50">
        <w:t xml:space="preserve"> James Walton suggests such cupboards were descendants of earlier ‘keeping-holes’ – spaces made in walls for the storage of possessions – and that in some regions these spaces were increasingly fitted </w:t>
      </w:r>
      <w:r w:rsidRPr="00D82F50">
        <w:lastRenderedPageBreak/>
        <w:t>with doors as the 1600s progressed.</w:t>
      </w:r>
      <w:r w:rsidRPr="00D82F50">
        <w:rPr>
          <w:vertAlign w:val="superscript"/>
        </w:rPr>
        <w:footnoteReference w:id="792"/>
      </w:r>
      <w:r w:rsidRPr="00D82F50">
        <w:t xml:space="preserve"> Describing Westmorland in particular, Walton states that cupboard doors were ‘richly carved and often dated’ and although Brunskill has been credited with terming these objects ‘spice cupboards’, this is a phrase Walton was using over twenty years earlier.</w:t>
      </w:r>
      <w:r w:rsidRPr="00D82F50">
        <w:rPr>
          <w:vertAlign w:val="superscript"/>
        </w:rPr>
        <w:footnoteReference w:id="793"/>
      </w:r>
      <w:r w:rsidRPr="00D82F50">
        <w:t xml:space="preserve"> Including two Westmorland examples side-by-side in </w:t>
      </w:r>
      <w:r w:rsidRPr="00D82F50">
        <w:rPr>
          <w:i/>
          <w:iCs/>
        </w:rPr>
        <w:t xml:space="preserve">Oak Furniture, </w:t>
      </w:r>
      <w:r w:rsidRPr="00D82F50">
        <w:t>Victor Chinnery referred to them variously as a ‘salt cupboard’ and ‘joined wall cupboard’, in spite of their striking similarities.</w:t>
      </w:r>
      <w:r w:rsidRPr="00D82F50">
        <w:rPr>
          <w:vertAlign w:val="superscript"/>
        </w:rPr>
        <w:footnoteReference w:id="794"/>
      </w:r>
      <w:r w:rsidRPr="00D82F50">
        <w:t xml:space="preserve"> Contemporary names for these decorated panels remain unknown, and ‘spice cupboard’ has passed into common parlance among archaeologists and architectural historians on account of them being ‘generally assumed to be the dry depository of valuable salt and spices’.</w:t>
      </w:r>
      <w:r w:rsidRPr="00D82F50">
        <w:rPr>
          <w:vertAlign w:val="superscript"/>
        </w:rPr>
        <w:footnoteReference w:id="795"/>
      </w:r>
    </w:p>
    <w:p w14:paraId="4A20B5CB" w14:textId="511C57D6" w:rsidR="00D82F50" w:rsidRPr="00D82F50" w:rsidRDefault="00D82F50" w:rsidP="00D82F50">
      <w:pPr>
        <w:spacing w:after="0" w:line="480" w:lineRule="auto"/>
        <w:ind w:firstLine="720"/>
        <w:jc w:val="both"/>
      </w:pPr>
      <w:r w:rsidRPr="00D82F50">
        <w:t xml:space="preserve">The spice cupboard surviving at Hall Farmhouse in Over Kellet was inscribed by Robert and Deborah Gibson. In addition to the initialled lintel examined in the previous chapter, featuring a marriage initial triangle (Figure </w:t>
      </w:r>
      <w:r w:rsidR="002202BA">
        <w:t>1, p.</w:t>
      </w:r>
      <w:r w:rsidR="00E630FD">
        <w:t>315</w:t>
      </w:r>
      <w:r w:rsidRPr="00D82F50">
        <w:t xml:space="preserve">), the spice cupboard inside the house is decorated with two marriage initial pairs, RG and DG (Figure </w:t>
      </w:r>
      <w:r w:rsidR="002202BA">
        <w:t>2, p.</w:t>
      </w:r>
      <w:r w:rsidR="00E630FD">
        <w:t>316</w:t>
      </w:r>
      <w:r w:rsidRPr="00D82F50">
        <w:t xml:space="preserve">). Each pair is underwritten by two numerals, 17 and 15 respectively, together forming the year 1715. The lettering on the cupboard is more ornate than that above the front door, featuring stylised serifs. The wooden surface between the relief-carved characters has been dimpled, creating an ordered pattern, but decoration on the central panel is otherwise limited. In-keeping with other spice cupboard designs, string courses run down the centre of each doorframe piece, as well as down the left and right edges of the door. Of the 17 surviving spice cupboards </w:t>
      </w:r>
      <w:r w:rsidRPr="00D82F50">
        <w:lastRenderedPageBreak/>
        <w:t xml:space="preserve">illustrated in Nat Alcock and Linda Hall’s </w:t>
      </w:r>
      <w:r w:rsidRPr="00D82F50">
        <w:rPr>
          <w:i/>
          <w:iCs/>
        </w:rPr>
        <w:t xml:space="preserve">Fixtures and Fittings in Dated Houses 1567-1763, </w:t>
      </w:r>
      <w:r w:rsidRPr="00D82F50">
        <w:t xml:space="preserve">14 include this string course design, as seen in two examples from Gloucestershire and Westmoreland in Figures </w:t>
      </w:r>
      <w:r w:rsidR="00310B3B">
        <w:t>36</w:t>
      </w:r>
      <w:r w:rsidRPr="00D82F50">
        <w:t xml:space="preserve"> and </w:t>
      </w:r>
      <w:r w:rsidR="00310B3B">
        <w:t xml:space="preserve">37 (pages </w:t>
      </w:r>
      <w:r w:rsidR="00E630FD">
        <w:t xml:space="preserve">350 </w:t>
      </w:r>
      <w:r w:rsidR="00310B3B">
        <w:t xml:space="preserve">and </w:t>
      </w:r>
      <w:r w:rsidR="00E630FD">
        <w:t>351</w:t>
      </w:r>
      <w:r w:rsidR="00310B3B">
        <w:t>)</w:t>
      </w:r>
      <w:r w:rsidRPr="00D82F50">
        <w:t>.</w:t>
      </w:r>
      <w:r w:rsidRPr="00D82F50">
        <w:rPr>
          <w:vertAlign w:val="superscript"/>
        </w:rPr>
        <w:footnoteReference w:id="796"/>
      </w:r>
      <w:r w:rsidRPr="00D82F50">
        <w:t xml:space="preserve"> The cupboard also features a lock, suggesting that it may have been used for the storage of valuable possessions – perhaps even the imported spices that have given these cupboards their name. As the cupboard is situated in the wall immediately next to the hearth, the heat from the fire would certainly have helped to keep these valuable foodstuffs dry and free from mould.</w:t>
      </w:r>
    </w:p>
    <w:p w14:paraId="63EB0C34" w14:textId="77777777" w:rsidR="00D82F50" w:rsidRPr="00D82F50" w:rsidRDefault="00D82F50" w:rsidP="00D82F50">
      <w:pPr>
        <w:spacing w:after="0" w:line="480" w:lineRule="auto"/>
        <w:ind w:firstLine="720"/>
        <w:jc w:val="both"/>
      </w:pPr>
      <w:r w:rsidRPr="00D82F50">
        <w:t>Emmeline Garnett has speculated that the Gibson family may have kept an inn within the house.</w:t>
      </w:r>
      <w:r w:rsidRPr="00D82F50">
        <w:rPr>
          <w:vertAlign w:val="superscript"/>
        </w:rPr>
        <w:footnoteReference w:id="797"/>
      </w:r>
      <w:r w:rsidRPr="00D82F50">
        <w:t xml:space="preserve"> Unfortunately, where tavern- and inn-keeping can sometimes be gauged from the number of chairs and drinking vessels in a testator’s possession, the inventory made at the end of Robert Gibson’s life is entirely grouped by room and gives no detail of individual objects.</w:t>
      </w:r>
      <w:r w:rsidRPr="00D82F50">
        <w:rPr>
          <w:vertAlign w:val="superscript"/>
        </w:rPr>
        <w:footnoteReference w:id="798"/>
      </w:r>
      <w:r w:rsidRPr="00D82F50">
        <w:t xml:space="preserve"> Robert’s grandfather was named as an innkeeper in 1651, and his son Richard was described with the same occupation in a document dating from 1739.</w:t>
      </w:r>
      <w:r w:rsidRPr="00D82F50">
        <w:rPr>
          <w:vertAlign w:val="superscript"/>
        </w:rPr>
        <w:footnoteReference w:id="799"/>
      </w:r>
      <w:r w:rsidRPr="00D82F50">
        <w:t xml:space="preserve"> Consequently, even without direct evidence that Robert and Deborah operated an inn from their home, this is a definite possibility. Nine of Alcock and Hall’s 17 spice cupboards feature locks like that at Hall Farmhouse.</w:t>
      </w:r>
      <w:r w:rsidRPr="00D82F50">
        <w:rPr>
          <w:vertAlign w:val="superscript"/>
        </w:rPr>
        <w:footnoteReference w:id="800"/>
      </w:r>
      <w:r w:rsidRPr="00D82F50">
        <w:t xml:space="preserve"> While this may have been a common feature of these objects, the prevention of theft from guests and customers would have further underlined the need for security. Mark Hailwood has highlighted how the owners of public houses also used their initials as anti-theft measures, commissioning them to be engraved into silver spoons and cups, as well as pewter dishes, as a means of recognising their goods if stolen.</w:t>
      </w:r>
      <w:r w:rsidRPr="00D82F50">
        <w:rPr>
          <w:vertAlign w:val="superscript"/>
        </w:rPr>
        <w:footnoteReference w:id="801"/>
      </w:r>
      <w:r w:rsidRPr="00D82F50">
        <w:t xml:space="preserve"> Tavern bottles – used for alcohol </w:t>
      </w:r>
      <w:r w:rsidRPr="00D82F50">
        <w:lastRenderedPageBreak/>
        <w:t>storage and for consumption off the premises – employed a similar iconography in the seals used to label them. Sheelah Ruggles-Brise has demonstrated the widespread use of marriage initials upon these bottles, in some cases alongside motifs representing the alehouse from which they came, allowing them to be returned to their vendors after use.</w:t>
      </w:r>
      <w:r w:rsidRPr="00D82F50">
        <w:rPr>
          <w:vertAlign w:val="superscript"/>
        </w:rPr>
        <w:footnoteReference w:id="802"/>
      </w:r>
      <w:r w:rsidRPr="00D82F50">
        <w:t xml:space="preserve"> Notably, some of the licensees Ruggles-Brise discusses were also issuing trade tokens, which (as seen above) commonly featured marriage initial ‘triads’.</w:t>
      </w:r>
      <w:r w:rsidRPr="00D82F50">
        <w:rPr>
          <w:vertAlign w:val="superscript"/>
        </w:rPr>
        <w:footnoteReference w:id="803"/>
      </w:r>
    </w:p>
    <w:p w14:paraId="4B401077" w14:textId="77777777" w:rsidR="00D82F50" w:rsidRPr="00D82F50" w:rsidRDefault="00D82F50" w:rsidP="00D82F50">
      <w:pPr>
        <w:spacing w:after="0" w:line="480" w:lineRule="auto"/>
        <w:ind w:firstLine="720"/>
        <w:jc w:val="both"/>
      </w:pPr>
      <w:r w:rsidRPr="00D82F50">
        <w:t>In positioning marriage initials in the main reception room of the house, Robert and Deborah Gibson placed them in a prominent location. Tara Hamling has charted how investment in domestic fixtures and furniture intended for long-term display provided a means for people to ‘sustain their memory’ and ‘extend their agency’ beyond death.</w:t>
      </w:r>
      <w:r w:rsidRPr="00D82F50">
        <w:rPr>
          <w:vertAlign w:val="superscript"/>
        </w:rPr>
        <w:footnoteReference w:id="804"/>
      </w:r>
      <w:r w:rsidRPr="00D82F50">
        <w:t xml:space="preserve"> Acting in partnership with the initials on the lintel, the inscribed spice cupboard further consolidated Robert and Deborah’s significance in their family history, rebuilding and improving the family home. Contemporary understandings around what have now been termed ‘spice cupboards’ are difficult to grasp, but independently of any detailed decoration these enclosed recesses may well have been recognised as storage for high-value products. Whatever its contents, though, a personalised, lockable cupboard bearing the Gibsons’ initials would have been a visible symbol of the couple’s wealth and union. Considering the possibility that the Gibsons ran an inn or tavern from their home, the repeated use of their initials on both the lintel above the main door and within the house may also have served a commercial function. Retailing couples throughout early modern England routinely used marriage initials as a means of identifying themselves upon their products and trade tokens, and this may have been the </w:t>
      </w:r>
      <w:r w:rsidRPr="00D82F50">
        <w:lastRenderedPageBreak/>
        <w:t xml:space="preserve">case at Hall Farm, with the Gibsons using an emblem representative of domestic harmony to advertise their home and the provisions on offer within. Regardless of their occupation, as explored in the previous chapter, Robert and Deborah Gibson had made alterations to their home around the time of their marriage. Decorating the exterior of the property with marriage initials at the </w:t>
      </w:r>
      <w:proofErr w:type="gramStart"/>
      <w:r w:rsidRPr="00D82F50">
        <w:t>time, and</w:t>
      </w:r>
      <w:proofErr w:type="gramEnd"/>
      <w:r w:rsidRPr="00D82F50">
        <w:t xml:space="preserve"> adding yet another layer of personalisation inside the house four years later, they were shaping Hall Farm as their shared marital home.</w:t>
      </w:r>
    </w:p>
    <w:p w14:paraId="73C47C72" w14:textId="0535AA5F" w:rsidR="00D82F50" w:rsidRPr="00D82F50" w:rsidRDefault="00D82F50" w:rsidP="00D82F50">
      <w:pPr>
        <w:spacing w:after="0" w:line="480" w:lineRule="auto"/>
        <w:ind w:firstLine="720"/>
        <w:jc w:val="both"/>
      </w:pPr>
      <w:r w:rsidRPr="00D82F50">
        <w:t xml:space="preserve">A second spice cupboard survives in situ near to Hall Farm, in neighbouring Bolton-le-Sands. It stands in the living room of Church Cottage – a house accessed by a small lane next to the parish church. It has not been possible to access the property and examine the spice cupboard firsthand, but a rough illustration in Emmeline Garnett’s </w:t>
      </w:r>
      <w:r w:rsidRPr="00D82F50">
        <w:rPr>
          <w:i/>
          <w:iCs/>
        </w:rPr>
        <w:t xml:space="preserve">The Dated Buildings of South Lonsdale </w:t>
      </w:r>
      <w:r w:rsidRPr="00D82F50">
        <w:t xml:space="preserve">serves as an insight into its basic appearance (Figure </w:t>
      </w:r>
      <w:r w:rsidR="00706C3A">
        <w:t>38</w:t>
      </w:r>
      <w:r w:rsidR="00E630FD">
        <w:t>, p.352</w:t>
      </w:r>
      <w:r w:rsidRPr="00D82F50">
        <w:t>).</w:t>
      </w:r>
      <w:r w:rsidRPr="00D82F50">
        <w:rPr>
          <w:vertAlign w:val="superscript"/>
        </w:rPr>
        <w:footnoteReference w:id="805"/>
      </w:r>
      <w:r w:rsidRPr="00D82F50">
        <w:t xml:space="preserve"> Swirled patterns around the frame of the cupboard are visible, and the butterfly hinges closely resemble those seen at Hall Farmhouse.</w:t>
      </w:r>
      <w:r w:rsidRPr="00D82F50">
        <w:rPr>
          <w:vertAlign w:val="superscript"/>
        </w:rPr>
        <w:footnoteReference w:id="806"/>
      </w:r>
      <w:r w:rsidRPr="00D82F50">
        <w:t xml:space="preserve"> The possibilities for analysing further material details are limited, and Garnett’s illustration shows neither a handle nor lock. Crucially, however, the lettering is clear and the cupboard can be linked to Edmund and Grace </w:t>
      </w:r>
      <w:proofErr w:type="spellStart"/>
      <w:r w:rsidRPr="00D82F50">
        <w:t>Freare</w:t>
      </w:r>
      <w:proofErr w:type="spellEnd"/>
      <w:r w:rsidRPr="00D82F50">
        <w:t>, married in April 1664.</w:t>
      </w:r>
      <w:r w:rsidRPr="00D82F50">
        <w:rPr>
          <w:vertAlign w:val="superscript"/>
        </w:rPr>
        <w:footnoteReference w:id="807"/>
      </w:r>
      <w:r w:rsidRPr="00D82F50">
        <w:t xml:space="preserve"> Possibly like the Gibsons, the </w:t>
      </w:r>
      <w:proofErr w:type="spellStart"/>
      <w:r w:rsidRPr="00D82F50">
        <w:t>Freares</w:t>
      </w:r>
      <w:proofErr w:type="spellEnd"/>
      <w:r w:rsidRPr="00D82F50">
        <w:t xml:space="preserve"> were innkeepers.</w:t>
      </w:r>
      <w:r w:rsidRPr="00D82F50">
        <w:rPr>
          <w:vertAlign w:val="superscript"/>
        </w:rPr>
        <w:footnoteReference w:id="808"/>
      </w:r>
      <w:r w:rsidRPr="00D82F50">
        <w:t xml:space="preserve"> Parish register entries include baptisms for six children born to the couple between 1665 and 1676.</w:t>
      </w:r>
      <w:r w:rsidRPr="00D82F50">
        <w:rPr>
          <w:vertAlign w:val="superscript"/>
        </w:rPr>
        <w:footnoteReference w:id="809"/>
      </w:r>
      <w:r w:rsidRPr="00D82F50">
        <w:t xml:space="preserve"> With no clear connection between the date on the cupboard and any significant life cycle </w:t>
      </w:r>
      <w:r w:rsidRPr="00D82F50">
        <w:lastRenderedPageBreak/>
        <w:t>event, it is possible that the year commemorated by the inscription – 1683 – was simply the year in which the cupboard was commissioned by the couple.</w:t>
      </w:r>
    </w:p>
    <w:p w14:paraId="53E70BBD" w14:textId="214864B5" w:rsidR="00D82F50" w:rsidRPr="00D82F50" w:rsidRDefault="00D82F50" w:rsidP="00D82F50">
      <w:pPr>
        <w:spacing w:after="0" w:line="480" w:lineRule="auto"/>
        <w:ind w:firstLine="720"/>
        <w:jc w:val="both"/>
      </w:pPr>
      <w:r w:rsidRPr="00D82F50">
        <w:t xml:space="preserve">Significantly, Edmund and Grace </w:t>
      </w:r>
      <w:proofErr w:type="spellStart"/>
      <w:r w:rsidRPr="00D82F50">
        <w:t>Freare</w:t>
      </w:r>
      <w:proofErr w:type="spellEnd"/>
      <w:r w:rsidRPr="00D82F50">
        <w:t xml:space="preserve"> never lived in Bolton-le-Sands at Church Cottage, where their spice cupboard door now survives. Baptism records cannot be traced for either of them, but the parish register entry made upon the </w:t>
      </w:r>
      <w:proofErr w:type="spellStart"/>
      <w:r w:rsidRPr="00D82F50">
        <w:t>Freares</w:t>
      </w:r>
      <w:proofErr w:type="spellEnd"/>
      <w:r w:rsidRPr="00D82F50">
        <w:t>’ marriage describes them both as residents of neighbouring Slyne.</w:t>
      </w:r>
      <w:r w:rsidRPr="00D82F50">
        <w:rPr>
          <w:vertAlign w:val="superscript"/>
        </w:rPr>
        <w:footnoteReference w:id="810"/>
      </w:r>
      <w:r w:rsidRPr="00D82F50">
        <w:t xml:space="preserve"> The baptism entries of their six known children all record the same location, while Grace’s 1710 burial record names her as ‘Gracia Frear de </w:t>
      </w:r>
      <w:proofErr w:type="spellStart"/>
      <w:r w:rsidRPr="00D82F50">
        <w:t>Sline</w:t>
      </w:r>
      <w:proofErr w:type="spellEnd"/>
      <w:r w:rsidRPr="00D82F50">
        <w:t>’, strongly suggesting the couple remained in the village throughout their lives.</w:t>
      </w:r>
      <w:r w:rsidRPr="00D82F50">
        <w:rPr>
          <w:vertAlign w:val="superscript"/>
        </w:rPr>
        <w:footnoteReference w:id="811"/>
      </w:r>
      <w:r w:rsidRPr="00D82F50">
        <w:t xml:space="preserve"> The lintel above the main door at Church Cottage bears the initials not of Grace and Edmund, but of John and Jane Hall, discussed in the previous chapter. As chapter three outlined, Garnett has argued that the Halls rebuilt Hall Cottage in 1672 as well as owning the ‘ancient Hall tenement’ of End Cottage at Bolton Holmes.</w:t>
      </w:r>
      <w:r w:rsidRPr="00D82F50">
        <w:rPr>
          <w:vertAlign w:val="superscript"/>
        </w:rPr>
        <w:footnoteReference w:id="812"/>
      </w:r>
      <w:r w:rsidRPr="00D82F50">
        <w:t xml:space="preserve"> The Halls’ son, Willliam, appears to have taken possession of End Cottage after his father’s death in 1672, rebuilding and inscribing it with his bride’s initials in 1687. Church Cottage, meanwhile, passed to his sister, Elizabeth Hall.</w:t>
      </w:r>
    </w:p>
    <w:p w14:paraId="61BA21E8" w14:textId="77777777" w:rsidR="00D82F50" w:rsidRPr="00D82F50" w:rsidRDefault="00D82F50" w:rsidP="00D82F50">
      <w:pPr>
        <w:spacing w:after="0" w:line="480" w:lineRule="auto"/>
        <w:ind w:firstLine="720"/>
        <w:jc w:val="both"/>
      </w:pPr>
      <w:r w:rsidRPr="00D82F50">
        <w:t xml:space="preserve">It was not uncommon for children to inherit property upon marriage, and Elizabeth may have received the cottage as part of her dowry. In 1695 she married Thomas, the second son of Edmund and Grace </w:t>
      </w:r>
      <w:proofErr w:type="spellStart"/>
      <w:r w:rsidRPr="00D82F50">
        <w:t>Freare</w:t>
      </w:r>
      <w:proofErr w:type="spellEnd"/>
      <w:r w:rsidRPr="00D82F50">
        <w:t xml:space="preserve"> discussed above.</w:t>
      </w:r>
      <w:r w:rsidRPr="00D82F50">
        <w:rPr>
          <w:vertAlign w:val="superscript"/>
        </w:rPr>
        <w:footnoteReference w:id="813"/>
      </w:r>
      <w:r w:rsidRPr="00D82F50">
        <w:t xml:space="preserve"> Thomas appears to have brought the </w:t>
      </w:r>
      <w:proofErr w:type="spellStart"/>
      <w:r w:rsidRPr="00D82F50">
        <w:t>Freares</w:t>
      </w:r>
      <w:proofErr w:type="spellEnd"/>
      <w:r w:rsidRPr="00D82F50">
        <w:t xml:space="preserve">’ spice cupboard door with him from his parents’ home, placing it within the fabric of the building he would inhabit with his bride. While two of Thomas’ five siblings died in childhood, three survived to adulthood and the eldest, William, seems to have been the only </w:t>
      </w:r>
      <w:proofErr w:type="spellStart"/>
      <w:r w:rsidRPr="00D82F50">
        <w:lastRenderedPageBreak/>
        <w:t>Freare</w:t>
      </w:r>
      <w:proofErr w:type="spellEnd"/>
      <w:r w:rsidRPr="00D82F50">
        <w:t xml:space="preserve"> sibling to continue living in the family’s original village. Recorded as an inhabitant of Slyne upon his burial in 1725, William likely inhabited the </w:t>
      </w:r>
      <w:proofErr w:type="spellStart"/>
      <w:r w:rsidRPr="00D82F50">
        <w:t>Freares</w:t>
      </w:r>
      <w:proofErr w:type="spellEnd"/>
      <w:r w:rsidRPr="00D82F50">
        <w:t>’ home until his death.</w:t>
      </w:r>
      <w:r w:rsidRPr="00D82F50">
        <w:rPr>
          <w:vertAlign w:val="superscript"/>
        </w:rPr>
        <w:footnoteReference w:id="814"/>
      </w:r>
      <w:r w:rsidRPr="00D82F50">
        <w:t xml:space="preserve"> Thomas’ ownership of his parents’ initialled spice cupboard, combined with the external lintel featuring Elizabeth’s parents’ initials, amounts to a continuum of initialled commemoration across Church Cottage. In relation to fixtures carved with family portraits, Hamling has argued that they ‘ensured the continued presence of deceased ancestors within the very spaces they once occupied’.</w:t>
      </w:r>
      <w:r w:rsidRPr="00D82F50">
        <w:rPr>
          <w:vertAlign w:val="superscript"/>
        </w:rPr>
        <w:footnoteReference w:id="815"/>
      </w:r>
      <w:r w:rsidRPr="00D82F50">
        <w:t xml:space="preserve"> In leaving his parental home but bringing the spice cupboard with him from Slyne, Thomas balanced the material legacies of his own family with those of his wife, creating a synthesis of inscribed surfaces across the home they shared and ensuring the memorialisation of both branches of their families.</w:t>
      </w:r>
    </w:p>
    <w:p w14:paraId="3CB3AFBA" w14:textId="1EFE07C8" w:rsidR="00D82F50" w:rsidRPr="00D82F50" w:rsidRDefault="00D82F50" w:rsidP="00D82F50">
      <w:pPr>
        <w:spacing w:after="0" w:line="480" w:lineRule="auto"/>
        <w:ind w:firstLine="720"/>
        <w:jc w:val="both"/>
      </w:pPr>
      <w:r w:rsidRPr="00D82F50">
        <w:t>Although not a ‘spice cupboard’, a third cupboard survives in situ in Bolton-le-Sands, located at the Manor House in Slyne. The cupboard stands in a reception room entirely furnished with surviving seventeenth-century panelling. At the front of the house and adjacent to the front door (but separated from it by a hallway) the room is described in a 2018 heritage statement as a ‘parlour’, though no documentation survives from which any trace of contemporary room use or naming practices can be discerned.</w:t>
      </w:r>
      <w:r w:rsidRPr="00D82F50">
        <w:rPr>
          <w:vertAlign w:val="superscript"/>
        </w:rPr>
        <w:footnoteReference w:id="816"/>
      </w:r>
      <w:r w:rsidRPr="00D82F50">
        <w:t xml:space="preserve"> In contrast with the marriage initials on the façade of the house (‘C</w:t>
      </w:r>
      <w:r w:rsidRPr="00D82F50">
        <w:softHyphen/>
      </w:r>
      <w:r w:rsidRPr="00D82F50">
        <w:rPr>
          <w:vertAlign w:val="superscript"/>
        </w:rPr>
        <w:t>G</w:t>
      </w:r>
      <w:r w:rsidRPr="00D82F50">
        <w:t>M 1681’, in commemoration of Cornelius and Mary Green</w:t>
      </w:r>
      <w:r w:rsidR="00A96F7F">
        <w:t>e</w:t>
      </w:r>
      <w:r w:rsidRPr="00D82F50">
        <w:t>), the cupboard inside is inscribed with the same year (1681) but features only the initials of Cornelius Green</w:t>
      </w:r>
      <w:r w:rsidR="00A96F7F">
        <w:t>e</w:t>
      </w:r>
      <w:r w:rsidRPr="00D82F50">
        <w:t xml:space="preserve"> (Figures </w:t>
      </w:r>
      <w:r w:rsidR="00C7047B">
        <w:t>39</w:t>
      </w:r>
      <w:r w:rsidRPr="00D82F50">
        <w:t xml:space="preserve"> and </w:t>
      </w:r>
      <w:r w:rsidR="00C7047B">
        <w:t>40, p</w:t>
      </w:r>
      <w:r w:rsidR="00E630FD">
        <w:t xml:space="preserve">ages </w:t>
      </w:r>
      <w:r w:rsidR="0090680B">
        <w:t>353 and 354</w:t>
      </w:r>
      <w:r w:rsidRPr="00D82F50">
        <w:t>).</w:t>
      </w:r>
    </w:p>
    <w:p w14:paraId="5469425E" w14:textId="77777777" w:rsidR="00D82F50" w:rsidRPr="00D82F50" w:rsidRDefault="00D82F50" w:rsidP="00D82F50">
      <w:pPr>
        <w:spacing w:after="0" w:line="480" w:lineRule="auto"/>
        <w:ind w:firstLine="720"/>
        <w:jc w:val="both"/>
      </w:pPr>
      <w:r w:rsidRPr="00D82F50">
        <w:t xml:space="preserve">While the spice cupboards surviving at Church Cottage and Hall Farmhouse were intended for the storage of goods in a lockable space, the initialled cupboard at the Manor </w:t>
      </w:r>
      <w:r w:rsidRPr="00D82F50">
        <w:lastRenderedPageBreak/>
        <w:t>House had a slightly different purpose. In modern parlance, ‘cupboard’ denotes an item of furniture with a hinged door, allowing its contents to be hidden from view. Although featuring multiple hinged doors, the Manor House cupboard also incorporates earlier understandings of the word ‘cupboard’, with an open shelf for the display of goods. In the Middle Ages, the term ‘cupboard’ was used in reference to side tables specifically intended for storing and showcasing valuable objects like plate and tableware, as well as for use at mealtimes in serving food.</w:t>
      </w:r>
      <w:r w:rsidRPr="00D82F50">
        <w:rPr>
          <w:vertAlign w:val="superscript"/>
        </w:rPr>
        <w:footnoteReference w:id="817"/>
      </w:r>
      <w:r w:rsidRPr="00D82F50">
        <w:t xml:space="preserve"> Chinnery argues that a change occurred from the mid-sixteenth century onwards, at which point ‘cupboard’ became an ambiguous term used in reference to both open shelving and to storage with hinged, closeable doors.</w:t>
      </w:r>
      <w:r w:rsidRPr="00D82F50">
        <w:rPr>
          <w:vertAlign w:val="superscript"/>
        </w:rPr>
        <w:footnoteReference w:id="818"/>
      </w:r>
      <w:r w:rsidRPr="00D82F50">
        <w:t xml:space="preserve"> The Manor House cupboard sits between both understandings of the term.</w:t>
      </w:r>
    </w:p>
    <w:p w14:paraId="6523FB25" w14:textId="11325C5D" w:rsidR="00D82F50" w:rsidRPr="00D82F50" w:rsidRDefault="00D82F50" w:rsidP="00D82F50">
      <w:pPr>
        <w:spacing w:after="0" w:line="480" w:lineRule="auto"/>
        <w:ind w:firstLine="720"/>
        <w:jc w:val="both"/>
      </w:pPr>
      <w:r w:rsidRPr="00D82F50">
        <w:t>In both form and decoration, the Green</w:t>
      </w:r>
      <w:r w:rsidR="00A96F7F">
        <w:t>e</w:t>
      </w:r>
      <w:r w:rsidRPr="00D82F50">
        <w:t xml:space="preserve">s’ cupboard is strikingly </w:t>
      </w:r>
      <w:proofErr w:type="gramStart"/>
      <w:r w:rsidRPr="00D82F50">
        <w:t>similar to</w:t>
      </w:r>
      <w:proofErr w:type="gramEnd"/>
      <w:r w:rsidRPr="00D82F50">
        <w:t xml:space="preserve"> one illustrated in Chinnery’s </w:t>
      </w:r>
      <w:r w:rsidRPr="00D82F50">
        <w:rPr>
          <w:i/>
          <w:iCs/>
        </w:rPr>
        <w:t>Oak Furniture</w:t>
      </w:r>
      <w:r w:rsidRPr="00D82F50">
        <w:t xml:space="preserve"> (Figure </w:t>
      </w:r>
      <w:r w:rsidR="00A97AD3">
        <w:t>41, p.</w:t>
      </w:r>
      <w:r w:rsidR="0090680B">
        <w:t>355</w:t>
      </w:r>
      <w:r w:rsidRPr="00D82F50">
        <w:t>). Chinnery describes his example as a ‘joined press cupboard’ from near to Lancaster, stating that ‘identical carving is found in this area and further north, from before 1650 until after 1720, evidence of a strong continuance in local traditions’.</w:t>
      </w:r>
      <w:r w:rsidRPr="00D82F50">
        <w:rPr>
          <w:vertAlign w:val="superscript"/>
        </w:rPr>
        <w:footnoteReference w:id="819"/>
      </w:r>
      <w:r w:rsidRPr="00D82F50">
        <w:t xml:space="preserve"> The Manor House cupboard is a reinforcement of Chinnery’s claim, with identical bands of decoration across it</w:t>
      </w:r>
      <w:r w:rsidR="00E44E15">
        <w:t xml:space="preserve"> </w:t>
      </w:r>
      <w:r w:rsidRPr="00D82F50">
        <w:t>(Figure</w:t>
      </w:r>
      <w:r w:rsidR="00E44E15">
        <w:t>s 39 and 40, p</w:t>
      </w:r>
      <w:r w:rsidR="0090680B">
        <w:t>ages 353 and 354</w:t>
      </w:r>
      <w:r w:rsidRPr="00D82F50">
        <w:t>). The Manor House cupboard differs in having an additional wide, squat drawer on its middle level, and rather than being solely a ’press cupboard’ (which Chinnery suggests was used only to describe cupboards with doors) it features an open shelf at its head with decorated spindles at either side. This difference can be partly accounted for by the fact that the Green</w:t>
      </w:r>
      <w:r w:rsidR="00A96F7F">
        <w:t>e</w:t>
      </w:r>
      <w:r w:rsidRPr="00D82F50">
        <w:t xml:space="preserve">s’ cupboard has been made to fit the panelling adorning every wall of the parlour it stands </w:t>
      </w:r>
      <w:r w:rsidRPr="00D82F50">
        <w:lastRenderedPageBreak/>
        <w:t>within, allowing additional height not possible in the free-standing example showcased by Chinnery. That it has been fixed to the panelling also accounts for cupboard’s survival, still present in a house no longer owned by descendants of the family responsible for its production.</w:t>
      </w:r>
    </w:p>
    <w:p w14:paraId="3066A2F8" w14:textId="3623D2B5" w:rsidR="00D82F50" w:rsidRPr="00D82F50" w:rsidRDefault="00D82F50" w:rsidP="00D82F50">
      <w:pPr>
        <w:spacing w:after="0" w:line="480" w:lineRule="auto"/>
        <w:ind w:firstLine="720"/>
        <w:jc w:val="both"/>
      </w:pPr>
      <w:r w:rsidRPr="00D82F50">
        <w:t>Without an inventory for either Cornelius or Mary Green</w:t>
      </w:r>
      <w:r w:rsidR="00A96F7F">
        <w:t>e</w:t>
      </w:r>
      <w:r w:rsidRPr="00D82F50">
        <w:t>, there is no way of knowing what exactly was displayed atop the initialled cupboard in the parlour. Nonetheless, our understanding can be informed by contemporary trends. Throughout the seventeenth and eighteenth centuries, there was a growing number of goods intended not only for use but also for display within the home. Personalised table wares were increasingly available to consumers at the lower as well as the top end of the market, in a range of materials spanning pewter and pottery wares as well as wooden and trine goods. As mentioned in the introduction to this thesis, Angela McShane has argued that from the 1650s onwards ‘more marriages than ever were commemorated with cheap, personalised items, including slipware mugs and cups, earthenware jugs and chargers, wriggle-work pewter tankards and engraved glasses’, all decorated with a new couple’s initials and readily available for early modern consumers to buy.</w:t>
      </w:r>
      <w:r w:rsidRPr="00D82F50">
        <w:rPr>
          <w:vertAlign w:val="superscript"/>
        </w:rPr>
        <w:footnoteReference w:id="820"/>
      </w:r>
      <w:r w:rsidRPr="00D82F50">
        <w:t xml:space="preserve"> In his journal, Giles Moore (rector at Horstead Keynes, Sussex, in the mid-1600s) describes a purchase made in September 1673 of ‘3 small </w:t>
      </w:r>
      <w:proofErr w:type="spellStart"/>
      <w:r w:rsidRPr="00D82F50">
        <w:t>deepe</w:t>
      </w:r>
      <w:proofErr w:type="spellEnd"/>
      <w:r w:rsidRPr="00D82F50">
        <w:t xml:space="preserve"> Pewter dishes … marked G</w:t>
      </w:r>
      <w:r w:rsidRPr="00D82F50">
        <w:rPr>
          <w:vertAlign w:val="superscript"/>
        </w:rPr>
        <w:t>M</w:t>
      </w:r>
      <w:r w:rsidRPr="00D82F50">
        <w:t>S’ – discernibly a set of marriage initials commemorating he and his wife, Susanne.</w:t>
      </w:r>
      <w:r w:rsidRPr="00D82F50">
        <w:rPr>
          <w:vertAlign w:val="superscript"/>
        </w:rPr>
        <w:footnoteReference w:id="821"/>
      </w:r>
      <w:r w:rsidRPr="00D82F50">
        <w:t xml:space="preserve"> These inscribed goods were not solely significant to couples in the immediate wake of their weddings, either: when Moore commissioned the dishes in 1673 he had been married for over twenty years, fitting with McShane’s assertion that commemorative items </w:t>
      </w:r>
      <w:r w:rsidRPr="00D82F50">
        <w:lastRenderedPageBreak/>
        <w:t>‘retained significance over the entire length of the marriage they celebrated’, purchased not just at the commencement of marriage but years afterwards, in Moore’s case.</w:t>
      </w:r>
      <w:r w:rsidRPr="00D82F50">
        <w:rPr>
          <w:vertAlign w:val="superscript"/>
        </w:rPr>
        <w:footnoteReference w:id="822"/>
      </w:r>
    </w:p>
    <w:p w14:paraId="6C86C67A" w14:textId="07CF06A8" w:rsidR="00D82F50" w:rsidRPr="00D82F50" w:rsidRDefault="00D82F50" w:rsidP="00D82F50">
      <w:pPr>
        <w:spacing w:after="0" w:line="480" w:lineRule="auto"/>
        <w:ind w:firstLine="720"/>
        <w:jc w:val="both"/>
      </w:pPr>
      <w:r w:rsidRPr="00D82F50">
        <w:t>A huge range of eating and drinking vessels survive decorated with text as well as images that offer some insight into what may have been present in the Green</w:t>
      </w:r>
      <w:r w:rsidR="00A96F7F">
        <w:t>e</w:t>
      </w:r>
      <w:r w:rsidRPr="00D82F50">
        <w:t>s’ home. Juliet Fleming has highlighted the existence of what she calls ‘speaking crockery’: the wealth of early modern pottery emblazoned with poems, names, ‘royal arms or guild insignia’, advice to drink (or abstain from drinking too much), and ‘pious exhortations’.</w:t>
      </w:r>
      <w:r w:rsidRPr="00D82F50">
        <w:rPr>
          <w:vertAlign w:val="superscript"/>
        </w:rPr>
        <w:footnoteReference w:id="823"/>
      </w:r>
      <w:r w:rsidRPr="00D82F50">
        <w:t xml:space="preserve"> In his compendium of</w:t>
      </w:r>
      <w:r w:rsidRPr="00D82F50">
        <w:rPr>
          <w:i/>
          <w:iCs/>
        </w:rPr>
        <w:t xml:space="preserve"> London Delftware, </w:t>
      </w:r>
      <w:r w:rsidRPr="00D82F50">
        <w:t>Frank Britton has demonstrated the prevalence of marriage initials across many of these different types of pottery, present alongside religious images and those in celebration of various monarchs, next to pastoral scenes and upon imitation chinoiserie, and upon items painted with the heraldry and mottoes of various guilds.</w:t>
      </w:r>
      <w:r w:rsidRPr="00D82F50">
        <w:rPr>
          <w:vertAlign w:val="superscript"/>
        </w:rPr>
        <w:footnoteReference w:id="824"/>
      </w:r>
      <w:r w:rsidRPr="00D82F50">
        <w:t xml:space="preserve"> Examining guilds in particular, Jasmine Kilburn-Toppin has demonstrated the ubiquity of initials in guild spaces, arguing that guild members competed to have their ‘initials, marks, words, or armorial bearings displayed in the most prestigious spaces and chambers within company buildings’ – a trend which included the initials of married couples, as well as individual guildsmen.</w:t>
      </w:r>
      <w:r w:rsidRPr="00D82F50">
        <w:rPr>
          <w:vertAlign w:val="superscript"/>
        </w:rPr>
        <w:footnoteReference w:id="825"/>
      </w:r>
      <w:r w:rsidRPr="00D82F50">
        <w:t xml:space="preserve"> In the upper middling circles to which the Green</w:t>
      </w:r>
      <w:r w:rsidR="00A96F7F">
        <w:t>e</w:t>
      </w:r>
      <w:r w:rsidRPr="00D82F50">
        <w:t>s belonged, initials were recognised as symbols of power and status. They were tools of self-identification and identity formation, and in being a means of staking a claim of ownership within competitive spaces like the guild, they were understood as a stand-in for the body itself.</w:t>
      </w:r>
      <w:r w:rsidRPr="00D82F50">
        <w:rPr>
          <w:vertAlign w:val="superscript"/>
        </w:rPr>
        <w:footnoteReference w:id="826"/>
      </w:r>
    </w:p>
    <w:p w14:paraId="097933FB" w14:textId="2C3F0A76" w:rsidR="00D82F50" w:rsidRPr="00D82F50" w:rsidRDefault="00D82F50" w:rsidP="00D82F50">
      <w:pPr>
        <w:spacing w:after="0" w:line="480" w:lineRule="auto"/>
        <w:ind w:firstLine="720"/>
        <w:jc w:val="both"/>
      </w:pPr>
      <w:r w:rsidRPr="00D82F50">
        <w:lastRenderedPageBreak/>
        <w:t>Whatever the vessels that stood upon the shelf of the Manor House cupboard looked like, it is vital to consider that the cupboard acted in partnership with them. The initials on the cupboard, perhaps echoed in the crockery or plate that sat atop it, were intended to endorse the personal successes of Cornelius Green</w:t>
      </w:r>
      <w:r w:rsidR="00A96F7F">
        <w:t>e</w:t>
      </w:r>
      <w:r w:rsidRPr="00D82F50">
        <w:t xml:space="preserve"> (and by extension his family), carrying messages about the wealth, taste and status of their owner(s). Although the cupboard inscription differed from the marriage initials present upon the front of the house, both sets of initials embedded into the fabric of the building worked together. Understanding the pathway taken by a visitor into the Manor House is an important means of understanding this. Antony Buxton has examined shifts in room use during the early modern period and demonstrated that while ‘chambers’ were spaces in which the whole family could retire, they were also intended for the private reception of guests.</w:t>
      </w:r>
      <w:r w:rsidRPr="00D82F50">
        <w:rPr>
          <w:vertAlign w:val="superscript"/>
        </w:rPr>
        <w:footnoteReference w:id="827"/>
      </w:r>
      <w:r w:rsidRPr="00D82F50">
        <w:t xml:space="preserve"> Parlours had similar functions, and inventories demonstrate an increasing quantity of seating within them as the seventeenth century progressed, intended for the entertainment of ‘larger company’.</w:t>
      </w:r>
      <w:r w:rsidRPr="00D82F50">
        <w:rPr>
          <w:vertAlign w:val="superscript"/>
        </w:rPr>
        <w:footnoteReference w:id="828"/>
      </w:r>
      <w:r w:rsidRPr="00D82F50">
        <w:t xml:space="preserve"> </w:t>
      </w:r>
    </w:p>
    <w:p w14:paraId="09CBC8D4" w14:textId="65222C0E" w:rsidR="00D82F50" w:rsidRPr="00D82F50" w:rsidRDefault="00D82F50" w:rsidP="00D82F50">
      <w:pPr>
        <w:spacing w:after="0" w:line="480" w:lineRule="auto"/>
        <w:ind w:firstLine="720"/>
        <w:jc w:val="both"/>
      </w:pPr>
      <w:r w:rsidRPr="00D82F50">
        <w:t>Buxton emphasises that parlour spaces consistently facilitated (and prioritised) the sociability of the household head, allowing them to retreat and entertain in comfort, ‘away from the household’.</w:t>
      </w:r>
      <w:r w:rsidRPr="00D82F50">
        <w:rPr>
          <w:vertAlign w:val="superscript"/>
        </w:rPr>
        <w:footnoteReference w:id="829"/>
      </w:r>
      <w:r w:rsidRPr="00D82F50">
        <w:t xml:space="preserve"> With the Green</w:t>
      </w:r>
      <w:r w:rsidR="00A96F7F">
        <w:t>e</w:t>
      </w:r>
      <w:r w:rsidRPr="00D82F50">
        <w:t xml:space="preserve">s’ wide-ranging network of upper-middling and gentry status contacts, including members of parliament, the entirety of the Manor House was intended to impress. The symmetrical façade with its marriage-initialled plaque aggrandised the couple and their joint wealth. Passing under this monumental threshold, visitors would arrive in the hallway, a liminal space increasingly present in homes over the course of the seventeenth century, from which visitors would gain admission to different </w:t>
      </w:r>
      <w:r w:rsidRPr="00D82F50">
        <w:lastRenderedPageBreak/>
        <w:t>rooms depending on their relationship to the family and their own status.</w:t>
      </w:r>
      <w:r w:rsidRPr="00D82F50">
        <w:rPr>
          <w:vertAlign w:val="superscript"/>
        </w:rPr>
        <w:footnoteReference w:id="830"/>
      </w:r>
      <w:r w:rsidRPr="00D82F50">
        <w:t xml:space="preserve"> Higher status guests would most likely be guided to the parlour, greeted by the personalised, high-quality cupboard – decorated with the initials of Cornelius</w:t>
      </w:r>
      <w:r w:rsidR="0097249E">
        <w:t xml:space="preserve"> as</w:t>
      </w:r>
      <w:r w:rsidRPr="00D82F50">
        <w:t xml:space="preserve"> household </w:t>
      </w:r>
      <w:r w:rsidR="0097249E">
        <w:t xml:space="preserve">head </w:t>
      </w:r>
      <w:r w:rsidRPr="00D82F50">
        <w:t xml:space="preserve">– incorporated into matching panelling. Hamling has argued that commissioning inscribed cupboards </w:t>
      </w:r>
      <w:r w:rsidR="003804B9">
        <w:t xml:space="preserve">was </w:t>
      </w:r>
      <w:r w:rsidRPr="00D82F50">
        <w:t>particular</w:t>
      </w:r>
      <w:r w:rsidR="003804B9">
        <w:t>ly significant</w:t>
      </w:r>
      <w:r w:rsidRPr="00D82F50">
        <w:t xml:space="preserve"> for families and individuals like the Green</w:t>
      </w:r>
      <w:r w:rsidR="00A96F7F">
        <w:t>e</w:t>
      </w:r>
      <w:r w:rsidRPr="00D82F50">
        <w:t>s, who didn’t have arms</w:t>
      </w:r>
      <w:r w:rsidR="00E3430C">
        <w:t xml:space="preserve"> and so sought to </w:t>
      </w:r>
      <w:r w:rsidRPr="00D82F50">
        <w:t>‘concretise’ their social achievements</w:t>
      </w:r>
      <w:r w:rsidR="00E3430C">
        <w:t xml:space="preserve"> in other </w:t>
      </w:r>
      <w:r w:rsidR="005F5CAA">
        <w:t>ways</w:t>
      </w:r>
      <w:r w:rsidRPr="00D82F50">
        <w:t>.</w:t>
      </w:r>
      <w:r w:rsidRPr="00D82F50">
        <w:rPr>
          <w:vertAlign w:val="superscript"/>
        </w:rPr>
        <w:footnoteReference w:id="831"/>
      </w:r>
      <w:r w:rsidRPr="00D82F50">
        <w:t xml:space="preserve"> The initialled cupboard gave explicit material form to Green</w:t>
      </w:r>
      <w:r w:rsidR="00A96F7F">
        <w:t>e</w:t>
      </w:r>
      <w:r w:rsidRPr="00D82F50">
        <w:t>’s successes. Present in a space in which Cornelius would have received important guests into the home, in many cases doing so on his own, the cupboard – and likely the crockery or plate upon it – put his prosperity and power centre stage.</w:t>
      </w:r>
    </w:p>
    <w:p w14:paraId="69E419AC" w14:textId="000AB636" w:rsidR="00D82F50" w:rsidRPr="00D82F50" w:rsidRDefault="00D82F50" w:rsidP="00D82F50">
      <w:pPr>
        <w:spacing w:after="0" w:line="480" w:lineRule="auto"/>
        <w:ind w:firstLine="720"/>
        <w:jc w:val="both"/>
      </w:pPr>
      <w:r w:rsidRPr="00D82F50">
        <w:t xml:space="preserve">The similarities between the Manor House cupboard and Chinnery’s example are certainly indicative of the strength of the Lancastrian regional </w:t>
      </w:r>
      <w:proofErr w:type="gramStart"/>
      <w:r w:rsidRPr="00D82F50">
        <w:t>style, but</w:t>
      </w:r>
      <w:proofErr w:type="gramEnd"/>
      <w:r w:rsidRPr="00D82F50">
        <w:t xml:space="preserve"> also demonstrate the vitality of the local market in initialled joined furniture. While the Green</w:t>
      </w:r>
      <w:r w:rsidR="00A96F7F">
        <w:t>e</w:t>
      </w:r>
      <w:r w:rsidRPr="00D82F50">
        <w:t>s’ cupboard featured the initials only of Cornelius, Chinnery’s example includes the dated marriage initials ‘I</w:t>
      </w:r>
      <w:r w:rsidRPr="00D82F50">
        <w:rPr>
          <w:vertAlign w:val="superscript"/>
        </w:rPr>
        <w:t>E</w:t>
      </w:r>
      <w:r w:rsidRPr="00D82F50">
        <w:t xml:space="preserve">M 1658’. Anticipating the popularity of inscription, contemporary craftsmen monopolised upon pervading trends, and a rare survival of an unfinished cupboard reveals the strength of this market and the mechanisms underpinning it. Figure </w:t>
      </w:r>
      <w:r w:rsidR="008269AD">
        <w:t>42 (p.</w:t>
      </w:r>
      <w:r w:rsidR="0090680B">
        <w:t>356</w:t>
      </w:r>
      <w:r w:rsidR="008269AD">
        <w:t>)</w:t>
      </w:r>
      <w:r w:rsidRPr="00D82F50">
        <w:t xml:space="preserve"> reveals the </w:t>
      </w:r>
      <w:proofErr w:type="gramStart"/>
      <w:r w:rsidRPr="00D82F50">
        <w:t>partially-completed</w:t>
      </w:r>
      <w:proofErr w:type="gramEnd"/>
      <w:r w:rsidRPr="00D82F50">
        <w:t xml:space="preserve"> frieze of a cupboard, where the final numeral in the date ‘165-’ is yet to be added, and a blank triad awaits the marriage initials of the couple who would finally buy it. Chinnery concludes that many initialled and dated pieces must have been prepared in this way, made </w:t>
      </w:r>
      <w:r w:rsidRPr="00D82F50">
        <w:lastRenderedPageBreak/>
        <w:t>‘off-the-peg’ for a thriving market, though often unseen because they were almost invariably finished as intended.</w:t>
      </w:r>
      <w:r w:rsidRPr="00D82F50">
        <w:rPr>
          <w:vertAlign w:val="superscript"/>
        </w:rPr>
        <w:footnoteReference w:id="832"/>
      </w:r>
      <w:r w:rsidRPr="00D82F50">
        <w:t xml:space="preserve"> </w:t>
      </w:r>
    </w:p>
    <w:p w14:paraId="6EB9BF36" w14:textId="77777777" w:rsidR="00D82F50" w:rsidRPr="00D82F50" w:rsidRDefault="00D82F50" w:rsidP="00D82F50">
      <w:pPr>
        <w:spacing w:after="0" w:line="480" w:lineRule="auto"/>
        <w:ind w:firstLine="720"/>
        <w:jc w:val="both"/>
      </w:pPr>
      <w:r w:rsidRPr="00D82F50">
        <w:t>The production of initialled and inscribed furniture was indeed widespread, with a huge range of household goods available for personalisation. The Manor House cupboard is one example among many larger pieces that would have featured in primary living spaces, including benches, chairs and forms. Some of these goods may have been gifts from either the bride or groom’s families to assist in furnishing the newly-established marital home, or purchased later by the couple when funds allowed.</w:t>
      </w:r>
      <w:r w:rsidRPr="00D82F50">
        <w:rPr>
          <w:vertAlign w:val="superscript"/>
        </w:rPr>
        <w:footnoteReference w:id="833"/>
      </w:r>
      <w:r w:rsidRPr="00D82F50">
        <w:t xml:space="preserve"> As was likely at the Manor House, larger personalised furniture joined a wide array of household goods replete with possibilities for inscription, with textually-decorated tableware sitting alongside often-initialled, hand-worked napkins and tablecloths, and with ‘speaking crockery’ displayed on sideboards alongside cushions embroidered by female members of the household. In discussing a cradle inscribed with marriage initials, Hamling has emphasised the importance of its original position in the home, present in primary living spaces ‘alongside other wooden items of furniture, to memorialise and display formative occasions in the establishment and development of the family or household’.</w:t>
      </w:r>
      <w:r w:rsidRPr="00D82F50">
        <w:rPr>
          <w:vertAlign w:val="superscript"/>
        </w:rPr>
        <w:footnoteReference w:id="834"/>
      </w:r>
    </w:p>
    <w:p w14:paraId="66E971C0" w14:textId="77777777" w:rsidR="00D82F50" w:rsidRPr="00D82F50" w:rsidRDefault="00D82F50" w:rsidP="00D82F50">
      <w:pPr>
        <w:spacing w:after="0" w:line="480" w:lineRule="auto"/>
        <w:ind w:firstLine="720"/>
        <w:jc w:val="both"/>
      </w:pPr>
      <w:r w:rsidRPr="00D82F50">
        <w:t xml:space="preserve">Inscribed goods did not stand alone as they are often seen in museums and private collections. Instead, ownership of them was entangled with possession of a wide range of other household goods with which they combined to create composite spaces within the home. Where initialled cupboards survive within initialled houses, they offer a glimpse of these spaces, allowing us to comprehend contemporary interiors in a way often closed off </w:t>
      </w:r>
      <w:r w:rsidRPr="00D82F50">
        <w:lastRenderedPageBreak/>
        <w:t>through documents alone. They also offer an important insight into the emotional significations that inscribed objects and houses share, highlighting connections between interiors and exteriors not consistently recognised in existing historiography. Through supplementing surviving fixtures and furnishings with inventories, wills and other written sources, it is possible to understand the paths trodden by these objects and their owners. Equally, in contextualising traces of inscribed possessions in documents that show only a shadow of their presence, it is possible to better appreciate their many points of interaction with the lives of early modern people. Where initialled goods were present in Bolton-le-Sands and Prestbury parishes they were part of everyday life, used at mealtimes, during sleep, during visits to taverns, used as small change, and present in the fabric of the home. Rather than a ‘passive backdrop’ to everyday life, they played a key role in facilitating it, and where they commemorated the lives and relationships of specific people, inscriptions acted as emotional anchors between generations, across both space and time.</w:t>
      </w:r>
      <w:r w:rsidRPr="00D82F50">
        <w:rPr>
          <w:vertAlign w:val="superscript"/>
        </w:rPr>
        <w:footnoteReference w:id="835"/>
      </w:r>
      <w:r w:rsidRPr="00D82F50">
        <w:t xml:space="preserve"> </w:t>
      </w:r>
    </w:p>
    <w:p w14:paraId="24BDCBC3" w14:textId="77777777" w:rsidR="00D82F50" w:rsidRPr="00D82F50" w:rsidRDefault="00D82F50" w:rsidP="00D82F50">
      <w:pPr>
        <w:spacing w:after="0" w:line="480" w:lineRule="auto"/>
        <w:ind w:firstLine="720"/>
        <w:jc w:val="both"/>
      </w:pPr>
    </w:p>
    <w:p w14:paraId="203EB8BB" w14:textId="0611D983" w:rsidR="00D82F50" w:rsidRPr="00D82F50" w:rsidRDefault="00B42A97" w:rsidP="00D82F50">
      <w:pPr>
        <w:spacing w:after="0" w:line="480" w:lineRule="auto"/>
        <w:jc w:val="both"/>
        <w:rPr>
          <w:b/>
          <w:bCs/>
        </w:rPr>
      </w:pPr>
      <w:r>
        <w:rPr>
          <w:b/>
          <w:bCs/>
        </w:rPr>
        <w:t>The Inscribed Façade: Inscriptions and Iconography</w:t>
      </w:r>
      <w:r w:rsidR="00D7759B">
        <w:rPr>
          <w:b/>
          <w:bCs/>
        </w:rPr>
        <w:t xml:space="preserve"> on the Fabric of </w:t>
      </w:r>
      <w:r w:rsidR="00F262B5">
        <w:rPr>
          <w:b/>
          <w:bCs/>
        </w:rPr>
        <w:t>the Home</w:t>
      </w:r>
    </w:p>
    <w:p w14:paraId="21419CF3" w14:textId="326ADAE6" w:rsidR="00D82F50" w:rsidRPr="00D82F50" w:rsidRDefault="00D82F50" w:rsidP="00D82F50">
      <w:pPr>
        <w:spacing w:after="0" w:line="480" w:lineRule="auto"/>
        <w:ind w:firstLine="720"/>
        <w:jc w:val="both"/>
      </w:pPr>
      <w:r w:rsidRPr="00D82F50">
        <w:t xml:space="preserve">Building on explorations of the significance of initials and inscriptions </w:t>
      </w:r>
      <w:r w:rsidRPr="00D82F50">
        <w:rPr>
          <w:i/>
          <w:iCs/>
        </w:rPr>
        <w:t xml:space="preserve">inside </w:t>
      </w:r>
      <w:r w:rsidRPr="00D82F50">
        <w:t xml:space="preserve">homes in Bolton-le-Sands and Prestbury parishes, the following section addresses dated initials incorporated into the architectural fabric of surviving properties. Although primarily concerned with dated initials on the outside of homes, inscriptions upon stone fireplaces also form part of this discussion, further emphasising the material continuum between the house interior and exterior. This section develops arguments made in the previous chapter about the role of inscriptions in shaping domestic spaces and conjugal and familial relationships. </w:t>
      </w:r>
      <w:r w:rsidRPr="00D82F50">
        <w:lastRenderedPageBreak/>
        <w:t xml:space="preserve">Combining approaches used by material culture scholars with those of anthropologists, archaeologists and art historians, it interrogates the meanings underlying inscriptions in both areas. The iconography </w:t>
      </w:r>
      <w:proofErr w:type="gramStart"/>
      <w:r w:rsidRPr="00D82F50">
        <w:t>present</w:t>
      </w:r>
      <w:proofErr w:type="gramEnd"/>
      <w:r w:rsidRPr="00D82F50">
        <w:t xml:space="preserve"> in and around inscriptions is examined, as well as the motivation for placing inscriptions in different locations around the home. Considering images and symbols used in dated initials through the lens of contemporary belief systems, this section builds on existing scholarship and touches on other examples of similar imagery found elsewhere in England. This ideological and iconographical inquiry into dated initials in Bolton-le-Sands and Prestbury builds a fuller picture of the impulse to inscribe in both communities, charting stylistic differences and considering how intentions may have changed over time.</w:t>
      </w:r>
    </w:p>
    <w:p w14:paraId="6D2EE6E6" w14:textId="1F015AFC" w:rsidR="00D82F50" w:rsidRPr="00D82F50" w:rsidRDefault="00D82F50" w:rsidP="00D82F50">
      <w:pPr>
        <w:spacing w:after="0" w:line="480" w:lineRule="auto"/>
        <w:ind w:firstLine="720"/>
        <w:jc w:val="both"/>
      </w:pPr>
      <w:r w:rsidRPr="00D82F50">
        <w:t>The previous chapter considered the life cycle significance of the initials present at Cobblers’ Lodge in Bolton-le-Sands. Inscribed with the initials ‘W</w:t>
      </w:r>
      <w:r w:rsidRPr="00D82F50">
        <w:rPr>
          <w:vertAlign w:val="superscript"/>
        </w:rPr>
        <w:t>W</w:t>
      </w:r>
      <w:r w:rsidRPr="00D82F50">
        <w:t>E’ and the year 1686 (Figure 1</w:t>
      </w:r>
      <w:r w:rsidR="00C616F2">
        <w:t>2, p.</w:t>
      </w:r>
      <w:r w:rsidR="0090680B">
        <w:t>326</w:t>
      </w:r>
      <w:r w:rsidRPr="00D82F50">
        <w:t>), the fireplace commemorates either a betrothal or spousals made between William and Elizabeth Wilkinson, acting as a material reinforcement of a marriage that was only formalised in church the following year. The lettering occupies the centre of the fireplace lintel, but the full inscription extends to a range of layered, symbolic imagery. Unpicking contemporary beliefs about the fireplace and how they relate to the marks present within the Cobblers’ Lodge inscription is an important step in appreciating the significance of inscribed initials in early modern homes.</w:t>
      </w:r>
    </w:p>
    <w:p w14:paraId="3B5CF07A" w14:textId="08B09DCA" w:rsidR="00D82F50" w:rsidRPr="00D82F50" w:rsidRDefault="00D82F50" w:rsidP="00D82F50">
      <w:pPr>
        <w:spacing w:after="0" w:line="480" w:lineRule="auto"/>
        <w:ind w:firstLine="720"/>
        <w:jc w:val="both"/>
      </w:pPr>
      <w:r w:rsidRPr="00D82F50">
        <w:t xml:space="preserve">Present in seventeenth- and eighteenth-century publications and evinced by archaeological findings, early modern beliefs about protecting the home often centred on both the fireplace and the main doorway. The two were permeable gateways into the home, perceived as routes through which harmful forces might gain entry. One oft-cited means of protecting the hearth was the ‘witch bottle’: in his </w:t>
      </w:r>
      <w:r w:rsidRPr="00D82F50">
        <w:rPr>
          <w:i/>
          <w:iCs/>
        </w:rPr>
        <w:t xml:space="preserve">Astrological Practice of Physick, </w:t>
      </w:r>
      <w:r w:rsidRPr="00D82F50">
        <w:t>published in 1671,</w:t>
      </w:r>
      <w:r w:rsidRPr="00D82F50">
        <w:rPr>
          <w:i/>
          <w:iCs/>
        </w:rPr>
        <w:t xml:space="preserve"> </w:t>
      </w:r>
      <w:r w:rsidRPr="00D82F50">
        <w:t xml:space="preserve">astrologer Joseph Blagrave advocated banishing a witch (who had possessed a </w:t>
      </w:r>
      <w:r w:rsidRPr="00D82F50">
        <w:lastRenderedPageBreak/>
        <w:t>victim’s body) by taking the ‘urine of the Patient’ and placing it in a bottle along with nails, pins or needles.</w:t>
      </w:r>
      <w:r w:rsidRPr="00D82F50">
        <w:rPr>
          <w:vertAlign w:val="superscript"/>
        </w:rPr>
        <w:footnoteReference w:id="836"/>
      </w:r>
      <w:r w:rsidRPr="00D82F50">
        <w:t xml:space="preserve"> Such bottles have been found containing a variety of ‘sharp and spiky’ objects, as well as hair, fingernails, and felt hearts pierced with pins.</w:t>
      </w:r>
      <w:r w:rsidRPr="00D82F50">
        <w:rPr>
          <w:vertAlign w:val="superscript"/>
        </w:rPr>
        <w:footnoteReference w:id="837"/>
      </w:r>
      <w:r w:rsidRPr="00D82F50">
        <w:t xml:space="preserve"> Discussing 187 such bottles found up to 2001, archaeologist Brian Hoggard has demonstrated that the majority were buried beneath the hearth, with most others interred at thresholds and beneath walls – additional points of defensive anxiety within the home.</w:t>
      </w:r>
      <w:r w:rsidRPr="00D82F50">
        <w:rPr>
          <w:vertAlign w:val="superscript"/>
        </w:rPr>
        <w:footnoteReference w:id="838"/>
      </w:r>
    </w:p>
    <w:p w14:paraId="778259F3" w14:textId="63B743CB" w:rsidR="00D82F50" w:rsidRPr="00D82F50" w:rsidRDefault="00D82F50" w:rsidP="00D82F50">
      <w:pPr>
        <w:spacing w:after="0" w:line="480" w:lineRule="auto"/>
        <w:ind w:firstLine="720"/>
        <w:jc w:val="both"/>
      </w:pPr>
      <w:r w:rsidRPr="00D82F50">
        <w:t xml:space="preserve">There </w:t>
      </w:r>
      <w:proofErr w:type="gramStart"/>
      <w:r w:rsidRPr="00D82F50">
        <w:t>are</w:t>
      </w:r>
      <w:proofErr w:type="gramEnd"/>
      <w:r w:rsidRPr="00D82F50">
        <w:t xml:space="preserve"> no witch bottles associated with Cobblers’ Lodge, but the emphasis on the hearth in contemporary protection rituals is an important lens through which to consider the fireplace inscription. Witch bottles were one of many early modern ‘apotropaic’ devices believed capable of ‘averting evil influence or ill luck’.</w:t>
      </w:r>
      <w:r w:rsidRPr="00D82F50">
        <w:rPr>
          <w:vertAlign w:val="superscript"/>
        </w:rPr>
        <w:footnoteReference w:id="839"/>
      </w:r>
      <w:r w:rsidRPr="00D82F50">
        <w:t xml:space="preserve"> In addition to artefacts, numerous symbols and patterns were mobilised in protecting the home, some of which can be seen alongside the engraved initials at Cobblers’ Lodge. The pentagrams upon the upper left and right sides of the fireplace are characteristic of apotropaic marks codified by anthropologist Alfred Gell, comprising interweaving geometric shapes designed to trap threatening spirits in a form of ‘demonic fly paper’.</w:t>
      </w:r>
      <w:r w:rsidRPr="00D82F50">
        <w:rPr>
          <w:vertAlign w:val="superscript"/>
        </w:rPr>
        <w:footnoteReference w:id="840"/>
      </w:r>
      <w:r w:rsidRPr="00D82F50">
        <w:t xml:space="preserve"> The pentagram combines the infinitesimal geometric pattern common to many apotropaic symbols across the globe with Christian symbolism, with its five points representative of the five wounds of Christ on the cross.</w:t>
      </w:r>
      <w:r w:rsidRPr="00D82F50">
        <w:rPr>
          <w:vertAlign w:val="superscript"/>
        </w:rPr>
        <w:footnoteReference w:id="841"/>
      </w:r>
      <w:r w:rsidRPr="00D82F50">
        <w:t xml:space="preserve"> In the sixteenth and seventeenth centuries the pentagram became specifically associated with fortification </w:t>
      </w:r>
      <w:r w:rsidRPr="00D82F50">
        <w:lastRenderedPageBreak/>
        <w:t>against witchcraft and its use within homes like Cobblers’ Lodge has been interpreted as a spiritual defensive strategy.</w:t>
      </w:r>
      <w:r w:rsidRPr="00D82F50">
        <w:rPr>
          <w:vertAlign w:val="superscript"/>
        </w:rPr>
        <w:footnoteReference w:id="842"/>
      </w:r>
      <w:r w:rsidRPr="00D82F50">
        <w:t xml:space="preserve"> Positioned immediately next to the initials, at both sides of the spiritually charged site of the fireplace, the pentagram is an indication that protection against malevolent forces was likely a concern for the Wilkinsons when remodelling Cobblers’ Lodge.</w:t>
      </w:r>
    </w:p>
    <w:p w14:paraId="5EC1B31D" w14:textId="5BC99365" w:rsidR="00D82F50" w:rsidRPr="00D82F50" w:rsidRDefault="00D82F50" w:rsidP="00D82F50">
      <w:pPr>
        <w:spacing w:after="0" w:line="480" w:lineRule="auto"/>
        <w:ind w:firstLine="720"/>
        <w:jc w:val="both"/>
      </w:pPr>
      <w:r w:rsidRPr="00D82F50">
        <w:t xml:space="preserve">Alongside the pentagram, an additional Christian apotropaic symbol is built into the Cobblers’ Lodge marriage initials. The raised ‘W’ initial signifying the couple’s shared surname is unlike the ‘W’ beneath it, used for William’s forename (Figure </w:t>
      </w:r>
      <w:r w:rsidR="00B875A7">
        <w:t>43</w:t>
      </w:r>
      <w:r w:rsidR="007700BF">
        <w:t>, p.</w:t>
      </w:r>
      <w:r w:rsidR="0090680B">
        <w:t>357</w:t>
      </w:r>
      <w:r w:rsidRPr="00D82F50">
        <w:t xml:space="preserve">). The higher W is stylised, in a form often found upon domestic as well as religious buildings in England from the fifteenth century onwards: formed of two overlapping Vs, it has been widely interpreted as meaning </w:t>
      </w:r>
      <w:r w:rsidRPr="00D82F50">
        <w:rPr>
          <w:i/>
          <w:iCs/>
        </w:rPr>
        <w:t xml:space="preserve">Virgo </w:t>
      </w:r>
      <w:proofErr w:type="spellStart"/>
      <w:r w:rsidRPr="00D82F50">
        <w:rPr>
          <w:i/>
          <w:iCs/>
        </w:rPr>
        <w:t>Virginum</w:t>
      </w:r>
      <w:proofErr w:type="spellEnd"/>
      <w:r w:rsidRPr="00D82F50">
        <w:rPr>
          <w:i/>
          <w:iCs/>
        </w:rPr>
        <w:t xml:space="preserve">, </w:t>
      </w:r>
      <w:r w:rsidRPr="00D82F50">
        <w:t>or ‘Virgin of Virgins’.</w:t>
      </w:r>
      <w:r w:rsidRPr="00D82F50">
        <w:rPr>
          <w:vertAlign w:val="superscript"/>
        </w:rPr>
        <w:footnoteReference w:id="843"/>
      </w:r>
      <w:r w:rsidRPr="00D82F50">
        <w:t xml:space="preserve"> Similar symbols like AM, AMR and MR (meaning </w:t>
      </w:r>
      <w:r w:rsidRPr="00D82F50">
        <w:rPr>
          <w:i/>
          <w:iCs/>
        </w:rPr>
        <w:t>Ave</w:t>
      </w:r>
      <w:r w:rsidRPr="00D82F50">
        <w:t xml:space="preserve"> </w:t>
      </w:r>
      <w:r w:rsidRPr="00D82F50">
        <w:rPr>
          <w:i/>
          <w:iCs/>
        </w:rPr>
        <w:t>Maria</w:t>
      </w:r>
      <w:r w:rsidRPr="00D82F50">
        <w:t xml:space="preserve">, </w:t>
      </w:r>
      <w:r w:rsidRPr="00D82F50">
        <w:rPr>
          <w:i/>
          <w:iCs/>
        </w:rPr>
        <w:t>Ave</w:t>
      </w:r>
      <w:r w:rsidRPr="00D82F50">
        <w:t xml:space="preserve"> </w:t>
      </w:r>
      <w:r w:rsidRPr="00D82F50">
        <w:rPr>
          <w:i/>
          <w:iCs/>
        </w:rPr>
        <w:t>Maria</w:t>
      </w:r>
      <w:r w:rsidRPr="00D82F50">
        <w:t xml:space="preserve"> </w:t>
      </w:r>
      <w:r w:rsidRPr="00D82F50">
        <w:rPr>
          <w:i/>
          <w:iCs/>
        </w:rPr>
        <w:t xml:space="preserve">Regina </w:t>
      </w:r>
      <w:r w:rsidRPr="00D82F50">
        <w:t xml:space="preserve">and </w:t>
      </w:r>
      <w:r w:rsidRPr="00D82F50">
        <w:rPr>
          <w:i/>
          <w:iCs/>
        </w:rPr>
        <w:t>Maria Regina</w:t>
      </w:r>
      <w:r w:rsidRPr="00D82F50">
        <w:t xml:space="preserve"> respectively) have all been found alongside the ‘double v’ symbol, concentrated around doorways, windows and chimneys and inciting the protection of the Virgin Mary.</w:t>
      </w:r>
      <w:r w:rsidRPr="00D82F50">
        <w:rPr>
          <w:vertAlign w:val="superscript"/>
        </w:rPr>
        <w:footnoteReference w:id="844"/>
      </w:r>
      <w:r w:rsidRPr="00D82F50">
        <w:t xml:space="preserve"> Chris Caple has argued that, like the pentagram, between the sixteenth and eighteenth centuries these collections of letters were specifically associated with protection against witchcraft.</w:t>
      </w:r>
      <w:r w:rsidRPr="00D82F50">
        <w:rPr>
          <w:vertAlign w:val="superscript"/>
        </w:rPr>
        <w:footnoteReference w:id="845"/>
      </w:r>
      <w:r w:rsidRPr="00D82F50">
        <w:t xml:space="preserve"> Matthew Champion argues that Marian inscriptions and graffiti marks originated in the medieval church where they were an accepted </w:t>
      </w:r>
      <w:r w:rsidRPr="00D82F50">
        <w:lastRenderedPageBreak/>
        <w:t>form of parochial worship and lay piety, acting as a direct link between an individual and their God.</w:t>
      </w:r>
      <w:r w:rsidRPr="00D82F50">
        <w:rPr>
          <w:vertAlign w:val="superscript"/>
        </w:rPr>
        <w:footnoteReference w:id="846"/>
      </w:r>
      <w:r w:rsidRPr="00D82F50">
        <w:t xml:space="preserve"> Champion suggests their meanings may have shifted in different settings, and that they were part of a continually-evolving system of folk belief, enabling them to become ritualised protection marks used in the home.</w:t>
      </w:r>
      <w:r w:rsidRPr="00D82F50">
        <w:rPr>
          <w:vertAlign w:val="superscript"/>
        </w:rPr>
        <w:footnoteReference w:id="847"/>
      </w:r>
    </w:p>
    <w:p w14:paraId="480158D8" w14:textId="1C26970E" w:rsidR="00D82F50" w:rsidRPr="00D82F50" w:rsidRDefault="00D82F50" w:rsidP="00D82F50">
      <w:pPr>
        <w:spacing w:after="0" w:line="480" w:lineRule="auto"/>
        <w:ind w:firstLine="720"/>
        <w:jc w:val="both"/>
      </w:pPr>
      <w:r w:rsidRPr="00D82F50">
        <w:t>The use of a Marian mark in the centre of the fireplace, bookended by pentagrams at either side, is strongly suggestive of a protective intention within the Cobblers Lodge inscription. Integrated into marriage initials, moreover, the meanings underlying the markings may be even more layered. The ‘double v’ has been made an emblem of the couple’s surname, perhaps invoking contemporary ideas about the sanctity of marriage as a force for mutual protection and a defence against sexual sin.</w:t>
      </w:r>
      <w:r w:rsidRPr="00D82F50">
        <w:rPr>
          <w:vertAlign w:val="superscript"/>
        </w:rPr>
        <w:footnoteReference w:id="848"/>
      </w:r>
      <w:r w:rsidRPr="00D82F50">
        <w:t xml:space="preserve"> As discussed in the previous chapter, William and Elizabeth do not appear to have been formally married in the year marked by the inscription. If the initials can be considered a cementation of their intention to marry, and thus a mark of their betrothal or spousals rather than marriage itself, the invocation of </w:t>
      </w:r>
      <w:r w:rsidRPr="00D82F50">
        <w:rPr>
          <w:i/>
          <w:iCs/>
        </w:rPr>
        <w:t xml:space="preserve">Virgo </w:t>
      </w:r>
      <w:proofErr w:type="spellStart"/>
      <w:r w:rsidRPr="00D82F50">
        <w:rPr>
          <w:i/>
          <w:iCs/>
        </w:rPr>
        <w:t>Virginum</w:t>
      </w:r>
      <w:proofErr w:type="spellEnd"/>
      <w:r w:rsidRPr="00D82F50">
        <w:rPr>
          <w:i/>
          <w:iCs/>
        </w:rPr>
        <w:t xml:space="preserve"> </w:t>
      </w:r>
      <w:r w:rsidRPr="00D82F50">
        <w:t xml:space="preserve">for a couple who had likely promised themselves to one another but had not yet necessarily consummated their union may be </w:t>
      </w:r>
      <w:proofErr w:type="gramStart"/>
      <w:r w:rsidRPr="00D82F50">
        <w:t>all the more</w:t>
      </w:r>
      <w:proofErr w:type="gramEnd"/>
      <w:r w:rsidRPr="00D82F50">
        <w:t xml:space="preserve"> meaningful.</w:t>
      </w:r>
      <w:r w:rsidRPr="00D82F50">
        <w:rPr>
          <w:vertAlign w:val="superscript"/>
        </w:rPr>
        <w:footnoteReference w:id="849"/>
      </w:r>
    </w:p>
    <w:p w14:paraId="76BA333A" w14:textId="0FDAAF8A" w:rsidR="00D82F50" w:rsidRPr="00D82F50" w:rsidRDefault="00D82F50" w:rsidP="00D82F50">
      <w:pPr>
        <w:spacing w:after="0" w:line="480" w:lineRule="auto"/>
        <w:ind w:firstLine="720"/>
        <w:jc w:val="both"/>
      </w:pPr>
      <w:r w:rsidRPr="00D82F50">
        <w:t>Around the corner from Cobblers</w:t>
      </w:r>
      <w:r w:rsidR="006A5A22">
        <w:t>’</w:t>
      </w:r>
      <w:r w:rsidRPr="00D82F50">
        <w:t xml:space="preserve"> Lodge, just 300 metres away, another house features dated initials with a distinct protective element. The property is unlisted, and Emmeline Garnett refers to it in her gazetteer simply as ‘McGaffigan’s Yard’, referring to the family-owned iron merchant now occupying the site.</w:t>
      </w:r>
      <w:r w:rsidRPr="00D82F50">
        <w:rPr>
          <w:vertAlign w:val="superscript"/>
        </w:rPr>
        <w:footnoteReference w:id="850"/>
      </w:r>
      <w:r w:rsidRPr="00D82F50">
        <w:t xml:space="preserve"> Following considerable changes to </w:t>
      </w:r>
      <w:r w:rsidRPr="00D82F50">
        <w:lastRenderedPageBreak/>
        <w:t xml:space="preserve">the building, only the inscribed doorway – reading ‘GPA 1694’ (Figure </w:t>
      </w:r>
      <w:r w:rsidR="00194781">
        <w:t>44, p.</w:t>
      </w:r>
      <w:r w:rsidR="0090680B">
        <w:t>358</w:t>
      </w:r>
      <w:r w:rsidRPr="00D82F50">
        <w:t xml:space="preserve">) – and a three-light chamfered mullioned window are visible from the exterior (Figure </w:t>
      </w:r>
      <w:r w:rsidR="00472821">
        <w:t>45, p.</w:t>
      </w:r>
      <w:r w:rsidR="00FD1FFA">
        <w:t>359</w:t>
      </w:r>
      <w:r w:rsidRPr="00D82F50">
        <w:t>). The initials likely refer to George and Alice Preston, married in Bolton-le-Sands on 26 December 1676.</w:t>
      </w:r>
      <w:r w:rsidRPr="00D82F50">
        <w:rPr>
          <w:vertAlign w:val="superscript"/>
        </w:rPr>
        <w:footnoteReference w:id="851"/>
      </w:r>
      <w:r w:rsidRPr="00D82F50">
        <w:t xml:space="preserve"> The ‘A’ initial is stylised: rather than a horizontal line, its central bar is V-shaped. The result is a letter M incorporated within the A, transforming the initial into the Marian mark, ‘AM’, meaning </w:t>
      </w:r>
      <w:r w:rsidRPr="00D82F50">
        <w:rPr>
          <w:i/>
          <w:iCs/>
        </w:rPr>
        <w:t xml:space="preserve">Ave Maria. </w:t>
      </w:r>
      <w:r w:rsidRPr="00D82F50">
        <w:t xml:space="preserve">The same configuration is visible on other contemporary façades, as at Arnold House in Corsham, near Bath (Figure </w:t>
      </w:r>
      <w:r w:rsidR="00902A73">
        <w:t>46, p.</w:t>
      </w:r>
      <w:r w:rsidR="00FD1FFA">
        <w:t>360</w:t>
      </w:r>
      <w:r w:rsidRPr="00D82F50">
        <w:t xml:space="preserve">) and at the Manor House in </w:t>
      </w:r>
      <w:proofErr w:type="spellStart"/>
      <w:r w:rsidRPr="00D82F50">
        <w:t>Bracondale</w:t>
      </w:r>
      <w:proofErr w:type="spellEnd"/>
      <w:r w:rsidRPr="00D82F50">
        <w:t xml:space="preserve">, Norwich (Figure </w:t>
      </w:r>
      <w:r w:rsidR="005B0FCE">
        <w:t>47, p.</w:t>
      </w:r>
      <w:r w:rsidR="00FD1FFA">
        <w:t>361</w:t>
      </w:r>
      <w:r w:rsidRPr="00D82F50">
        <w:t xml:space="preserve">). One example from Galway city, Ireland, makes the connection explicit, featuring a stylised ‘A’ within two pairs of marriage initials, surmounted by a marital crest, the year 1615, and the words ‘AVE MARI GRACIA’ (Figure </w:t>
      </w:r>
      <w:r w:rsidR="00CE53C0">
        <w:t>48, p.</w:t>
      </w:r>
      <w:r w:rsidR="007D6D23">
        <w:t>362</w:t>
      </w:r>
      <w:r w:rsidRPr="00D82F50">
        <w:t>). Notably, only the ‘A’ forename initial is a Marian mark, doubly imbuing the personalisation with the Marian symbolism of the rest of the inscription. That this symbolism was being used on the west coast of Ireland, which had strong shipping links with the north-west of England in this period, may be a testament to an overlapping, shared visual culture.</w:t>
      </w:r>
      <w:r w:rsidRPr="00D82F50">
        <w:rPr>
          <w:vertAlign w:val="superscript"/>
        </w:rPr>
        <w:footnoteReference w:id="852"/>
      </w:r>
    </w:p>
    <w:p w14:paraId="604C3353" w14:textId="72B0F003" w:rsidR="00D82F50" w:rsidRPr="00D82F50" w:rsidRDefault="00D82F50" w:rsidP="00D82F50">
      <w:pPr>
        <w:spacing w:after="0" w:line="480" w:lineRule="auto"/>
        <w:ind w:firstLine="720"/>
        <w:jc w:val="both"/>
      </w:pPr>
      <w:r w:rsidRPr="00D82F50">
        <w:t>The ‘AM’ mark can be found in similar circumstances to the ‘VV’ present at Cobblers</w:t>
      </w:r>
      <w:r w:rsidR="006A5A22">
        <w:t>’</w:t>
      </w:r>
      <w:r w:rsidRPr="00D82F50">
        <w:t xml:space="preserve"> Lodge, used to fortify points of defensive anxiety around the home. Discussions of apotropaic marks and the invocation of magic have been treated with suspicion by some scholars, likely because of their associations with folklore and folk magic that, as Champion asserts, have been ‘generally regarded as only marginally academic’.</w:t>
      </w:r>
      <w:r w:rsidRPr="00D82F50">
        <w:rPr>
          <w:vertAlign w:val="superscript"/>
        </w:rPr>
        <w:footnoteReference w:id="853"/>
      </w:r>
      <w:r w:rsidRPr="00D82F50">
        <w:t xml:space="preserve"> However, the McGaffigan’s Yard inscription contains an additional element suggesting protection was a key concern. </w:t>
      </w:r>
      <w:r w:rsidRPr="00D82F50">
        <w:lastRenderedPageBreak/>
        <w:t xml:space="preserve">Considering the numerals above the marriage initials, the tails of the numbers 6 and 9 are extended, almost meeting with one another. At nearby New Capernwray Farmhouse, the same numbers have been rotated a full </w:t>
      </w:r>
      <w:proofErr w:type="gramStart"/>
      <w:r w:rsidRPr="00D82F50">
        <w:t>90  ̊</w:t>
      </w:r>
      <w:proofErr w:type="gramEnd"/>
      <w:r w:rsidRPr="00D82F50">
        <w:t xml:space="preserve">(Figure </w:t>
      </w:r>
      <w:r w:rsidR="00321A44">
        <w:t>49, p.</w:t>
      </w:r>
      <w:r w:rsidR="007D6D23">
        <w:t>363</w:t>
      </w:r>
      <w:r w:rsidRPr="00D82F50">
        <w:t xml:space="preserve">). Consequently, both inscriptions incorporate the zodiac sign for Cancer (Figure </w:t>
      </w:r>
      <w:r w:rsidR="00984F2F">
        <w:t>50, p.</w:t>
      </w:r>
      <w:r w:rsidR="007D6D23">
        <w:t>364</w:t>
      </w:r>
      <w:r w:rsidRPr="00D82F50">
        <w:t xml:space="preserve">). One of the most notable astrological works of its time, William Lilly’s expansive </w:t>
      </w:r>
      <w:r w:rsidRPr="00D82F50">
        <w:rPr>
          <w:i/>
          <w:iCs/>
        </w:rPr>
        <w:t xml:space="preserve">Christian Astrology </w:t>
      </w:r>
      <w:r w:rsidRPr="00D82F50">
        <w:t>(1647) provides detailed interpretation of each sign of the zodiac, offering instruction in using the stars and planets for divination and prophecy.</w:t>
      </w:r>
      <w:r w:rsidRPr="00D82F50">
        <w:rPr>
          <w:vertAlign w:val="superscript"/>
        </w:rPr>
        <w:footnoteReference w:id="854"/>
      </w:r>
      <w:r w:rsidRPr="00D82F50">
        <w:t xml:space="preserve"> Describing Cancer, Lilly asserts that it should be used to seek answers to all questions related to ‘Lands, Houses, Tenements, Inheritances, … all ancient Dwellings, Gardens, Fields … the quality and nature of the grounds one </w:t>
      </w:r>
      <w:proofErr w:type="spellStart"/>
      <w:r w:rsidRPr="00D82F50">
        <w:t>purchaseth</w:t>
      </w:r>
      <w:proofErr w:type="spellEnd"/>
      <w:r w:rsidRPr="00D82F50">
        <w:t>’.</w:t>
      </w:r>
      <w:r w:rsidRPr="00D82F50">
        <w:rPr>
          <w:vertAlign w:val="superscript"/>
        </w:rPr>
        <w:footnoteReference w:id="855"/>
      </w:r>
      <w:r w:rsidRPr="00D82F50">
        <w:t xml:space="preserve"> The sign was closely associated with houses and immovable property in early modern England, rendering it apt for inclusion in a threshold inscription.</w:t>
      </w:r>
    </w:p>
    <w:p w14:paraId="6659EFB6" w14:textId="77777777" w:rsidR="00D82F50" w:rsidRPr="00D82F50" w:rsidRDefault="00D82F50" w:rsidP="00D82F50">
      <w:pPr>
        <w:spacing w:after="0" w:line="480" w:lineRule="auto"/>
        <w:ind w:firstLine="720"/>
        <w:jc w:val="both"/>
      </w:pPr>
      <w:r w:rsidRPr="00D82F50">
        <w:t>Lilly advocated using the positions of the skies to understand the present and future, and other seventeenth-century practitioners proclaimed that astrological symbols could be used to influence individuals’ fates. As mentioned in chapter one, medical-astrologer Simon Forman marked three celestial bodies governing his horoscope on his own body in 1609, believing that if placed at a precise astrological moment, they could alter the course of his life.</w:t>
      </w:r>
      <w:r w:rsidRPr="00D82F50">
        <w:rPr>
          <w:vertAlign w:val="superscript"/>
        </w:rPr>
        <w:footnoteReference w:id="856"/>
      </w:r>
      <w:r w:rsidRPr="00D82F50">
        <w:t xml:space="preserve"> Mary Fissell has also demonstrated that giving material form to astrological symbols played a significant role in some early modern charms.</w:t>
      </w:r>
      <w:r w:rsidRPr="00D82F50">
        <w:rPr>
          <w:vertAlign w:val="superscript"/>
        </w:rPr>
        <w:footnoteReference w:id="857"/>
      </w:r>
      <w:r w:rsidRPr="00D82F50">
        <w:t xml:space="preserve"> Fissell cites a 1706 spell against houseflies, calling for a plate inscribed with the zodiac symbol for Pisces to be buried beneath </w:t>
      </w:r>
      <w:r w:rsidRPr="00D82F50">
        <w:lastRenderedPageBreak/>
        <w:t>the centre of the house while a chant was recited.</w:t>
      </w:r>
      <w:r w:rsidRPr="00D82F50">
        <w:rPr>
          <w:vertAlign w:val="superscript"/>
        </w:rPr>
        <w:footnoteReference w:id="858"/>
      </w:r>
      <w:r w:rsidRPr="00D82F50">
        <w:t xml:space="preserve"> Astrological signs and readings were believed to have real-world consequences. Astrologer John Partridge outlined the precise conditions for ‘the Laying of Foundations of Cities, Houses, and other Building’s [sic]’ in </w:t>
      </w:r>
      <w:proofErr w:type="spellStart"/>
      <w:r w:rsidRPr="00D82F50">
        <w:rPr>
          <w:i/>
          <w:iCs/>
        </w:rPr>
        <w:t>Mikropanastrone</w:t>
      </w:r>
      <w:proofErr w:type="spellEnd"/>
      <w:r w:rsidRPr="00D82F50">
        <w:rPr>
          <w:i/>
          <w:iCs/>
        </w:rPr>
        <w:t xml:space="preserve"> </w:t>
      </w:r>
      <w:r w:rsidRPr="00D82F50">
        <w:t>(1692), and argued that notable buildings ‘ruined with Age for want of Repair’ or ‘burnt by that dreadful Fire 1666’ had been built without proper deference to the stars.</w:t>
      </w:r>
      <w:r w:rsidRPr="00D82F50">
        <w:rPr>
          <w:vertAlign w:val="superscript"/>
        </w:rPr>
        <w:footnoteReference w:id="859"/>
      </w:r>
    </w:p>
    <w:p w14:paraId="234DFCEC" w14:textId="77777777" w:rsidR="00D82F50" w:rsidRPr="00D82F50" w:rsidRDefault="00D82F50" w:rsidP="00D82F50">
      <w:pPr>
        <w:spacing w:after="0" w:line="480" w:lineRule="auto"/>
        <w:ind w:firstLine="720"/>
        <w:jc w:val="both"/>
      </w:pPr>
      <w:r w:rsidRPr="00D82F50">
        <w:t>When considered alongside contemporary modes of thought, it is entirely comprehensible that couples should seek to mobilise the power of the constellations and signs of the zodiac in remodelling their home. At McGaffigan’s Yard and New Capernwray Farmhouse, George and Alice Preston and Thomas and Eling Greenwood were using the astrological symbol that governed land, property, and domestic space to attempt to positively impact both the building and their lives there. It is impossible to know whether they observed the stars or made any verbal invocations when adding Cancer to the lintels that bore their initials, but in situating this symbol at their thresholds they were engaging in an auspicious practice, rooted in protecting their home.</w:t>
      </w:r>
    </w:p>
    <w:p w14:paraId="01ECC17B" w14:textId="0328F556" w:rsidR="00D82F50" w:rsidRPr="00D82F50" w:rsidRDefault="00D82F50" w:rsidP="00D82F50">
      <w:pPr>
        <w:spacing w:after="0" w:line="480" w:lineRule="auto"/>
        <w:ind w:firstLine="720"/>
        <w:jc w:val="both"/>
      </w:pPr>
      <w:r w:rsidRPr="00D82F50">
        <w:t xml:space="preserve">Protection of the home was a key concern for early modern people, and this took a variety of forms. In addition to Marian marks present upon several thresholds, other religious imagery is also present. The addition of bands across the midpoint of the numeral ‘1’ (or the letter I or J) is common to many carved lintels in Bolton-le-Sands parish. At Hawkshead Farmhouse and at Old Hall Farmhouse, for example, the number ‘1’ has been accentuated to such a degree in both instances that it is strongly evocative of the Latin cross (Figures </w:t>
      </w:r>
      <w:r w:rsidR="00BF4A14">
        <w:t>51</w:t>
      </w:r>
      <w:r w:rsidRPr="00D82F50">
        <w:t xml:space="preserve"> and </w:t>
      </w:r>
      <w:r w:rsidR="00BF4A14">
        <w:t>52, p</w:t>
      </w:r>
      <w:r w:rsidR="007D6D23">
        <w:t>ages 365 and 366</w:t>
      </w:r>
      <w:r w:rsidRPr="00D82F50">
        <w:t xml:space="preserve">). Elsewhere in England, inscriptions render this Christian appeal for </w:t>
      </w:r>
      <w:r w:rsidRPr="00D82F50">
        <w:lastRenderedPageBreak/>
        <w:t xml:space="preserve">protection explicit. At Old Edge near Heptonstall, now in West Yorkshire, Thomas Greenwood placed the words ‘PEACE WITHIN THY GATE’ above the threshold to his home, underwritten by his initials, T G, at both sides (Figure </w:t>
      </w:r>
      <w:r w:rsidR="00294603">
        <w:t>53, p.</w:t>
      </w:r>
      <w:r w:rsidR="007D6D23">
        <w:t>367</w:t>
      </w:r>
      <w:r w:rsidRPr="00D82F50">
        <w:t xml:space="preserve">). Greenwood may have been </w:t>
      </w:r>
      <w:proofErr w:type="gramStart"/>
      <w:r w:rsidRPr="00D82F50">
        <w:t>making reference</w:t>
      </w:r>
      <w:proofErr w:type="gramEnd"/>
      <w:r w:rsidRPr="00D82F50">
        <w:t xml:space="preserve"> to Psalm 122, which states of Christians with faith in God ‘they shall </w:t>
      </w:r>
      <w:proofErr w:type="spellStart"/>
      <w:r w:rsidRPr="00D82F50">
        <w:t>propser</w:t>
      </w:r>
      <w:proofErr w:type="spellEnd"/>
      <w:r w:rsidRPr="00D82F50">
        <w:t xml:space="preserve"> that love thee. Peace be within thy walls, and prosperity within thy palaces’.</w:t>
      </w:r>
      <w:r w:rsidRPr="00D82F50">
        <w:rPr>
          <w:vertAlign w:val="superscript"/>
        </w:rPr>
        <w:footnoteReference w:id="860"/>
      </w:r>
      <w:r w:rsidRPr="00D82F50">
        <w:t xml:space="preserve"> Likewise, one of the earliest </w:t>
      </w:r>
      <w:proofErr w:type="gramStart"/>
      <w:r w:rsidRPr="00D82F50">
        <w:t>middling-sort</w:t>
      </w:r>
      <w:proofErr w:type="gramEnd"/>
      <w:r w:rsidRPr="00D82F50">
        <w:t xml:space="preserve"> datestones featuring marriage initials that I have been able to trace, in </w:t>
      </w:r>
      <w:proofErr w:type="spellStart"/>
      <w:r w:rsidRPr="00D82F50">
        <w:t>Rollesby</w:t>
      </w:r>
      <w:proofErr w:type="spellEnd"/>
      <w:r w:rsidRPr="00D82F50">
        <w:t xml:space="preserve">, Norfolk, also states ‘GOD BLESS US’ (Figure </w:t>
      </w:r>
      <w:r w:rsidR="00C940E9">
        <w:t>54, p.</w:t>
      </w:r>
      <w:r w:rsidR="00D9419C">
        <w:t>368</w:t>
      </w:r>
      <w:r w:rsidRPr="00D82F50">
        <w:t xml:space="preserve">). Positioned above the year 1585 and the initials ‘TG MG’, the inscription is an irrefutable appeal for God’s protection and guidance. Though none of the homes in Bolton-le-Sands or Prestbury parish are inscribed with lengthier dedications such as these, the religious imagery within them and their concerns with protection are nonetheless evident. </w:t>
      </w:r>
    </w:p>
    <w:p w14:paraId="72C733B1" w14:textId="6548D829" w:rsidR="00D82F50" w:rsidRPr="00D82F50" w:rsidRDefault="00D82F50" w:rsidP="00D82F50">
      <w:pPr>
        <w:spacing w:after="0" w:line="480" w:lineRule="auto"/>
        <w:ind w:firstLine="720"/>
        <w:jc w:val="both"/>
      </w:pPr>
      <w:r w:rsidRPr="00D82F50">
        <w:t xml:space="preserve">One of the most </w:t>
      </w:r>
      <w:proofErr w:type="gramStart"/>
      <w:r w:rsidRPr="00D82F50">
        <w:t>widely-known</w:t>
      </w:r>
      <w:proofErr w:type="gramEnd"/>
      <w:r w:rsidRPr="00D82F50">
        <w:t xml:space="preserve"> apotropaic symbols, the ‘daisy wheel’ appears in multiple forms upon initialled datestones in Bolton-le-Sands and Prestbury townships. Two can be seen at Drove Hey Farm, Sutton, on either side of the initials of Thomas and Emme </w:t>
      </w:r>
      <w:proofErr w:type="spellStart"/>
      <w:r w:rsidRPr="00D82F50">
        <w:t>Armett</w:t>
      </w:r>
      <w:proofErr w:type="spellEnd"/>
      <w:r w:rsidRPr="00D82F50">
        <w:t xml:space="preserve">, married in 1687 (Figure </w:t>
      </w:r>
      <w:r w:rsidR="007E3D90">
        <w:t>55, p.</w:t>
      </w:r>
      <w:r w:rsidR="00D9419C">
        <w:t>369</w:t>
      </w:r>
      <w:r w:rsidRPr="00D82F50">
        <w:t>).</w:t>
      </w:r>
      <w:r w:rsidRPr="00D82F50">
        <w:rPr>
          <w:vertAlign w:val="superscript"/>
        </w:rPr>
        <w:footnoteReference w:id="861"/>
      </w:r>
      <w:r w:rsidRPr="00D82F50">
        <w:t xml:space="preserve"> Produced using a compass or shears, the daisy wheel, or ‘hexafoil’, often comprises a six-petalled flower within a circle.</w:t>
      </w:r>
      <w:r w:rsidRPr="00D82F50">
        <w:rPr>
          <w:vertAlign w:val="superscript"/>
        </w:rPr>
        <w:footnoteReference w:id="862"/>
      </w:r>
      <w:r w:rsidRPr="00D82F50">
        <w:t xml:space="preserve"> Originally used as decoration upon baptismal fonts, daisy wheels became widely-used tools of spiritual protection, present in large concentrations throughout medieval churches as well as across later domestic and civic buildings, furniture and other household goods.</w:t>
      </w:r>
      <w:r w:rsidRPr="00D82F50">
        <w:rPr>
          <w:vertAlign w:val="superscript"/>
        </w:rPr>
        <w:footnoteReference w:id="863"/>
      </w:r>
      <w:r w:rsidRPr="00D82F50">
        <w:t xml:space="preserve"> In his wide-ranging research into early modern inscriptions, Timothy Easton has found that agricultural buildings </w:t>
      </w:r>
      <w:r w:rsidRPr="00D82F50">
        <w:lastRenderedPageBreak/>
        <w:t>and stables were ‘by far the most common’ site for daisy wheels, concluding that this was driven by concerns over threats to cattle and other farmed animals.</w:t>
      </w:r>
      <w:r w:rsidRPr="00D82F50">
        <w:rPr>
          <w:vertAlign w:val="superscript"/>
        </w:rPr>
        <w:footnoteReference w:id="864"/>
      </w:r>
      <w:r w:rsidRPr="00D82F50">
        <w:t xml:space="preserve"> Drove Hey is a </w:t>
      </w:r>
      <w:proofErr w:type="spellStart"/>
      <w:r w:rsidRPr="00D82F50">
        <w:t>laithe</w:t>
      </w:r>
      <w:proofErr w:type="spellEnd"/>
      <w:r w:rsidRPr="00D82F50">
        <w:t xml:space="preserve"> house featuring barns and living quarters within the same building. As visible in Figure </w:t>
      </w:r>
      <w:r w:rsidR="00DB1941">
        <w:t>56 (p.</w:t>
      </w:r>
      <w:r w:rsidR="00D9419C">
        <w:t>370</w:t>
      </w:r>
      <w:r w:rsidR="00DB1941">
        <w:t>)</w:t>
      </w:r>
      <w:r w:rsidRPr="00D82F50">
        <w:t xml:space="preserve"> separate entrances for livestock and humans are positioned at opposite ends of the façade, with the datestone lying between them. Several building phases are discernible, with the eldest, possibly sixteenth-century, section located on the left, supplemented by further extensions to the right.</w:t>
      </w:r>
      <w:r w:rsidRPr="00D82F50">
        <w:rPr>
          <w:vertAlign w:val="superscript"/>
        </w:rPr>
        <w:footnoteReference w:id="865"/>
      </w:r>
      <w:r w:rsidRPr="00D82F50">
        <w:t xml:space="preserve"> The datestone lies within the wing used for animals and agriculture. Easton might suggest this livestock connection is wholly intentional, but, equally, the initialled stone may be materially tied to the wing whose construction or reconstruction it commemorates. In either case, the protective significance of the symbols themselves is similar, given that humans and animals shared the same building.</w:t>
      </w:r>
    </w:p>
    <w:p w14:paraId="5F170D5B" w14:textId="2F7FFB34" w:rsidR="00D82F50" w:rsidRPr="00D82F50" w:rsidRDefault="00D82F50" w:rsidP="00D82F50">
      <w:pPr>
        <w:spacing w:after="0" w:line="480" w:lineRule="auto"/>
        <w:ind w:firstLine="720"/>
        <w:jc w:val="both"/>
      </w:pPr>
      <w:r w:rsidRPr="00D82F50">
        <w:t xml:space="preserve">The initials on Greendale House in Kettleshulme – another Prestbury parish township – also feature a hexafoil (Figure </w:t>
      </w:r>
      <w:r w:rsidR="006C74D1">
        <w:t>57, p.</w:t>
      </w:r>
      <w:r w:rsidR="00D9419C">
        <w:t>371</w:t>
      </w:r>
      <w:r w:rsidRPr="00D82F50">
        <w:t>). Present above the initials ‘</w:t>
      </w:r>
      <w:proofErr w:type="gramStart"/>
      <w:r w:rsidRPr="00D82F50">
        <w:t>E :</w:t>
      </w:r>
      <w:proofErr w:type="gramEnd"/>
      <w:r w:rsidRPr="00D82F50">
        <w:t xml:space="preserve"> S’ and the year 1734, the hexafoil is more ornate than many cited by scholars concerned with medieval and early modern apotropaic symbols. The production of hexafoils has been the subject of frequent debate, and in recent years scholars have agreed that rather than the compasses of professional craftsmen, many carved into homes and religious buildings were made using small domestic shears, available to ‘all levels of society regardless of their trade’.</w:t>
      </w:r>
      <w:r w:rsidRPr="00D82F50">
        <w:rPr>
          <w:vertAlign w:val="superscript"/>
        </w:rPr>
        <w:footnoteReference w:id="866"/>
      </w:r>
      <w:r w:rsidRPr="00D82F50">
        <w:t xml:space="preserve"> The hexafoils at Drove Hey are at slightly different heights, and have been impressed into the stone at different depths: the left-hand daisy wheel is much clearer than the right, which has </w:t>
      </w:r>
      <w:r w:rsidRPr="00D82F50">
        <w:lastRenderedPageBreak/>
        <w:t>been carved closer to the surface and is therefore fainter. In contrast with these more rudimentary marks, the hexafoil at Greendale was undoubtedly professionally produced. Rather than a possible addition by members of the family, the Greendale hexafoil is integral to the design of the more decorated datestone it occupies. As such, it may represent the integration of images that were previously primarily symbolic and protective into a broader iconographic lexicon, still present upon thresholds and in keeping with rural tradition, but with slightly different motivations.</w:t>
      </w:r>
    </w:p>
    <w:p w14:paraId="126836CD" w14:textId="48F37BAA" w:rsidR="00D82F50" w:rsidRPr="00D82F50" w:rsidRDefault="00D82F50" w:rsidP="00D82F50">
      <w:pPr>
        <w:spacing w:after="0" w:line="480" w:lineRule="auto"/>
        <w:ind w:firstLine="720"/>
        <w:jc w:val="both"/>
      </w:pPr>
      <w:r w:rsidRPr="00D82F50">
        <w:t xml:space="preserve">The datestone at the Malthouse, Slyne-with-Hest, within Bolton-le-Sands parish, features comparable imagery (Figure </w:t>
      </w:r>
      <w:r w:rsidR="006C74D1">
        <w:t>58, p.</w:t>
      </w:r>
      <w:r w:rsidR="00D9419C">
        <w:t>372</w:t>
      </w:r>
      <w:r w:rsidRPr="00D82F50">
        <w:t>). In the centre of the letters M</w:t>
      </w:r>
      <w:r w:rsidRPr="00D82F50">
        <w:rPr>
          <w:vertAlign w:val="superscript"/>
        </w:rPr>
        <w:t>R</w:t>
      </w:r>
      <w:r w:rsidRPr="00D82F50">
        <w:t>A, commemorating Matthew and Anne Redhead who married in 1746, there is a flower.</w:t>
      </w:r>
      <w:r w:rsidRPr="00D82F50">
        <w:rPr>
          <w:vertAlign w:val="superscript"/>
        </w:rPr>
        <w:footnoteReference w:id="867"/>
      </w:r>
      <w:r w:rsidRPr="00D82F50">
        <w:t xml:space="preserve"> Although lacking the circle within which a traditional hexafoil routinely appears, the six petals of the flower are nonetheless strongly reminiscent of the symbol. The stone features considerable adornment, encompassing ornate, decorative lettering within an elaborately carved frame. The curved, almost-botanical flourishes in the upper corners have worn over time, but, as at Greendale, the flower-like image is a key part of the decorative scheme. Similar forms to those seen at the Malthouse are present just half a mile from Greendale too, at Thorneycroft Farmhouse, Kettleshulme. There, the initials ‘GB’ are surrounded by four flowers – two with six petals, two with eight (Figure </w:t>
      </w:r>
      <w:r w:rsidR="00E91828">
        <w:t>59, p.</w:t>
      </w:r>
      <w:r w:rsidR="006A5A22">
        <w:t>373</w:t>
      </w:r>
      <w:r w:rsidRPr="00D82F50">
        <w:t xml:space="preserve">). Utilising imagery reminiscent of the hexafoil, as at the Malthouse, both appear to reappropriate the older symbol within more elaborate, decidedly botanical imagery. In all three instances, the datestones at Greendale, the Malthouse and Thorneycroft occupy the threshold of the house, directly above the door. Apotropaic associations may still have been present for those commissioning </w:t>
      </w:r>
      <w:r w:rsidRPr="00D82F50">
        <w:lastRenderedPageBreak/>
        <w:t>them, but by the mid-eighteenth century the visual language deployed upon these homes appears to have synthesised older traditions and symbols within shifting modes of representation.</w:t>
      </w:r>
    </w:p>
    <w:p w14:paraId="430B08AD" w14:textId="1BD35AEC" w:rsidR="00D82F50" w:rsidRPr="00D82F50" w:rsidRDefault="00D82F50" w:rsidP="00D82F50">
      <w:pPr>
        <w:spacing w:after="0" w:line="480" w:lineRule="auto"/>
        <w:ind w:firstLine="720"/>
        <w:jc w:val="both"/>
      </w:pPr>
      <w:r w:rsidRPr="00D82F50">
        <w:t xml:space="preserve">Other symbols with apparent apotropaic associations appear to have passed into a broader decorative vocabulary. The images accompanying the initials on the threshold of </w:t>
      </w:r>
      <w:proofErr w:type="spellStart"/>
      <w:r w:rsidRPr="00D82F50">
        <w:t>Kirkhouse</w:t>
      </w:r>
      <w:proofErr w:type="spellEnd"/>
      <w:r w:rsidRPr="00D82F50">
        <w:t xml:space="preserve"> in Capernwray, Bolton-le-Sands parish, are enigmatic, but also appear to be linked with spiritual protection (Figure </w:t>
      </w:r>
      <w:r w:rsidR="00E91828">
        <w:t>60, p.</w:t>
      </w:r>
      <w:r w:rsidR="006A5A22">
        <w:t>374</w:t>
      </w:r>
      <w:r w:rsidRPr="00D82F50">
        <w:t>). The wheels at the four corners of the lintel appear related to the daisy wheel or hexafoil, incorporating a six-pointed star at their centre. Like the pentangles present at Cobblers’ Lodge, they include a maze of interlocking geometric linework which is a common apotropaic feature, and Champion has shown how the pentangle and six-pointed star were seemingly interchangeable among early protective symbols.</w:t>
      </w:r>
      <w:r w:rsidRPr="00D82F50">
        <w:rPr>
          <w:vertAlign w:val="superscript"/>
        </w:rPr>
        <w:footnoteReference w:id="868"/>
      </w:r>
      <w:r w:rsidRPr="00D82F50">
        <w:t xml:space="preserve"> The lines also make twelve points of contact with the outer circle, with similarities to charts made by early modern astrologers, pin-pointing all twelve signs of the zodiac (Figure </w:t>
      </w:r>
      <w:r w:rsidR="007F78B9">
        <w:t>61, p.</w:t>
      </w:r>
      <w:r w:rsidR="00B77406">
        <w:t>375</w:t>
      </w:r>
      <w:r w:rsidRPr="00D82F50">
        <w:t>). These charts could be found in printed almanacs, widely used in early modern England, and may be one route through which such imagery was appropriated upon the home.</w:t>
      </w:r>
      <w:r w:rsidRPr="00D82F50">
        <w:rPr>
          <w:vertAlign w:val="superscript"/>
        </w:rPr>
        <w:footnoteReference w:id="869"/>
      </w:r>
    </w:p>
    <w:p w14:paraId="1958A327" w14:textId="0CDC5F7A" w:rsidR="00D82F50" w:rsidRPr="00D82F50" w:rsidRDefault="00D82F50" w:rsidP="00D82F50">
      <w:pPr>
        <w:spacing w:after="0" w:line="480" w:lineRule="auto"/>
        <w:ind w:firstLine="720"/>
        <w:jc w:val="both"/>
      </w:pPr>
      <w:r w:rsidRPr="00D82F50">
        <w:t xml:space="preserve">The initials at </w:t>
      </w:r>
      <w:proofErr w:type="spellStart"/>
      <w:r w:rsidRPr="00D82F50">
        <w:t>Kirkhouse</w:t>
      </w:r>
      <w:proofErr w:type="spellEnd"/>
      <w:r w:rsidRPr="00D82F50">
        <w:t xml:space="preserve"> identify Robert and Elizabeth Hawthornthwaite, married in August 1656.</w:t>
      </w:r>
      <w:r w:rsidRPr="00D82F50">
        <w:rPr>
          <w:vertAlign w:val="superscript"/>
        </w:rPr>
        <w:footnoteReference w:id="870"/>
      </w:r>
      <w:r w:rsidRPr="00D82F50">
        <w:t xml:space="preserve"> Previous discussions have established that Robert was a resident of Garstang, 15 miles away from </w:t>
      </w:r>
      <w:proofErr w:type="spellStart"/>
      <w:r w:rsidRPr="00D82F50">
        <w:t>Kirkhouse</w:t>
      </w:r>
      <w:proofErr w:type="spellEnd"/>
      <w:r w:rsidRPr="00D82F50">
        <w:t>, upon his death and Garnett has suggested that the couple never lived at the property at all, instead rebuilding it for their second son, William.</w:t>
      </w:r>
      <w:r w:rsidRPr="00D82F50">
        <w:rPr>
          <w:vertAlign w:val="superscript"/>
        </w:rPr>
        <w:footnoteReference w:id="871"/>
      </w:r>
      <w:r w:rsidRPr="00D82F50">
        <w:t xml:space="preserve"> This intention may underlie the noticeable alteration made to the surname initial H, where the uplifted central bar forms a W incorporated within the letter (in a similar fashion to the </w:t>
      </w:r>
      <w:r w:rsidRPr="00D82F50">
        <w:lastRenderedPageBreak/>
        <w:t>integrated ‘AM’ symbol), perhaps representing William within the inscription alongside his parents. The significance of the two forms on either side of the surname initial is unclear, but two interpretations present themselves. Firstly, they may be representations of scorpions, invoking the zodiac sign Scorpio. Lilly writes that Scorpio governed ‘the Estate of Men deceased, Death, its quality and nature; the Wills, Legacies and Testaments of Men deceased’.</w:t>
      </w:r>
      <w:r w:rsidRPr="00D82F50">
        <w:rPr>
          <w:vertAlign w:val="superscript"/>
        </w:rPr>
        <w:footnoteReference w:id="872"/>
      </w:r>
      <w:r w:rsidRPr="00D82F50">
        <w:t xml:space="preserve"> In (re)building the house for their son, it is possible that the </w:t>
      </w:r>
      <w:proofErr w:type="spellStart"/>
      <w:r w:rsidRPr="00D82F50">
        <w:t>Hawthornthwaites</w:t>
      </w:r>
      <w:proofErr w:type="spellEnd"/>
      <w:r w:rsidRPr="00D82F50">
        <w:t xml:space="preserve"> displayed Scorpio on the threshold in allusion to this legacy. Secondly, and more likely, the carvings may be representations of trees. Comparable symbols survive upon a fireplace at Postgate Farm in </w:t>
      </w:r>
      <w:proofErr w:type="spellStart"/>
      <w:r w:rsidRPr="00D82F50">
        <w:t>Glaisdale</w:t>
      </w:r>
      <w:proofErr w:type="spellEnd"/>
      <w:r w:rsidRPr="00D82F50">
        <w:t xml:space="preserve">, in the North York Moors, visible in Figure </w:t>
      </w:r>
      <w:r w:rsidR="007F78B9">
        <w:t>62 (p.</w:t>
      </w:r>
      <w:r w:rsidR="00B661EC">
        <w:t>376</w:t>
      </w:r>
      <w:r w:rsidR="007F78B9">
        <w:t>)</w:t>
      </w:r>
      <w:r w:rsidRPr="00D82F50">
        <w:t>. Bill Angus has interpreted these outlines only as ‘a stylized tree’ in his analysis, but in emphasising a host of other apotropaic symbols at Postgate Farm, has implied that the tree performs a similar function.</w:t>
      </w:r>
      <w:r w:rsidRPr="00D82F50">
        <w:rPr>
          <w:vertAlign w:val="superscript"/>
        </w:rPr>
        <w:footnoteReference w:id="873"/>
      </w:r>
      <w:r w:rsidRPr="00D82F50">
        <w:t xml:space="preserve"> Notably, the </w:t>
      </w:r>
      <w:proofErr w:type="spellStart"/>
      <w:r w:rsidRPr="00D82F50">
        <w:t>Glaisdale</w:t>
      </w:r>
      <w:proofErr w:type="spellEnd"/>
      <w:r w:rsidRPr="00D82F50">
        <w:t xml:space="preserve"> fireplace combines elements </w:t>
      </w:r>
      <w:proofErr w:type="gramStart"/>
      <w:r w:rsidRPr="00D82F50">
        <w:t>similar to</w:t>
      </w:r>
      <w:proofErr w:type="gramEnd"/>
      <w:r w:rsidRPr="00D82F50">
        <w:t xml:space="preserve"> the </w:t>
      </w:r>
      <w:proofErr w:type="spellStart"/>
      <w:r w:rsidRPr="00D82F50">
        <w:t>Kirkhouse</w:t>
      </w:r>
      <w:proofErr w:type="spellEnd"/>
      <w:r w:rsidRPr="00D82F50">
        <w:t xml:space="preserve"> lintel, with hexafoil designs also present at the outside shoulder of each tree.</w:t>
      </w:r>
    </w:p>
    <w:p w14:paraId="7877BB86" w14:textId="7AEBC104" w:rsidR="00D82F50" w:rsidRPr="00D82F50" w:rsidRDefault="00D82F50" w:rsidP="00B34C95">
      <w:pPr>
        <w:spacing w:after="0" w:line="480" w:lineRule="auto"/>
        <w:ind w:firstLine="720"/>
        <w:jc w:val="both"/>
      </w:pPr>
      <w:r w:rsidRPr="00D82F50">
        <w:t xml:space="preserve">While the hexafoil appears to have been remodelled and reworked over time, appropriated within new design schemes, equivalent shifts can be traced for the overlapping mesh patterns seen in the </w:t>
      </w:r>
      <w:proofErr w:type="spellStart"/>
      <w:r w:rsidRPr="00D82F50">
        <w:t>Kirkhouse</w:t>
      </w:r>
      <w:proofErr w:type="spellEnd"/>
      <w:r w:rsidRPr="00D82F50">
        <w:t xml:space="preserve"> lintel. A hopper head at Bollington – a township in Prestbury parish not examined in detail within this thesis – incorporates web-like symbols (Figure </w:t>
      </w:r>
      <w:r w:rsidR="008F5EF5">
        <w:t>63, p.</w:t>
      </w:r>
      <w:r w:rsidR="00B661EC">
        <w:t>377</w:t>
      </w:r>
      <w:r w:rsidRPr="00D82F50">
        <w:t xml:space="preserve">). As at </w:t>
      </w:r>
      <w:proofErr w:type="spellStart"/>
      <w:r w:rsidRPr="00D82F50">
        <w:t>Kirkhouse</w:t>
      </w:r>
      <w:proofErr w:type="spellEnd"/>
      <w:r w:rsidRPr="00D82F50">
        <w:t xml:space="preserve">, a six-pointed star within an outer circle is present, and the overlapping ‘VV’ commonly utilised as an apotropaic device also lies among the initials. Two hopper heads at Lyme Hall (a large nearby mansion rebuilt with Palladian and Baroque styling in the 1720s) incorporate related imagery, highly ornate with their complex interweaving </w:t>
      </w:r>
      <w:r w:rsidRPr="00D82F50">
        <w:lastRenderedPageBreak/>
        <w:t xml:space="preserve">patterns reminiscent of fretwork (Figures </w:t>
      </w:r>
      <w:r w:rsidR="00B34C95">
        <w:t>64</w:t>
      </w:r>
      <w:r w:rsidRPr="00D82F50">
        <w:t xml:space="preserve"> and </w:t>
      </w:r>
      <w:r w:rsidR="00B34C95">
        <w:t>65</w:t>
      </w:r>
      <w:r w:rsidR="00C865E1">
        <w:t>, p</w:t>
      </w:r>
      <w:r w:rsidR="00B661EC">
        <w:t>ages 378 and 379</w:t>
      </w:r>
      <w:r w:rsidRPr="00D82F50">
        <w:t>).</w:t>
      </w:r>
      <w:r w:rsidRPr="00D82F50">
        <w:rPr>
          <w:vertAlign w:val="superscript"/>
        </w:rPr>
        <w:footnoteReference w:id="874"/>
      </w:r>
      <w:r w:rsidRPr="00D82F50">
        <w:t xml:space="preserve"> The elaborate flourishes on the hopper also incorporate knotwork like that seen at the Dukes Head in Great Yarmouth, where love knots underlie initials in a similar fashion (Figure </w:t>
      </w:r>
      <w:r w:rsidR="00A00148">
        <w:t>66, p.</w:t>
      </w:r>
      <w:r w:rsidR="00B661EC">
        <w:t>380</w:t>
      </w:r>
      <w:r w:rsidRPr="00D82F50">
        <w:t>). Knots such as these – like the ‘true lover’s knot’, elaborately coiled and without beginning or end – represented the ‘insolubility of the lovers’ union’.</w:t>
      </w:r>
      <w:r w:rsidRPr="00D82F50">
        <w:rPr>
          <w:vertAlign w:val="superscript"/>
        </w:rPr>
        <w:footnoteReference w:id="875"/>
      </w:r>
      <w:r w:rsidRPr="00D82F50">
        <w:t xml:space="preserve"> The Baroque styling of the partly illegible initials at Langley Hall in Sutton (discussed in depth in chapter three and seen in Figure </w:t>
      </w:r>
      <w:r w:rsidR="000D1174">
        <w:t>22, p.</w:t>
      </w:r>
      <w:r w:rsidR="00B661EC">
        <w:t>336</w:t>
      </w:r>
      <w:r w:rsidRPr="00D82F50">
        <w:t xml:space="preserve">), and above the inscribed date at </w:t>
      </w:r>
      <w:proofErr w:type="spellStart"/>
      <w:r w:rsidRPr="00D82F50">
        <w:t>Jordangate</w:t>
      </w:r>
      <w:proofErr w:type="spellEnd"/>
      <w:r w:rsidRPr="00D82F50">
        <w:t xml:space="preserve"> House in Macclesfield (Figure </w:t>
      </w:r>
      <w:r w:rsidR="000D1174">
        <w:t>6</w:t>
      </w:r>
      <w:r w:rsidRPr="00D82F50">
        <w:t>7</w:t>
      </w:r>
      <w:r w:rsidR="00AA3281">
        <w:t>, p.</w:t>
      </w:r>
      <w:r w:rsidR="00B661EC">
        <w:t>381</w:t>
      </w:r>
      <w:r w:rsidRPr="00D82F50">
        <w:t>), also contain echoes of Renaissance knotwork in their interwoven flourishes.</w:t>
      </w:r>
    </w:p>
    <w:p w14:paraId="2461F1E7" w14:textId="2D9048C0" w:rsidR="00D82F50" w:rsidRPr="00D82F50" w:rsidRDefault="00D82F50" w:rsidP="00D82F50">
      <w:pPr>
        <w:spacing w:after="0" w:line="480" w:lineRule="auto"/>
        <w:ind w:firstLine="720"/>
        <w:jc w:val="both"/>
      </w:pPr>
      <w:r w:rsidRPr="00D82F50">
        <w:t xml:space="preserve">As with the hexafoils at Greendale, the hopper heads at Lyme Hall offer an insight into the synthesis of apotropaic and decorative elements. Many of the </w:t>
      </w:r>
      <w:proofErr w:type="gramStart"/>
      <w:r w:rsidRPr="00D82F50">
        <w:t>symbols</w:t>
      </w:r>
      <w:proofErr w:type="gramEnd"/>
      <w:r w:rsidRPr="00D82F50">
        <w:t xml:space="preserve"> present on the hopper heads echo those deployed as protection (six-pointed stars, saltire crosses and woven meshes) but the hoppers themselves have not been codified as such because of the status of the Leghs responsible for them. This is a key issue in the historiography, where elite styling has been alienated from symbols attributed to ‘folk belief’ along status lines, where in fact much more overlap was sometimes at play. While the elite-commissioned Lyme Hall hoppers would be more likely read as decorative, other concerns are evident. Equally, where the </w:t>
      </w:r>
      <w:proofErr w:type="spellStart"/>
      <w:r w:rsidRPr="00D82F50">
        <w:t>Kirkhouse</w:t>
      </w:r>
      <w:proofErr w:type="spellEnd"/>
      <w:r w:rsidRPr="00D82F50">
        <w:t xml:space="preserve"> imagery might be interpreted as ritualised protective symbols, this is unlikely to have been the sole motivation of the </w:t>
      </w:r>
      <w:proofErr w:type="spellStart"/>
      <w:r w:rsidRPr="00D82F50">
        <w:t>Hawthornthwaites</w:t>
      </w:r>
      <w:proofErr w:type="spellEnd"/>
      <w:r w:rsidRPr="00D82F50">
        <w:t xml:space="preserve"> responsible for adding it. The meshwork may even have been an interpretation of love knots seen elsewhere, though likely combined with contemporary apotropaic elements. To deny this possibility does a disservice </w:t>
      </w:r>
      <w:r w:rsidRPr="00D82F50">
        <w:lastRenderedPageBreak/>
        <w:t xml:space="preserve">to the decorative judgements of the </w:t>
      </w:r>
      <w:proofErr w:type="spellStart"/>
      <w:r w:rsidRPr="00D82F50">
        <w:t>Hawthornthwaites</w:t>
      </w:r>
      <w:proofErr w:type="spellEnd"/>
      <w:r w:rsidRPr="00D82F50">
        <w:t>, for whom imagery likely also spanned security, emotional and familial significance and ornament.</w:t>
      </w:r>
    </w:p>
    <w:p w14:paraId="5C89E5E3" w14:textId="649032ED" w:rsidR="00D82F50" w:rsidRPr="00D82F50" w:rsidRDefault="00D82F50" w:rsidP="00D82F50">
      <w:pPr>
        <w:spacing w:after="0" w:line="480" w:lineRule="auto"/>
        <w:ind w:firstLine="720"/>
        <w:jc w:val="both"/>
      </w:pPr>
      <w:r w:rsidRPr="00D82F50">
        <w:t>Discussed in the previous chapter, the Yew Tree datestone – inscribed ‘T</w:t>
      </w:r>
      <w:r w:rsidRPr="00D82F50">
        <w:rPr>
          <w:vertAlign w:val="superscript"/>
        </w:rPr>
        <w:t>D</w:t>
      </w:r>
      <w:r w:rsidRPr="00D82F50">
        <w:t xml:space="preserve">H 1711’ – commemorates Thomas and Hanna Deane (Figure </w:t>
      </w:r>
      <w:r w:rsidR="00615029">
        <w:t>34, p.</w:t>
      </w:r>
      <w:r w:rsidR="00B661EC">
        <w:t>348</w:t>
      </w:r>
      <w:r w:rsidRPr="00D82F50">
        <w:t>). Married twelve years earlier, the stone was added in the wake of the birth of their first child, Wood Deane, who was to be their eventual heir.</w:t>
      </w:r>
      <w:r w:rsidRPr="00D82F50">
        <w:rPr>
          <w:vertAlign w:val="superscript"/>
        </w:rPr>
        <w:footnoteReference w:id="876"/>
      </w:r>
      <w:r w:rsidRPr="00D82F50">
        <w:t xml:space="preserve"> Raised high on the building, the datestone contains minimal decoration, featuring lettering with subtly bifurcated serifs within a simple carved frame. An additional inscription survives at the threshold, however. Present within the home, a long T-hinge extends across the inside of the main door, carved with the letters ‘T D 1711’ (Figure </w:t>
      </w:r>
      <w:r w:rsidR="00BF7217">
        <w:t>68, p.</w:t>
      </w:r>
      <w:r w:rsidR="00B661EC">
        <w:t>382</w:t>
      </w:r>
      <w:r w:rsidRPr="00D82F50">
        <w:t>). In its current position, the inscription is upside down, for which there are two possible explanations. Firstly, when approached from outside, the current door opens clockwise. Had it previously opened anticlockwise, the hinge would have been fitted to the opposite edge of the frame, rendering the lettering upright and legible within the home. Alternatively, the door may always have opened in the same direction, in which case the T-hinge itself would originally have been rotated 180</w:t>
      </w:r>
      <w:r w:rsidRPr="00D82F50">
        <w:rPr>
          <w:vertAlign w:val="superscript"/>
        </w:rPr>
        <w:t>o</w:t>
      </w:r>
      <w:r w:rsidRPr="00D82F50">
        <w:t>, upright but situated on the outside face of the door. Given that the inscribed hinge has been preserved in situ for over three hundred years, it is most likely that previous inhabitants opted to bring its carved face inside the home, protecting the initials rather than discarding them.</w:t>
      </w:r>
    </w:p>
    <w:p w14:paraId="31450D6F" w14:textId="35998C20" w:rsidR="00D82F50" w:rsidRPr="00D82F50" w:rsidRDefault="00D82F50" w:rsidP="00D82F50">
      <w:pPr>
        <w:spacing w:after="0" w:line="480" w:lineRule="auto"/>
        <w:ind w:firstLine="720"/>
        <w:jc w:val="both"/>
      </w:pPr>
      <w:r w:rsidRPr="00D82F50">
        <w:t xml:space="preserve">Crucially, even while the Yew Tree datestone commemorated Thomas and Hanna together, the hinge is marked only with Thomas’ initials. If originally placed outside, the Yew Tree hinge would have stood directly at head height, unmissable for anyone entering the house or standing at the threshold, awaiting admission. Although marital datestones </w:t>
      </w:r>
      <w:r w:rsidRPr="00D82F50">
        <w:lastRenderedPageBreak/>
        <w:t>cemented houses as an ‘enterprise of the couple’, as Adrian Green has suggested, this dual commemoration could at times be supplanted with the mark of the male head of the household, as visible with the parlour cupboard at the Manor House, Bolton-le-Sands.</w:t>
      </w:r>
      <w:r w:rsidRPr="00D82F50">
        <w:rPr>
          <w:vertAlign w:val="superscript"/>
        </w:rPr>
        <w:footnoteReference w:id="877"/>
      </w:r>
      <w:r w:rsidRPr="00D82F50">
        <w:t xml:space="preserve"> Green has also emphasised elsewhere that the ‘material culture of marriage was ultimately an affirmation of patriarchy’, stressing that this played out even in the layout of ‘inscribed initials’ themselves, ‘where the standard form was the husband’s initial on the left’.</w:t>
      </w:r>
      <w:r w:rsidRPr="00D82F50">
        <w:rPr>
          <w:vertAlign w:val="superscript"/>
        </w:rPr>
        <w:footnoteReference w:id="878"/>
      </w:r>
      <w:r w:rsidRPr="00D82F50">
        <w:t xml:space="preserve"> As the previous chapter demonstrated, the original house at Yew Tree came to the Deanes via Hannah’s family, leading to the use of her former surname, Wood, as the forename of the eldest son. Regardless of the route by which the house and lands had come to the couple, it was nonetheless rebuilt during their marriage, with Thomas as head of the household. Given the central role of patriarchy in early modern society, it is possible that this context underpinned Thomas’ use of his own initials at the threshold. While the datestone with his and Hannah’s initials was most prominent, celebrating the reconstructed house as their shared home, the </w:t>
      </w:r>
      <w:r w:rsidR="00EE27E3">
        <w:t xml:space="preserve">hinge inscription </w:t>
      </w:r>
      <w:r w:rsidRPr="00D82F50">
        <w:t>demarcated the house as his property, highlighting and aggrandising his personal significance in the story of a building that was otherwise more closely entwined with his wife’s family history than his own.</w:t>
      </w:r>
    </w:p>
    <w:p w14:paraId="4121183E" w14:textId="0CDC53FF" w:rsidR="00D82F50" w:rsidRPr="00D82F50" w:rsidRDefault="00D82F50" w:rsidP="00D82F50">
      <w:pPr>
        <w:spacing w:after="0" w:line="480" w:lineRule="auto"/>
        <w:ind w:firstLine="720"/>
        <w:jc w:val="both"/>
      </w:pPr>
      <w:r w:rsidRPr="00D82F50">
        <w:t xml:space="preserve">The following section explores a sequence of inscribed properties </w:t>
      </w:r>
      <w:r w:rsidR="00E474C8" w:rsidRPr="00D82F50">
        <w:t xml:space="preserve">situated at different points along Meg Lane </w:t>
      </w:r>
      <w:r w:rsidRPr="00D82F50">
        <w:t>in Sutton</w:t>
      </w:r>
      <w:r w:rsidR="00E474C8">
        <w:t>, within Prestbury parish</w:t>
      </w:r>
      <w:r w:rsidRPr="00D82F50">
        <w:t xml:space="preserve">. The lane led out of the centre of the hamlet, up a steep incline known as Ridge Hill, and the locations of all properties discussed can be found in </w:t>
      </w:r>
      <w:r w:rsidR="00BF7217">
        <w:t xml:space="preserve">Map </w:t>
      </w:r>
      <w:r w:rsidR="00DA7F20">
        <w:t>6</w:t>
      </w:r>
      <w:r w:rsidR="00A06B1E">
        <w:t xml:space="preserve"> (p.313)</w:t>
      </w:r>
      <w:r w:rsidRPr="00D82F50">
        <w:t xml:space="preserve">. This section posits the inscriptions upon these houses as operating within an emotional community of their own, sharing a distinct iconography that </w:t>
      </w:r>
      <w:r w:rsidRPr="00D82F50">
        <w:lastRenderedPageBreak/>
        <w:t xml:space="preserve">appears to have developed </w:t>
      </w:r>
      <w:proofErr w:type="gramStart"/>
      <w:r w:rsidRPr="00D82F50">
        <w:t>as a result of</w:t>
      </w:r>
      <w:proofErr w:type="gramEnd"/>
      <w:r w:rsidRPr="00D82F50">
        <w:t xml:space="preserve"> their proximity to one another. Part-way up the lane and directly opposite Drove Hey Farm, Fern Lee Farmhouse features two sets of marriage initials. One set occupies a door handle and knocker, inscribed J</w:t>
      </w:r>
      <w:r w:rsidRPr="00D82F50">
        <w:rPr>
          <w:vertAlign w:val="superscript"/>
        </w:rPr>
        <w:t>J</w:t>
      </w:r>
      <w:r w:rsidRPr="00D82F50">
        <w:t xml:space="preserve">E and dated 1724 (Figure </w:t>
      </w:r>
      <w:r w:rsidR="00746ECF">
        <w:t>69</w:t>
      </w:r>
      <w:r w:rsidR="00A44B1D">
        <w:t>, p.</w:t>
      </w:r>
      <w:r w:rsidR="00F560BC">
        <w:t>383</w:t>
      </w:r>
      <w:r w:rsidRPr="00D82F50">
        <w:t xml:space="preserve">), while the second adorns a datestone on the apex of the front porch, dated 1725 (Figure </w:t>
      </w:r>
      <w:r w:rsidR="00F869FB">
        <w:t>7</w:t>
      </w:r>
      <w:r w:rsidR="00A44B1D">
        <w:t>0</w:t>
      </w:r>
      <w:r w:rsidR="00F869FB">
        <w:t>, p.</w:t>
      </w:r>
      <w:r w:rsidR="00F560BC">
        <w:t>384</w:t>
      </w:r>
      <w:r w:rsidRPr="00D82F50">
        <w:t>). Both were commissioned by John and Elizabeth Johnson, who married in May 1717.</w:t>
      </w:r>
      <w:r w:rsidRPr="00D82F50">
        <w:rPr>
          <w:vertAlign w:val="superscript"/>
        </w:rPr>
        <w:footnoteReference w:id="879"/>
      </w:r>
      <w:r w:rsidRPr="00D82F50">
        <w:t xml:space="preserve"> The handle incorporates the </w:t>
      </w:r>
      <w:r w:rsidRPr="00D82F50">
        <w:rPr>
          <w:i/>
          <w:iCs/>
        </w:rPr>
        <w:t xml:space="preserve">fleur de </w:t>
      </w:r>
      <w:proofErr w:type="spellStart"/>
      <w:r w:rsidRPr="00D82F50">
        <w:rPr>
          <w:i/>
          <w:iCs/>
        </w:rPr>
        <w:t>lis</w:t>
      </w:r>
      <w:proofErr w:type="spellEnd"/>
      <w:r w:rsidRPr="00D82F50">
        <w:t xml:space="preserve"> – a sign with a wealth of Christian associations. Virginia K. Henderson has demonstrated that it was understood as a Marian symbol throughout early modern Europe, widely employed in allusions to the Virgin Mary.</w:t>
      </w:r>
      <w:r w:rsidRPr="00D82F50">
        <w:rPr>
          <w:vertAlign w:val="superscript"/>
        </w:rPr>
        <w:footnoteReference w:id="880"/>
      </w:r>
      <w:r w:rsidRPr="00D82F50">
        <w:t xml:space="preserve"> For those using the </w:t>
      </w:r>
      <w:r w:rsidRPr="00D82F50">
        <w:rPr>
          <w:i/>
          <w:iCs/>
        </w:rPr>
        <w:t xml:space="preserve">fleur de </w:t>
      </w:r>
      <w:proofErr w:type="spellStart"/>
      <w:r w:rsidRPr="00D82F50">
        <w:rPr>
          <w:i/>
          <w:iCs/>
        </w:rPr>
        <w:t>lis</w:t>
      </w:r>
      <w:proofErr w:type="spellEnd"/>
      <w:r w:rsidRPr="00D82F50">
        <w:t xml:space="preserve"> as an emblem in numerous European states, its potency also lay in its connection to the Holy Trinity, and for the French monarchs it served as an outward affirmation of divine favour.</w:t>
      </w:r>
      <w:r w:rsidRPr="00D82F50">
        <w:rPr>
          <w:vertAlign w:val="superscript"/>
        </w:rPr>
        <w:footnoteReference w:id="881"/>
      </w:r>
    </w:p>
    <w:p w14:paraId="2DABCFDA" w14:textId="67A46F0D" w:rsidR="00D82F50" w:rsidRPr="00D82F50" w:rsidRDefault="00D82F50" w:rsidP="00D82F50">
      <w:pPr>
        <w:spacing w:after="0" w:line="480" w:lineRule="auto"/>
        <w:ind w:firstLine="720"/>
        <w:jc w:val="both"/>
      </w:pPr>
      <w:r w:rsidRPr="00D82F50">
        <w:t xml:space="preserve">With the initials placed directly beneath the </w:t>
      </w:r>
      <w:r w:rsidRPr="00D82F50">
        <w:rPr>
          <w:i/>
          <w:iCs/>
        </w:rPr>
        <w:t xml:space="preserve">fleur de </w:t>
      </w:r>
      <w:proofErr w:type="spellStart"/>
      <w:r w:rsidRPr="00D82F50">
        <w:rPr>
          <w:i/>
          <w:iCs/>
        </w:rPr>
        <w:t>lis</w:t>
      </w:r>
      <w:proofErr w:type="spellEnd"/>
      <w:r w:rsidRPr="00D82F50">
        <w:t xml:space="preserve">, the two forms mirror one another, inviting a connection between the sanctity represented by the three petals and the three letters of the </w:t>
      </w:r>
      <w:proofErr w:type="gramStart"/>
      <w:r w:rsidRPr="00D82F50">
        <w:t>couples’</w:t>
      </w:r>
      <w:proofErr w:type="gramEnd"/>
      <w:r w:rsidRPr="00D82F50">
        <w:t xml:space="preserve"> names. Cut into the shape of an equilateral triangle – one of the most widely-known symbols for the Trinity in early modern Europe – the inscribed plaque repeats this imagery.</w:t>
      </w:r>
      <w:r w:rsidRPr="00D82F50">
        <w:rPr>
          <w:vertAlign w:val="superscript"/>
        </w:rPr>
        <w:footnoteReference w:id="882"/>
      </w:r>
      <w:r w:rsidRPr="00D82F50">
        <w:t xml:space="preserve"> Another at Oak Cottage in nearby Langley pairs the triangle with the Marian ‘AM’ letter discussed earlier, cementing similar religious connotations (Figure </w:t>
      </w:r>
      <w:r w:rsidR="005A0044">
        <w:t>7</w:t>
      </w:r>
      <w:r w:rsidR="006B0167">
        <w:t>1</w:t>
      </w:r>
      <w:r w:rsidR="005A0044">
        <w:t xml:space="preserve">, </w:t>
      </w:r>
      <w:r w:rsidR="005A0044">
        <w:lastRenderedPageBreak/>
        <w:t>p.</w:t>
      </w:r>
      <w:r w:rsidR="00F560BC">
        <w:t>385</w:t>
      </w:r>
      <w:r w:rsidRPr="00D82F50">
        <w:t>). The initials at Fern Lee raise a theme perhaps underlying many more uses of three letters in marriage initial imagery throughout Prestbury, Bolton-le-Sands, and the rest of England: that couples may have been using three letters, placing them in a triangular configuration regardless of the shape of their datestones, as a means of connecting their names, and thereby their marriages, with the Trinity.</w:t>
      </w:r>
    </w:p>
    <w:p w14:paraId="3351A30E" w14:textId="29C515CD" w:rsidR="00D82F50" w:rsidRPr="00D82F50" w:rsidRDefault="00D82F50" w:rsidP="00D82F50">
      <w:pPr>
        <w:spacing w:after="0" w:line="480" w:lineRule="auto"/>
        <w:ind w:firstLine="720"/>
        <w:jc w:val="both"/>
      </w:pPr>
      <w:r w:rsidRPr="00D82F50">
        <w:t xml:space="preserve">Given the widespread use of the </w:t>
      </w:r>
      <w:r w:rsidRPr="00D82F50">
        <w:rPr>
          <w:i/>
          <w:iCs/>
        </w:rPr>
        <w:t xml:space="preserve">fleur de </w:t>
      </w:r>
      <w:proofErr w:type="spellStart"/>
      <w:r w:rsidRPr="00D82F50">
        <w:rPr>
          <w:i/>
          <w:iCs/>
        </w:rPr>
        <w:t>lis</w:t>
      </w:r>
      <w:proofErr w:type="spellEnd"/>
      <w:r w:rsidRPr="00D82F50">
        <w:t xml:space="preserve"> in early modern heraldry, the head of the Fern Lee knocker ought to be considered a marker of status as much as piety for the Johnsons. In his </w:t>
      </w:r>
      <w:r w:rsidRPr="00D82F50">
        <w:rPr>
          <w:i/>
          <w:iCs/>
        </w:rPr>
        <w:t>Academy of Armory</w:t>
      </w:r>
      <w:r w:rsidRPr="00D82F50">
        <w:t xml:space="preserve">, Randle Holme presents a protracted list of flowers used in blazon, accompanied by example crests of families using them. The ‘Flower de </w:t>
      </w:r>
      <w:proofErr w:type="spellStart"/>
      <w:r w:rsidRPr="00D82F50">
        <w:t>lis’</w:t>
      </w:r>
      <w:proofErr w:type="spellEnd"/>
      <w:r w:rsidRPr="00D82F50">
        <w:t xml:space="preserve"> is the very first on Holme’s list, and he privileges it as ‘the fairest for shew’ (though he patriotically asserts that ‘the </w:t>
      </w:r>
      <w:r w:rsidRPr="00D82F50">
        <w:rPr>
          <w:i/>
          <w:iCs/>
        </w:rPr>
        <w:t xml:space="preserve">English </w:t>
      </w:r>
      <w:r w:rsidRPr="00D82F50">
        <w:t xml:space="preserve">Rose out </w:t>
      </w:r>
      <w:proofErr w:type="spellStart"/>
      <w:r w:rsidRPr="00D82F50">
        <w:t>passeth</w:t>
      </w:r>
      <w:proofErr w:type="spellEnd"/>
      <w:r w:rsidRPr="00D82F50">
        <w:t xml:space="preserve"> it for smell’).</w:t>
      </w:r>
      <w:r w:rsidRPr="00D82F50">
        <w:rPr>
          <w:vertAlign w:val="superscript"/>
        </w:rPr>
        <w:footnoteReference w:id="883"/>
      </w:r>
      <w:r w:rsidRPr="00D82F50">
        <w:t xml:space="preserve"> Beyond its religious connotations, the </w:t>
      </w:r>
      <w:r w:rsidRPr="00D82F50">
        <w:rPr>
          <w:i/>
          <w:iCs/>
        </w:rPr>
        <w:t xml:space="preserve">fleur de </w:t>
      </w:r>
      <w:proofErr w:type="spellStart"/>
      <w:r w:rsidRPr="00D82F50">
        <w:rPr>
          <w:i/>
          <w:iCs/>
        </w:rPr>
        <w:t>lis</w:t>
      </w:r>
      <w:proofErr w:type="spellEnd"/>
      <w:r w:rsidRPr="00D82F50">
        <w:t xml:space="preserve"> was immediately recognisable as a stylised heraldic symbol. The Johnsons did not have arms of their own, but their neighbours’ houses render their concerns with heraldic devices more comprehensible. Excepting Drove Hey Farm opposite, the </w:t>
      </w:r>
      <w:proofErr w:type="gramStart"/>
      <w:r w:rsidRPr="00D82F50">
        <w:t>Johnsons’</w:t>
      </w:r>
      <w:proofErr w:type="gramEnd"/>
      <w:r w:rsidRPr="00D82F50">
        <w:t xml:space="preserve"> nearest neighbours were at Ridge Hall, a mile down the lane towards Sutton village. Until it was sold in 1730, Ridge Hall was held by a local gentry family, the Leghs.</w:t>
      </w:r>
      <w:r w:rsidRPr="00D82F50">
        <w:rPr>
          <w:vertAlign w:val="superscript"/>
        </w:rPr>
        <w:footnoteReference w:id="884"/>
      </w:r>
      <w:r w:rsidRPr="00D82F50">
        <w:t xml:space="preserve"> An offshoot of the Leghs of Lyme Hall and of Adlington, discussed above, the family were significant landowners in the area. Indeed, the will of John Johnson describes his ’tenement in Sutton’ as held by lease from ‘Peter Legh of Lyme Esquire’.</w:t>
      </w:r>
      <w:r w:rsidRPr="00D82F50">
        <w:rPr>
          <w:vertAlign w:val="superscript"/>
        </w:rPr>
        <w:footnoteReference w:id="885"/>
      </w:r>
      <w:r w:rsidRPr="00D82F50">
        <w:t xml:space="preserve"> The rebuilt Ridge Hall (the original was largely destroyed in the Civil War) is dated ‘1580’ (Figure </w:t>
      </w:r>
      <w:r w:rsidR="00F94888">
        <w:t>72, p.</w:t>
      </w:r>
      <w:r w:rsidR="00F560BC">
        <w:t>386</w:t>
      </w:r>
      <w:r w:rsidRPr="00D82F50">
        <w:t xml:space="preserve">). Partly encircled by a moat which carries a separate Scheduled Monument listing, which has been interpreted by Historic England as a </w:t>
      </w:r>
      <w:r w:rsidRPr="00D82F50">
        <w:lastRenderedPageBreak/>
        <w:t>marker of ‘prestigious aristocratic and seigneurial residences … intended as a status symbol rather than a practical military defence’.</w:t>
      </w:r>
      <w:r w:rsidRPr="00D82F50">
        <w:rPr>
          <w:vertAlign w:val="superscript"/>
        </w:rPr>
        <w:footnoteReference w:id="886"/>
      </w:r>
      <w:r w:rsidRPr="00D82F50">
        <w:t xml:space="preserve"> With its impressive façade and high-status pedigree, whose relatives retained control over the land on which Fern Lee Farmhouse was built, Ridge Hall made an imposing neighbour.</w:t>
      </w:r>
    </w:p>
    <w:p w14:paraId="5DE92727" w14:textId="0B3070B0" w:rsidR="00D82F50" w:rsidRPr="00D82F50" w:rsidRDefault="00D82F50" w:rsidP="00D82F50">
      <w:pPr>
        <w:spacing w:after="0" w:line="480" w:lineRule="auto"/>
        <w:ind w:firstLine="720"/>
        <w:jc w:val="both"/>
      </w:pPr>
      <w:r w:rsidRPr="00D82F50">
        <w:t xml:space="preserve">Fern Lee lay within a landscape occupied by high status families. Ridge Hill House stands beyond Ridge Hall and carries the initials of Henry and Emme Cherry on one of two side gables (Figure </w:t>
      </w:r>
      <w:r w:rsidR="00B93EF7">
        <w:t>73, p.</w:t>
      </w:r>
      <w:r w:rsidR="001D4976">
        <w:t>387</w:t>
      </w:r>
      <w:r w:rsidRPr="00D82F50">
        <w:t xml:space="preserve">). A much-worn crest is visible on the adjacent gable, seemingly comprising nine Latin crosses and headed by three figures no-longer discernible (Figure </w:t>
      </w:r>
      <w:r w:rsidR="00B93EF7">
        <w:t>74, p.</w:t>
      </w:r>
      <w:r w:rsidR="001D4976">
        <w:t>388</w:t>
      </w:r>
      <w:r w:rsidRPr="00D82F50">
        <w:t>).</w:t>
      </w:r>
      <w:r w:rsidRPr="00D82F50">
        <w:rPr>
          <w:vertAlign w:val="superscript"/>
        </w:rPr>
        <w:footnoteReference w:id="887"/>
      </w:r>
      <w:r w:rsidRPr="00D82F50">
        <w:t xml:space="preserve"> Henry Cherry was undoubtedly wealthy with significant local authority: his will outlines additional tenements and parcels of land owned elsewhere in Sutton, and he appointed a gentleman among his two executors.</w:t>
      </w:r>
      <w:r w:rsidRPr="00D82F50">
        <w:rPr>
          <w:vertAlign w:val="superscript"/>
        </w:rPr>
        <w:footnoteReference w:id="888"/>
      </w:r>
      <w:r w:rsidRPr="00D82F50">
        <w:t xml:space="preserve"> The same document describes Cherry as a yeoman, and though it is uncertain whether the arms he displayed were officially sanctioned or self-assumed, they were a key element in how the </w:t>
      </w:r>
      <w:proofErr w:type="spellStart"/>
      <w:r w:rsidRPr="00D82F50">
        <w:t>Cherrys</w:t>
      </w:r>
      <w:proofErr w:type="spellEnd"/>
      <w:r w:rsidRPr="00D82F50">
        <w:t xml:space="preserve"> presented themselves at Ridge Hill, atop their large house. In the opposite direction from Fern Lee, up the hill away from Sutton village, the Johnsons’ next immediate neighbours were the inhabitants of Pott Lords Farmhouse. Present high upon the side of the house, the initials ‘I H’ and the year 1693 occupy a datestone also featuring a heraldic-style crest (Figure </w:t>
      </w:r>
      <w:r w:rsidR="00F65A41">
        <w:t>75, p.</w:t>
      </w:r>
      <w:r w:rsidR="001D4976">
        <w:t>389</w:t>
      </w:r>
      <w:r w:rsidRPr="00D82F50">
        <w:t>). The Grade II listing for the property states the initials belong to Isaac Hadfield, but no reference for this is present, and very little information relating to Pott Lords has been traceable elsewhere.</w:t>
      </w:r>
      <w:r w:rsidRPr="00D82F50">
        <w:rPr>
          <w:vertAlign w:val="superscript"/>
        </w:rPr>
        <w:footnoteReference w:id="889"/>
      </w:r>
      <w:r w:rsidRPr="00D82F50">
        <w:t xml:space="preserve"> Hadfield is </w:t>
      </w:r>
      <w:r w:rsidRPr="00D82F50">
        <w:lastRenderedPageBreak/>
        <w:t>absent from parish registers within 100 miles of Prestbury parish church (1650-1750) and is not named in any Sutton tax assessments.</w:t>
      </w:r>
      <w:r w:rsidRPr="00D82F50">
        <w:rPr>
          <w:vertAlign w:val="superscript"/>
        </w:rPr>
        <w:footnoteReference w:id="890"/>
      </w:r>
    </w:p>
    <w:p w14:paraId="548FDF8E" w14:textId="77777777" w:rsidR="00D82F50" w:rsidRPr="00D82F50" w:rsidRDefault="00D82F50" w:rsidP="00D82F50">
      <w:pPr>
        <w:spacing w:after="0" w:line="480" w:lineRule="auto"/>
        <w:ind w:firstLine="720"/>
        <w:jc w:val="both"/>
      </w:pPr>
      <w:r w:rsidRPr="00D82F50">
        <w:t xml:space="preserve">Regardless of scant information for Pott Lords, the presence of heraldic symbolism there and at nearby Ridge Hill, and the considerable status of the Johnsons’ neighbours at Ridge Hall, positions the use of the </w:t>
      </w:r>
      <w:r w:rsidRPr="00D82F50">
        <w:rPr>
          <w:i/>
          <w:iCs/>
        </w:rPr>
        <w:t xml:space="preserve">fleur de </w:t>
      </w:r>
      <w:proofErr w:type="spellStart"/>
      <w:r w:rsidRPr="00D82F50">
        <w:rPr>
          <w:i/>
          <w:iCs/>
        </w:rPr>
        <w:t>lis</w:t>
      </w:r>
      <w:proofErr w:type="spellEnd"/>
      <w:r w:rsidRPr="00D82F50">
        <w:t xml:space="preserve"> at Fern Lee as in keeping with a local stylistic vocabulary. Even where the Johnsons did not have arms of their own, they made use of symbols derived from heraldry. Rather than emblazoned across their home and visible from the road like the inscriptions of their neighbours, though, the Johnsons’ </w:t>
      </w:r>
      <w:r w:rsidRPr="00D82F50">
        <w:rPr>
          <w:i/>
          <w:iCs/>
        </w:rPr>
        <w:t xml:space="preserve">fleur de </w:t>
      </w:r>
      <w:proofErr w:type="spellStart"/>
      <w:r w:rsidRPr="00D82F50">
        <w:rPr>
          <w:i/>
          <w:iCs/>
        </w:rPr>
        <w:t>lis</w:t>
      </w:r>
      <w:proofErr w:type="spellEnd"/>
      <w:r w:rsidRPr="00D82F50">
        <w:t xml:space="preserve"> is much smaller, present upon the door. As a handle, the inscribed, decorative ironwork would have been regularly used by members of the household, codifying the space as they entered it, and reinforcing their idea of themselves as well-placed among their wealthy neighbours. As a knocker, the object also invited and necessitated interaction from those visiting the house, enabling the Johnsons to be read as having considerable cultural and financial capital within the neighbourhood – albeit aware of their lower status in comparison with the heraldry of the </w:t>
      </w:r>
      <w:proofErr w:type="spellStart"/>
      <w:r w:rsidRPr="00D82F50">
        <w:t>Cherrys</w:t>
      </w:r>
      <w:proofErr w:type="spellEnd"/>
      <w:r w:rsidRPr="00D82F50">
        <w:t xml:space="preserve"> and Leghs – and as a pious, Christian couple.</w:t>
      </w:r>
    </w:p>
    <w:p w14:paraId="2E802301" w14:textId="6577F9E2" w:rsidR="00D82F50" w:rsidRPr="00D82F50" w:rsidRDefault="00D82F50" w:rsidP="00D82F50">
      <w:pPr>
        <w:spacing w:after="0" w:line="480" w:lineRule="auto"/>
        <w:ind w:firstLine="720"/>
        <w:jc w:val="both"/>
      </w:pPr>
      <w:r w:rsidRPr="00D82F50">
        <w:t xml:space="preserve">As seen in relation to the inscribed houses discussed in this section, two key differences emerge between inscriptions surviving in Bolton-le-Sands and Prestbury: placement and iconography. In terms of placement, inscribers in Bolton-le-Sands consistently set initials immediately above the main door. Many were commissioned directly upon lintels, </w:t>
      </w:r>
      <w:r w:rsidRPr="00D82F50">
        <w:lastRenderedPageBreak/>
        <w:t xml:space="preserve">as at </w:t>
      </w:r>
      <w:proofErr w:type="spellStart"/>
      <w:r w:rsidRPr="00D82F50">
        <w:t>McGaffigans</w:t>
      </w:r>
      <w:proofErr w:type="spellEnd"/>
      <w:r w:rsidRPr="00D82F50">
        <w:t xml:space="preserve"> Yard (Figure </w:t>
      </w:r>
      <w:r w:rsidR="008E3A89">
        <w:t>44, p.</w:t>
      </w:r>
      <w:r w:rsidR="005A103A">
        <w:t>358</w:t>
      </w:r>
      <w:r w:rsidR="008E3A89">
        <w:t>)</w:t>
      </w:r>
      <w:r w:rsidRPr="00D82F50">
        <w:t xml:space="preserve">, New Capernwray Farmhouse (Figure </w:t>
      </w:r>
      <w:r w:rsidR="002C1136">
        <w:t>49</w:t>
      </w:r>
      <w:r w:rsidR="00AC25A3">
        <w:t>, p</w:t>
      </w:r>
      <w:r w:rsidR="005A103A">
        <w:t>363</w:t>
      </w:r>
      <w:r w:rsidR="00AC25A3">
        <w:t>.</w:t>
      </w:r>
      <w:r w:rsidRPr="00D82F50">
        <w:t xml:space="preserve">), </w:t>
      </w:r>
      <w:proofErr w:type="spellStart"/>
      <w:r w:rsidRPr="00D82F50">
        <w:t>Kirkhouse</w:t>
      </w:r>
      <w:proofErr w:type="spellEnd"/>
      <w:r w:rsidRPr="00D82F50">
        <w:t xml:space="preserve"> (Figure</w:t>
      </w:r>
      <w:r w:rsidR="00AC25A3">
        <w:t xml:space="preserve"> 60, p.</w:t>
      </w:r>
      <w:r w:rsidR="005A103A">
        <w:t>374</w:t>
      </w:r>
      <w:r w:rsidRPr="00D82F50">
        <w:t>), Thwaite End (Figure</w:t>
      </w:r>
      <w:r w:rsidR="005941E9">
        <w:t xml:space="preserve"> 7, p.</w:t>
      </w:r>
      <w:r w:rsidR="005A103A">
        <w:t>321</w:t>
      </w:r>
      <w:r w:rsidR="005941E9">
        <w:t>)</w:t>
      </w:r>
      <w:r w:rsidRPr="00D82F50">
        <w:t>, End Cottage (Figure</w:t>
      </w:r>
      <w:r w:rsidR="00A70701">
        <w:t xml:space="preserve"> 11, p.</w:t>
      </w:r>
      <w:r w:rsidR="005A103A">
        <w:t>325</w:t>
      </w:r>
      <w:r w:rsidRPr="00D82F50">
        <w:t>) and Church Cottage. This may be partly a consequence of building materials, and Barbara Hutton and Joyce Martin have concluded that many of the carved doorways of the Yorkshire Dales (comparable in form with those in Bolton-le-Sands) were likely the product of the local millstone grit ‘[taking] carved decoration well and [holding] a sharp edge over a long period of time’.</w:t>
      </w:r>
      <w:r w:rsidRPr="00D82F50">
        <w:rPr>
          <w:vertAlign w:val="superscript"/>
        </w:rPr>
        <w:footnoteReference w:id="891"/>
      </w:r>
      <w:r w:rsidRPr="00D82F50">
        <w:t xml:space="preserve"> Even where datestone plaques were used – as at the Manor House (Figure </w:t>
      </w:r>
      <w:r w:rsidR="00B07EAB">
        <w:t>8, p</w:t>
      </w:r>
      <w:r w:rsidR="00C60012">
        <w:t>322</w:t>
      </w:r>
      <w:r w:rsidR="00B07EAB">
        <w:t>.</w:t>
      </w:r>
      <w:r w:rsidRPr="00D82F50">
        <w:t xml:space="preserve">), the Malthouse (Figure </w:t>
      </w:r>
      <w:r w:rsidR="00C34713">
        <w:t>76, p.</w:t>
      </w:r>
      <w:r w:rsidR="00C60012">
        <w:t>390</w:t>
      </w:r>
      <w:r w:rsidRPr="00D82F50">
        <w:t xml:space="preserve">), Packet Lane (Figure </w:t>
      </w:r>
      <w:r w:rsidR="006A2251">
        <w:t>77, p.</w:t>
      </w:r>
      <w:r w:rsidR="00C60012">
        <w:t>391</w:t>
      </w:r>
      <w:r w:rsidRPr="00D82F50">
        <w:t xml:space="preserve">) and Hogarth House (Figure </w:t>
      </w:r>
      <w:r w:rsidR="006A2251">
        <w:t>78, p.</w:t>
      </w:r>
      <w:r w:rsidR="00C60012">
        <w:t>392</w:t>
      </w:r>
      <w:r w:rsidRPr="00D82F50">
        <w:t xml:space="preserve">) – they were generally set within close proximity of the lintel, in keeping with local tradition. In contrast, while some Prestbury datestones have been incorporated into entryway lintels, as at Langley Hall (Figure </w:t>
      </w:r>
      <w:r w:rsidR="00D20D99">
        <w:t>22, p.</w:t>
      </w:r>
      <w:r w:rsidR="00C60012">
        <w:t>336</w:t>
      </w:r>
      <w:r w:rsidRPr="00D82F50">
        <w:t xml:space="preserve">), many were positioned further from the main door. The original datestone at Gap House (Figure </w:t>
      </w:r>
      <w:r w:rsidR="00BD3C1E">
        <w:t>20, p</w:t>
      </w:r>
      <w:r w:rsidR="00C60012">
        <w:t>.334</w:t>
      </w:r>
      <w:r w:rsidRPr="00D82F50">
        <w:t>), for example, discussed in the previous chapter, was set just below the roofline, along with those at Yew Tree House (Figure</w:t>
      </w:r>
      <w:r w:rsidR="00D92285">
        <w:t xml:space="preserve"> 34, p.</w:t>
      </w:r>
      <w:r w:rsidR="00C60012">
        <w:t>348</w:t>
      </w:r>
      <w:r w:rsidRPr="00D82F50">
        <w:t>), Walnut Tree Farmhouse (Figure</w:t>
      </w:r>
      <w:r w:rsidR="005B4BE7">
        <w:t xml:space="preserve"> 79, p.</w:t>
      </w:r>
      <w:r w:rsidR="00C60012">
        <w:t>393</w:t>
      </w:r>
      <w:r w:rsidRPr="00D82F50">
        <w:t>), Drove Hey Farmhouse (Figure</w:t>
      </w:r>
      <w:r w:rsidR="00091115">
        <w:t xml:space="preserve"> 56, p.</w:t>
      </w:r>
      <w:r w:rsidR="00C60012">
        <w:t>370</w:t>
      </w:r>
      <w:r w:rsidRPr="00D82F50">
        <w:t>) and Pott Lords (Figure</w:t>
      </w:r>
      <w:r w:rsidR="00D74CF0">
        <w:t xml:space="preserve"> 75, p.</w:t>
      </w:r>
      <w:r w:rsidR="00A73FEB">
        <w:t>389</w:t>
      </w:r>
      <w:r w:rsidRPr="00D82F50">
        <w:t>), while those at Heybridge Farmhouse (Figure</w:t>
      </w:r>
      <w:r w:rsidR="00FE21A3">
        <w:t>s 29 and 30, p</w:t>
      </w:r>
      <w:r w:rsidR="00A73FEB">
        <w:t>ages 343 and 344</w:t>
      </w:r>
      <w:r w:rsidRPr="00D82F50">
        <w:t>) and Ridge Hill (Figure</w:t>
      </w:r>
      <w:r w:rsidR="00CF5A6C">
        <w:t>s 73 and 74, p</w:t>
      </w:r>
      <w:r w:rsidR="00A73FEB">
        <w:t xml:space="preserve">ages </w:t>
      </w:r>
      <w:r w:rsidR="00F201E4">
        <w:t>387 and 388</w:t>
      </w:r>
      <w:r w:rsidRPr="00D82F50">
        <w:t>) were placed at the apex of gabled roofs.</w:t>
      </w:r>
    </w:p>
    <w:p w14:paraId="04CB9DBB" w14:textId="019E4AE4" w:rsidR="00D82F50" w:rsidRPr="00D82F50" w:rsidRDefault="00D82F50" w:rsidP="00D82F50">
      <w:pPr>
        <w:spacing w:after="0" w:line="480" w:lineRule="auto"/>
        <w:ind w:firstLine="720"/>
        <w:jc w:val="both"/>
      </w:pPr>
      <w:r w:rsidRPr="00D82F50">
        <w:t xml:space="preserve">There are also some discernible differences in iconography. As much as building materials may have contributed to the decision to carve inscriptions directly into lintels in north Lancashire, there are also evident connections between the imagery incorporated into them and the potency of the threshold as a site requiring protection. Apotropaic symbols feature prominently in Bolton-le-Sands alongside – or even within – marital inscriptions, </w:t>
      </w:r>
      <w:r w:rsidRPr="00D82F50">
        <w:lastRenderedPageBreak/>
        <w:t xml:space="preserve">discussed here in most depth in relation to </w:t>
      </w:r>
      <w:proofErr w:type="spellStart"/>
      <w:r w:rsidRPr="00D82F50">
        <w:t>McGaffigans</w:t>
      </w:r>
      <w:proofErr w:type="spellEnd"/>
      <w:r w:rsidRPr="00D82F50">
        <w:t xml:space="preserve"> Yard (Figure</w:t>
      </w:r>
      <w:r w:rsidR="00CF5A6C">
        <w:t xml:space="preserve"> 44, p.</w:t>
      </w:r>
      <w:r w:rsidR="00F201E4">
        <w:t>358</w:t>
      </w:r>
      <w:r w:rsidRPr="00D82F50">
        <w:t xml:space="preserve">), New Capernwray Farmhouse (Figure </w:t>
      </w:r>
      <w:r w:rsidR="00CF5A6C">
        <w:t>49, p.</w:t>
      </w:r>
      <w:r w:rsidR="00F201E4">
        <w:t>363</w:t>
      </w:r>
      <w:r w:rsidRPr="00D82F50">
        <w:t xml:space="preserve">), </w:t>
      </w:r>
      <w:proofErr w:type="spellStart"/>
      <w:r w:rsidRPr="00D82F50">
        <w:t>Kirkhouse</w:t>
      </w:r>
      <w:proofErr w:type="spellEnd"/>
      <w:r w:rsidRPr="00D82F50">
        <w:t xml:space="preserve"> (Figure</w:t>
      </w:r>
      <w:r w:rsidR="00CF5A6C">
        <w:t xml:space="preserve"> 60, p.</w:t>
      </w:r>
      <w:r w:rsidR="00F201E4">
        <w:t>374</w:t>
      </w:r>
      <w:r w:rsidRPr="00D82F50">
        <w:t>) and Cobblers’ Lodge (Figure</w:t>
      </w:r>
      <w:r w:rsidR="000B23D1">
        <w:t xml:space="preserve"> 12, p.</w:t>
      </w:r>
      <w:r w:rsidR="00F201E4">
        <w:t>326</w:t>
      </w:r>
      <w:r w:rsidRPr="00D82F50">
        <w:t xml:space="preserve">), but also seen at a wide range of other properties throughout the parish. Similar symbols </w:t>
      </w:r>
      <w:r w:rsidR="00324BF6">
        <w:t>have been incorporated into</w:t>
      </w:r>
      <w:r w:rsidRPr="00D82F50">
        <w:t xml:space="preserve"> some </w:t>
      </w:r>
      <w:r w:rsidR="0015343A">
        <w:t xml:space="preserve">Prestbury </w:t>
      </w:r>
      <w:r w:rsidRPr="00D82F50">
        <w:t>inscriptions, as at Drove Hey Farm</w:t>
      </w:r>
      <w:r w:rsidR="00962D2E">
        <w:t xml:space="preserve"> (Figure </w:t>
      </w:r>
      <w:r w:rsidR="000B23D1">
        <w:t>56, p.</w:t>
      </w:r>
      <w:r w:rsidR="00F201E4">
        <w:t>370</w:t>
      </w:r>
      <w:r w:rsidR="00962D2E">
        <w:t>)</w:t>
      </w:r>
      <w:r w:rsidR="00491769">
        <w:t>,</w:t>
      </w:r>
      <w:r w:rsidR="00A83297">
        <w:t xml:space="preserve"> but </w:t>
      </w:r>
      <w:r w:rsidR="00BC61A4">
        <w:t>apotropaic designs are primari</w:t>
      </w:r>
      <w:r w:rsidR="00491769">
        <w:t xml:space="preserve">ly </w:t>
      </w:r>
      <w:r w:rsidR="0015343A">
        <w:t>traceable</w:t>
      </w:r>
      <w:r w:rsidRPr="00D82F50">
        <w:t xml:space="preserve"> as influence</w:t>
      </w:r>
      <w:r w:rsidR="00491769">
        <w:t>s</w:t>
      </w:r>
      <w:r w:rsidRPr="00D82F50">
        <w:t xml:space="preserve"> on </w:t>
      </w:r>
      <w:r w:rsidR="0015343A">
        <w:t xml:space="preserve">later </w:t>
      </w:r>
      <w:r w:rsidRPr="00D82F50">
        <w:t xml:space="preserve">floral and botanical </w:t>
      </w:r>
      <w:r w:rsidR="00491769">
        <w:t>imagery,</w:t>
      </w:r>
      <w:r w:rsidRPr="00D82F50">
        <w:t xml:space="preserve"> present alongside mid-eighteenth-century inscriptions as at Greendale (Figure</w:t>
      </w:r>
      <w:r w:rsidR="0027688E">
        <w:t xml:space="preserve"> 57, p.</w:t>
      </w:r>
      <w:r w:rsidR="00F4512E">
        <w:t>371</w:t>
      </w:r>
      <w:r w:rsidRPr="00D82F50">
        <w:t>), Thorneycroft (Figure</w:t>
      </w:r>
      <w:r w:rsidR="001B763D">
        <w:t xml:space="preserve"> 59, p.</w:t>
      </w:r>
      <w:r w:rsidR="00F4512E">
        <w:t>373</w:t>
      </w:r>
      <w:r w:rsidRPr="00D82F50">
        <w:t>) and Walnut Tree (Figure</w:t>
      </w:r>
      <w:r w:rsidR="00AC393E">
        <w:t xml:space="preserve"> 79</w:t>
      </w:r>
      <w:r w:rsidR="009B462E">
        <w:t>, p.</w:t>
      </w:r>
      <w:r w:rsidR="00F4512E">
        <w:t>393</w:t>
      </w:r>
      <w:r w:rsidRPr="00D82F50">
        <w:t>). Similar iterations of these designs are visible in Bolton-le-Sands, also located at later houses like the Malthouse</w:t>
      </w:r>
      <w:r w:rsidR="00EE2ADE">
        <w:t xml:space="preserve"> (Figure </w:t>
      </w:r>
      <w:r w:rsidR="009B462E">
        <w:t>58, p.</w:t>
      </w:r>
      <w:r w:rsidR="00F4512E">
        <w:t>372</w:t>
      </w:r>
      <w:r w:rsidR="00EE2ADE">
        <w:t>)</w:t>
      </w:r>
      <w:r w:rsidRPr="00D82F50">
        <w:t>.</w:t>
      </w:r>
    </w:p>
    <w:p w14:paraId="126EC389" w14:textId="77777777" w:rsidR="00D82F50" w:rsidRPr="00D82F50" w:rsidRDefault="00D82F50" w:rsidP="00D82F50">
      <w:pPr>
        <w:spacing w:after="0" w:line="480" w:lineRule="auto"/>
        <w:ind w:firstLine="720"/>
        <w:jc w:val="both"/>
      </w:pPr>
      <w:r w:rsidRPr="00D82F50">
        <w:t>Across both parishes, there appears to have been a shift away from primarily apotropaic symbols as the period 1650-1750 progressed. This seems to have occurred somewhat earlier in Prestbury and may be connected to differences in overall wealth and consumption patterns traced earlier in this chapter. Given the apparent exposure of the Prestbury middling sorts to new forms of goods, it is also possible that this accompanied shifts in belief systems, craft traditions and modes of expression, with Prestbury parishioners exposed to different influences at a different rate to those living in Bolton-le-Sands. In both areas it is apparent that inscriptions retained apotropaic influences into the mid-eighteenth century, but it appears that the potency of these connections waned somewhat earlier in east Cheshire than in north Lancashire. Evidently the unique character of each emotional community in question played an important role in iconography, too, as this investigation of a series of inscribed houses at Meg Lane in Sutton has shown. The presence of the aristocratic Legh family on the lane appears to have contributed to the tendency towards using heraldry, seeing families without claim to gentry status as well as those occupying land by lease from superior landholding families adopting heraldic-inspired iconography.</w:t>
      </w:r>
    </w:p>
    <w:p w14:paraId="3E5025E0" w14:textId="77777777" w:rsidR="00D82F50" w:rsidRPr="00D82F50" w:rsidRDefault="00D82F50" w:rsidP="00D82F50">
      <w:pPr>
        <w:spacing w:after="0" w:line="480" w:lineRule="auto"/>
        <w:ind w:firstLine="720"/>
        <w:jc w:val="both"/>
      </w:pPr>
      <w:r w:rsidRPr="00D82F50">
        <w:lastRenderedPageBreak/>
        <w:t>Initials inscribed into the exterior of homes in Bolton-le-Sands and Prestbury parishes served multiple functions. When placed high on the façade, as at Yew Tree, they are understandably more readily interpreted as outward-facing assertions of identity and ownership by couples making architectural improvements, signalling their successes to friends and neighbours. Surviving traces like hinges and handles, however, offer a glimpse of the other ways in which these homes might have been personalised – though much more fragile and easily swept away with the passage of time. These traces reveal hints of what may have been present upon other homes, as well as being a testimony of continuing associations with the threshold, even where the visual language used was otherwise free from apotropaic marks. This continuation is tangible too where older protective marks appear to have become subsumed within a shifting decorative vocabulary. Rather than replaced wholesale, it seems more likely that this visual language retained some of its longstanding associations, visibly deployed in similar sites around the home and maintained or reappropriated to different degrees by different groups and households.</w:t>
      </w:r>
    </w:p>
    <w:p w14:paraId="23C9EAAD" w14:textId="77777777" w:rsidR="00D82F50" w:rsidRPr="00D82F50" w:rsidRDefault="00D82F50" w:rsidP="00D82F50">
      <w:pPr>
        <w:spacing w:after="0" w:line="480" w:lineRule="auto"/>
        <w:ind w:firstLine="720"/>
        <w:jc w:val="both"/>
      </w:pPr>
    </w:p>
    <w:p w14:paraId="143CC2B2" w14:textId="77777777" w:rsidR="00D82F50" w:rsidRPr="00D82F50" w:rsidRDefault="00D82F50" w:rsidP="00D82F50">
      <w:pPr>
        <w:spacing w:after="0" w:line="480" w:lineRule="auto"/>
        <w:jc w:val="both"/>
        <w:rPr>
          <w:b/>
          <w:bCs/>
        </w:rPr>
      </w:pPr>
      <w:r w:rsidRPr="00D82F50">
        <w:rPr>
          <w:b/>
          <w:bCs/>
        </w:rPr>
        <w:t>Conclusion</w:t>
      </w:r>
    </w:p>
    <w:p w14:paraId="7A05E3F4" w14:textId="4F16599F" w:rsidR="00D82F50" w:rsidRPr="00D82F50" w:rsidRDefault="00D82F50" w:rsidP="00D82F50">
      <w:pPr>
        <w:spacing w:after="0" w:line="480" w:lineRule="auto"/>
        <w:ind w:firstLine="720"/>
        <w:jc w:val="both"/>
      </w:pPr>
      <w:r w:rsidRPr="00D82F50">
        <w:t xml:space="preserve">The combination of documentary sources and material culture in situ within and upon surviving homes offers a huge insight into the materiality of people’s lives in Bolton-le-Sands and Prestbury parishes. Written materials are key in understanding the ways in which the contents of people’s homes – and the access people had to different goods – varied by location, marking Prestbury as better connected to developing markets in newer, innovative household products and wares. The same documentary sources also reveal the stock people placed in initialled objects when present in their homes, conceiving of them as inheritable treasures to be kept throughout their lives and passed down as heirlooms to subsequent </w:t>
      </w:r>
      <w:r w:rsidRPr="00D82F50">
        <w:lastRenderedPageBreak/>
        <w:t xml:space="preserve">generations. Combined with the material contextualisation of goods often absent in probate materials but a common feature in people’s lives – like coins and tobacco boxes –– the presence of inscribed objects in both areas can be better comprehended. Based on the material survival of inscribed goods within standing buildings, the role of initials in transforming objects into emotional anchors is clear, and in retracing the steps taken by items when carried from one home to another, it is possible to discern the importance of these objects for their early modern owners. </w:t>
      </w:r>
    </w:p>
    <w:p w14:paraId="4F06F7CF" w14:textId="2779114A" w:rsidR="00D82F50" w:rsidRPr="00D82F50" w:rsidRDefault="00D82F50" w:rsidP="00D82F50">
      <w:pPr>
        <w:spacing w:after="0" w:line="480" w:lineRule="auto"/>
        <w:ind w:firstLine="720"/>
        <w:jc w:val="both"/>
      </w:pPr>
      <w:r w:rsidRPr="00D82F50">
        <w:t xml:space="preserve">Contrasts perceptible in the ownership of different kinds of goods are borne out in the stylistic vocabulary used upon homes in Bolton-le-Sands and Prestbury parishes. A shift clearly occurred in both areas between 1650 and 1750, with stylised, protective symbols increasingly recast as more life-like botanical </w:t>
      </w:r>
      <w:proofErr w:type="gramStart"/>
      <w:r w:rsidRPr="00D82F50">
        <w:t>imagery, or</w:t>
      </w:r>
      <w:proofErr w:type="gramEnd"/>
      <w:r w:rsidRPr="00D82F50">
        <w:t xml:space="preserve"> even set aside. This appears to have happened earlier in Prestbury, where heraldic displays were more readily distanced from the immediate threshold and the uptake of ornate Baroque designs reveal concerns with status, ornament and fashion less immediately visible in Bolton-le-Sands. This is not to say that the language of representation and belief changed overnight, however, and </w:t>
      </w:r>
      <w:proofErr w:type="gramStart"/>
      <w:r w:rsidRPr="00D82F50">
        <w:t>it is clear that an</w:t>
      </w:r>
      <w:proofErr w:type="gramEnd"/>
      <w:r w:rsidRPr="00D82F50">
        <w:t xml:space="preserve"> emphasis on the threshold remained important even when symbols associated with its protection were not in explicit use. Equally importantly, the use of symbols (where present) should not be interpreted as cancelling out the concurrent desire of inscribers to display status and proclaim success among their peers. These concerns were likely parallel within each community, regardless of the specifics within which they were enshrined, even if those making such statements in Prestbury – given access to developing markets further afield and faster participation in national visual trends – may have been aiming to present themselves to a wider circle of peers.</w:t>
      </w:r>
    </w:p>
    <w:p w14:paraId="595D96E4" w14:textId="04DD6163" w:rsidR="00D82F50" w:rsidRPr="00D82F50" w:rsidRDefault="00D82F50" w:rsidP="00D82F50">
      <w:pPr>
        <w:spacing w:after="0" w:line="480" w:lineRule="auto"/>
        <w:ind w:firstLine="720"/>
        <w:jc w:val="both"/>
      </w:pPr>
      <w:r w:rsidRPr="00D82F50">
        <w:lastRenderedPageBreak/>
        <w:t>Consequently, initials and inscriptions ought to be understood as multi-faceted tools for protection, display and identity formation. Notably, their value inside the home and in objects and textiles in close contact with the skin should alert us to their significance for the household themselves as much as for the benefit of others. In outwardly professing their identities, inscribers were also shaping their perceptions of themselves, creating material reinforcements of emotional, interpersonal bonds and dual successes – as much as any profession of wealth. This is especially marked when inscriptions appear upon the very threshold of the home, suffused with symbolism invoking spiritual protection of the couple themselves as well as the space they inhabited together. Even when seemingly free from coded symbols, threshold inscriptions constituted a codification of space. Whether seen as permeable gateways for malevolent forces or simpl</w:t>
      </w:r>
      <w:r w:rsidR="002A782A">
        <w:t>y</w:t>
      </w:r>
      <w:r w:rsidRPr="00D82F50">
        <w:t xml:space="preserve"> the gateway through which a family routinely entered their home, materially-inscribed thresholds, and the inscribed objects that populated the rooms within them, were concerned with another world inherent in the materiality of domestic life: one in which people occupied shared mental and emotional – as much as physical – spaces.</w:t>
      </w:r>
    </w:p>
    <w:p w14:paraId="1F3289B3" w14:textId="77777777" w:rsidR="00655E4C" w:rsidRDefault="00655E4C">
      <w:pPr>
        <w:spacing w:after="0" w:line="240" w:lineRule="auto"/>
        <w:rPr>
          <w:b/>
          <w:bCs/>
          <w:sz w:val="32"/>
          <w:szCs w:val="32"/>
          <w:u w:val="single"/>
        </w:rPr>
        <w:sectPr w:rsidR="00655E4C">
          <w:footnotePr>
            <w:numRestart w:val="eachSect"/>
          </w:footnotePr>
          <w:pgSz w:w="11906" w:h="16838"/>
          <w:pgMar w:top="1440" w:right="1440" w:bottom="1440" w:left="1440" w:header="720" w:footer="720" w:gutter="0"/>
          <w:cols w:space="720"/>
          <w:docGrid w:linePitch="360"/>
        </w:sectPr>
      </w:pPr>
    </w:p>
    <w:p w14:paraId="188AFC5E" w14:textId="07A7170F" w:rsidR="00270F39" w:rsidRDefault="00270F39" w:rsidP="00270F39">
      <w:pPr>
        <w:spacing w:after="0" w:line="480" w:lineRule="auto"/>
        <w:jc w:val="both"/>
        <w:rPr>
          <w:b/>
          <w:bCs/>
          <w:sz w:val="32"/>
          <w:szCs w:val="32"/>
          <w:u w:val="single"/>
        </w:rPr>
      </w:pPr>
      <w:r w:rsidRPr="003229F5">
        <w:rPr>
          <w:b/>
          <w:bCs/>
          <w:sz w:val="32"/>
          <w:szCs w:val="32"/>
          <w:u w:val="single"/>
        </w:rPr>
        <w:lastRenderedPageBreak/>
        <w:t>Conclusion</w:t>
      </w:r>
    </w:p>
    <w:p w14:paraId="27005CBF" w14:textId="3A546970" w:rsidR="00270F39" w:rsidRDefault="00270F39" w:rsidP="00270F39">
      <w:pPr>
        <w:spacing w:after="0" w:line="480" w:lineRule="auto"/>
        <w:jc w:val="both"/>
      </w:pPr>
      <w:r>
        <w:tab/>
        <w:t xml:space="preserve">This thesis has </w:t>
      </w:r>
      <w:r w:rsidR="00F7741E">
        <w:t>argu</w:t>
      </w:r>
      <w:r>
        <w:t>ed that inscriptions transformed and intensified people’s experiences of objects and buildings in early modern England. The first chapter investigated references to inscription in contemporary print. In doing so, it showed that acts of inscription and material examples of inscriptions were widely discussed across an array of contemporary genres and by writers of various denominational backgrounds. The chapter demonstrated how interactions with inscribed text were understood as the means through which the body (including the heart, soul and mind) could become engraved and charted how, in print, inscription was framed as the form taken by emotion upon and within the body. It showed how this was true of romantic love and the tendency towards giving inscribed love tokens, but that it was also true of faith and a love for God, particularly evident in the way contemporary religious writers portrayed inscribed biblical passages and their influence over those routinely encountering and reading them. These discussions underscored the extent to which inscribed objects and buildings were understood as capable of being intimately connected with both the flesh and spirit. Consequently, processes of reading, writing, touching and interacting with inscribed text (including passing through inscribed doorways) were deemed capable of transposing textual inscriptions on to the potentially written surface of the body. Finally, examining contemporary print also revealed that inscriptions were believed to be key in influencing future ideas about early modern society. With antiquarians consumed by charting the history of England and its cities through reference to historic epitaphs, inscribed text undoubtedly played a central role in memory cultures and the forging of connections between past, present and future.</w:t>
      </w:r>
    </w:p>
    <w:p w14:paraId="53F2C083" w14:textId="20407C51" w:rsidR="00270F39" w:rsidRDefault="00270F39" w:rsidP="00270F39">
      <w:pPr>
        <w:spacing w:after="0" w:line="480" w:lineRule="auto"/>
        <w:jc w:val="both"/>
      </w:pPr>
      <w:r>
        <w:lastRenderedPageBreak/>
        <w:tab/>
        <w:t xml:space="preserve">Having established this as a lens through which to consider examples of early modern inscription, this thesis then turned to examine inscription practices in the case study communities of Bolton-le-Sands and Prestbury. Engaging with previous architectural historical perspectives on inscribed buildings, the second chapter advanced the arguments of Matthew Johnson and Chris King and demonstrated that economics </w:t>
      </w:r>
      <w:r w:rsidR="0027366E">
        <w:t>i</w:t>
      </w:r>
      <w:r>
        <w:t xml:space="preserve">s a blunt tool for understanding the significance of early modern inscriptions. Undertaking a detailed comparison of the two parishes and examining inscribers alongside their middling sort peers, the second chapter established that Prestbury was better off than Bolton-le-Sands and revealed that inscribers were not straightforwardly the wealthiest group in either area. The chapter also highlighted the almost-universality of some reading skill among inscribers. In the process, it posited the idea of inscription as a cultural expression of literacy, adopting Wrightson’s perspective of literacy as a cultural symbol </w:t>
      </w:r>
      <w:proofErr w:type="gramStart"/>
      <w:r>
        <w:t>in its own right and</w:t>
      </w:r>
      <w:proofErr w:type="gramEnd"/>
      <w:r>
        <w:t xml:space="preserve"> arguing that even where inscribers were not the wealthiest among their peers, demonstrations of literacy via inscription provided a channel for assertions of status. The second chapter also highlighted differences in outlook between inscribers and others within their parishes, showing inscribers’ heightened concerns with maintaining wealth within their immediate families. The chapter highlighted key differences in landholding</w:t>
      </w:r>
      <w:r w:rsidR="00027E3C">
        <w:t>,</w:t>
      </w:r>
      <w:r>
        <w:t xml:space="preserve"> too, confirming Green’s hypothesis that security of tenure was an important factor in the timing of inscriptions on the outside of homes.</w:t>
      </w:r>
    </w:p>
    <w:p w14:paraId="22D0331D" w14:textId="2030DF86" w:rsidR="00270F39" w:rsidRDefault="00270F39" w:rsidP="00270F39">
      <w:pPr>
        <w:spacing w:after="0" w:line="480" w:lineRule="auto"/>
        <w:jc w:val="both"/>
      </w:pPr>
      <w:r>
        <w:tab/>
        <w:t xml:space="preserve">The third chapter built on arguments developed in chapter two and further confirmed the unsuitability of economics as the primary explanation for inscriptions. It demonstrated the vibrancy and complexity of inscription practices as a multiform means of commemoration through reference to </w:t>
      </w:r>
      <w:r w:rsidR="00C33307">
        <w:t>11</w:t>
      </w:r>
      <w:r>
        <w:t xml:space="preserve"> case study homes and </w:t>
      </w:r>
      <w:r w:rsidR="00C33307">
        <w:t>13</w:t>
      </w:r>
      <w:r>
        <w:t xml:space="preserve"> different inscriptions. The chapter also showed how inscribers in Bolton-le-Sands and Prestbury used and adapted inscriptions in </w:t>
      </w:r>
      <w:r>
        <w:lastRenderedPageBreak/>
        <w:t>different ways, interpreting and reinterpreting a variable language of representation at different moments in the life cycle. Overall, this investigation demonstrated that the determining factor in inscriptions on the outside of homes w</w:t>
      </w:r>
      <w:r w:rsidR="00724D05">
        <w:t>as</w:t>
      </w:r>
      <w:r>
        <w:t xml:space="preserve"> ownership and the shaping of domestic space. For some – particularly in Bolton-le-Sands – properties were rebuilt immediately after marriage or in advance of it, with inscribers using shared funds or </w:t>
      </w:r>
      <w:r w:rsidR="004E1775">
        <w:t xml:space="preserve">seemingly </w:t>
      </w:r>
      <w:r>
        <w:t>taking out a mortgage. For others – especially in Prestbury, where mortgages could not be raised – inscribers waited until able to fund the project themselves or until confident of their fertility and that any investment made would remain within the family. In the wake of property transfer, epigraphs evidently offered opportunities for marking the reappropriation of space and a new phase in the history of the house. Relatedly, it is notable that professions of ownership were more explicit for those who did not then inhabit the properties they inscribed. For others, connections between properties and their owners were formed internally rather than on the façade, cementing a joint property ahead of a marriage yet to be formalised. Wherever they were used, inscriptions anchored inhabitants and their properties together and had a huge capacity for symbolically reinforcing commitments to each other and to their home. In materialising partnership upon the fabric of the house, inscriptions cemented union and unity in the very space that would nurture the couple, their children and future generations: the marital home.</w:t>
      </w:r>
    </w:p>
    <w:p w14:paraId="2845AAFD" w14:textId="50523DA3" w:rsidR="00270F39" w:rsidRDefault="00270F39" w:rsidP="00270F39">
      <w:pPr>
        <w:spacing w:after="0" w:line="480" w:lineRule="auto"/>
        <w:jc w:val="both"/>
      </w:pPr>
      <w:r>
        <w:tab/>
        <w:t xml:space="preserve">Chapter four developed these arguments further. Building on detailed analysis of inscriptions on the outside of homes, it explicitly addressed buildings and objects both as elements of domestic material culture. In so doing, it highlighted the necessity of examining inscribed buildings through a similar lens to inscribed objects, drawing attention to the parallels that existed across both sites of material commemoration. This chapter compared the two case study parishes in greater depth, investigating the materiality of middling sort </w:t>
      </w:r>
      <w:r>
        <w:lastRenderedPageBreak/>
        <w:t>homes in each area and showing that Prestbury was materially and financially richer than Bolton-le-Sands, with different consumption patterns. Contextualising inscriptions in domestic space through reference to a range of contemporary inscribed and initialled objects, this chapter emphasised the huge capacity for inscription within the early modern home even where written sources from Bolton-le-Sands and Prestbury only rarely</w:t>
      </w:r>
      <w:r w:rsidR="00A15306" w:rsidRPr="00A15306">
        <w:t xml:space="preserve"> </w:t>
      </w:r>
      <w:r w:rsidR="00A15306">
        <w:t>mentioned them directly</w:t>
      </w:r>
      <w:r>
        <w:t>. It also explored the significance of inscribed objects surviving in case study homes, reconstructing the everyday circumstances in which these goods would have been used as a way of recovering their social and emotional meanings.</w:t>
      </w:r>
    </w:p>
    <w:p w14:paraId="13BD8261" w14:textId="1AC8E86B" w:rsidR="00270F39" w:rsidRDefault="00270F39" w:rsidP="00270F39">
      <w:pPr>
        <w:spacing w:after="0" w:line="480" w:lineRule="auto"/>
        <w:jc w:val="both"/>
      </w:pPr>
      <w:r>
        <w:tab/>
        <w:t>This thesis has demonstrated the extent to which inscription was a multiform practice. Inscribed initials were widely used in early modern England as symbols of identity, present as emblems on tavern bottles and trade tokens, etched into tobacco boxes, jewellery, sewing equipment and tableware</w:t>
      </w:r>
      <w:r w:rsidR="00EB65A3">
        <w:t xml:space="preserve">, </w:t>
      </w:r>
      <w:r>
        <w:t>and stitched into clothing and household textiles. Whether always visible or not, inscriptions shaped relationships with and understandings of goods, capable of elevating items into meaningful treasures and heirlooms. While they served practical purposes, their significance was rarely one-dimensional and inscriptions were hugely important in what Monique Scheer has described as ‘emotional management’.</w:t>
      </w:r>
      <w:r>
        <w:rPr>
          <w:rStyle w:val="FootnoteReference"/>
        </w:rPr>
        <w:footnoteReference w:id="892"/>
      </w:r>
      <w:r>
        <w:t xml:space="preserve"> When used in courtship, inscribed text did not simply communicate affection but advanced relationships, further generating and reinforcing feelings. Inscriptions were similarly important in early modern marriage. Rather than being an end point of courtship, marriage was a social practice in and of itself, requiring constant reinforcement. Defined by Theodore Schatzki as </w:t>
      </w:r>
      <w:r w:rsidRPr="00854779">
        <w:t>‘temporally-evolving, open-ended sets of doings and sayings’</w:t>
      </w:r>
      <w:r>
        <w:t xml:space="preserve">, social practices have been </w:t>
      </w:r>
      <w:r>
        <w:lastRenderedPageBreak/>
        <w:t>theorised as dependent upon the knowledge of how to participate in them, involving necessary emotions, objects and locations.</w:t>
      </w:r>
      <w:r>
        <w:rPr>
          <w:rStyle w:val="FootnoteReference"/>
        </w:rPr>
        <w:footnoteReference w:id="893"/>
      </w:r>
      <w:r>
        <w:t xml:space="preserve"> Cohabitation within a shared household was fundamental to marriage in seventeenth- and eighteenth-century England, and at a middling sort level brought with it a host of expectations around ownership of different kinds of goods. The material culture of the home – both its contents and the building itself – thereby enabled couples to understand themselves as married, perceiving themselves as correctly performing and participating in the social practice of marriage.</w:t>
      </w:r>
    </w:p>
    <w:p w14:paraId="5C2E5BC8" w14:textId="5460A2BB" w:rsidR="002F26F9" w:rsidRDefault="00270F39" w:rsidP="00017C45">
      <w:pPr>
        <w:spacing w:after="0" w:line="480" w:lineRule="auto"/>
        <w:jc w:val="both"/>
      </w:pPr>
      <w:r>
        <w:tab/>
        <w:t xml:space="preserve">This thesis has argued that marital inscriptions offered a means of further harnessing the emotional and social power of domestic material culture. Inscribing buildings and objects with initials and names universally shaped them as an extension and externalisation of the self. In the context of inscribed real property this amounted to transforming a house into a home, in turn making it an extension of the couple and family that lived within it. Notably, this was never a one-way process. As much as inscribed material culture was commissioned and therefore shaped by the people who inscribed their identities upon it, this thesis has also shown that early modern people inscribed material culture with an awareness that these inscriptions would in turn shape them, informing their understandings of themselves and mediating their relationships with others. </w:t>
      </w:r>
    </w:p>
    <w:p w14:paraId="1A4FBAF9" w14:textId="77777777" w:rsidR="002F26F9" w:rsidRDefault="002F26F9">
      <w:pPr>
        <w:spacing w:after="0" w:line="240" w:lineRule="auto"/>
      </w:pPr>
      <w:r>
        <w:br w:type="page"/>
      </w:r>
    </w:p>
    <w:p w14:paraId="3E8C9453" w14:textId="77777777" w:rsidR="005A57CA" w:rsidRDefault="005A57CA">
      <w:pPr>
        <w:spacing w:after="0" w:line="240" w:lineRule="auto"/>
        <w:rPr>
          <w:b/>
          <w:bCs/>
          <w:sz w:val="32"/>
          <w:szCs w:val="32"/>
          <w:u w:val="single"/>
        </w:rPr>
      </w:pPr>
    </w:p>
    <w:p w14:paraId="06CB3037" w14:textId="77777777" w:rsidR="005A57CA" w:rsidRDefault="005A57CA">
      <w:pPr>
        <w:spacing w:after="0" w:line="240" w:lineRule="auto"/>
        <w:rPr>
          <w:b/>
          <w:bCs/>
          <w:sz w:val="32"/>
          <w:szCs w:val="32"/>
          <w:u w:val="single"/>
        </w:rPr>
      </w:pPr>
    </w:p>
    <w:p w14:paraId="35E2F264" w14:textId="77777777" w:rsidR="005A57CA" w:rsidRDefault="005A57CA">
      <w:pPr>
        <w:spacing w:after="0" w:line="240" w:lineRule="auto"/>
        <w:rPr>
          <w:b/>
          <w:bCs/>
          <w:sz w:val="32"/>
          <w:szCs w:val="32"/>
          <w:u w:val="single"/>
        </w:rPr>
      </w:pPr>
    </w:p>
    <w:p w14:paraId="7FE22262" w14:textId="77777777" w:rsidR="005A57CA" w:rsidRDefault="005A57CA">
      <w:pPr>
        <w:spacing w:after="0" w:line="240" w:lineRule="auto"/>
        <w:rPr>
          <w:b/>
          <w:bCs/>
          <w:sz w:val="32"/>
          <w:szCs w:val="32"/>
          <w:u w:val="single"/>
        </w:rPr>
      </w:pPr>
    </w:p>
    <w:p w14:paraId="4B36C5DC" w14:textId="77777777" w:rsidR="005A57CA" w:rsidRDefault="005A57CA">
      <w:pPr>
        <w:spacing w:after="0" w:line="240" w:lineRule="auto"/>
        <w:rPr>
          <w:b/>
          <w:bCs/>
          <w:sz w:val="32"/>
          <w:szCs w:val="32"/>
          <w:u w:val="single"/>
        </w:rPr>
      </w:pPr>
    </w:p>
    <w:p w14:paraId="40384529" w14:textId="77777777" w:rsidR="005A57CA" w:rsidRDefault="005A57CA">
      <w:pPr>
        <w:spacing w:after="0" w:line="240" w:lineRule="auto"/>
        <w:rPr>
          <w:b/>
          <w:bCs/>
          <w:sz w:val="32"/>
          <w:szCs w:val="32"/>
          <w:u w:val="single"/>
        </w:rPr>
      </w:pPr>
    </w:p>
    <w:p w14:paraId="24BC6C1F" w14:textId="77777777" w:rsidR="002A1EB2" w:rsidRDefault="002A1EB2">
      <w:pPr>
        <w:spacing w:after="0" w:line="240" w:lineRule="auto"/>
        <w:rPr>
          <w:b/>
          <w:bCs/>
          <w:sz w:val="32"/>
          <w:szCs w:val="32"/>
          <w:u w:val="single"/>
        </w:rPr>
      </w:pPr>
    </w:p>
    <w:p w14:paraId="0F4EF901" w14:textId="77777777" w:rsidR="002A1EB2" w:rsidRDefault="002A1EB2">
      <w:pPr>
        <w:spacing w:after="0" w:line="240" w:lineRule="auto"/>
        <w:rPr>
          <w:b/>
          <w:bCs/>
          <w:sz w:val="32"/>
          <w:szCs w:val="32"/>
          <w:u w:val="single"/>
        </w:rPr>
      </w:pPr>
    </w:p>
    <w:p w14:paraId="211D5D6E" w14:textId="3DD59B82" w:rsidR="005A57CA" w:rsidRDefault="005A57CA" w:rsidP="005A57CA">
      <w:pPr>
        <w:spacing w:after="0" w:line="240" w:lineRule="auto"/>
        <w:jc w:val="center"/>
        <w:rPr>
          <w:b/>
          <w:bCs/>
          <w:sz w:val="32"/>
          <w:szCs w:val="32"/>
          <w:u w:val="single"/>
        </w:rPr>
      </w:pPr>
      <w:r>
        <w:rPr>
          <w:b/>
          <w:bCs/>
          <w:sz w:val="32"/>
          <w:szCs w:val="32"/>
          <w:u w:val="single"/>
        </w:rPr>
        <w:t>Appendix 1</w:t>
      </w:r>
      <w:r w:rsidR="00622DFF">
        <w:rPr>
          <w:b/>
          <w:bCs/>
          <w:sz w:val="32"/>
          <w:szCs w:val="32"/>
          <w:u w:val="single"/>
        </w:rPr>
        <w:t>:</w:t>
      </w:r>
    </w:p>
    <w:p w14:paraId="5B3A88EB" w14:textId="77777777" w:rsidR="005A57CA" w:rsidRDefault="005A57CA" w:rsidP="005A57CA">
      <w:pPr>
        <w:spacing w:after="0" w:line="240" w:lineRule="auto"/>
        <w:jc w:val="center"/>
        <w:rPr>
          <w:b/>
          <w:bCs/>
          <w:sz w:val="32"/>
          <w:szCs w:val="32"/>
          <w:u w:val="single"/>
        </w:rPr>
      </w:pPr>
    </w:p>
    <w:p w14:paraId="257B49E7" w14:textId="6D93B370" w:rsidR="00622DFF" w:rsidRDefault="005A57CA" w:rsidP="005A57CA">
      <w:pPr>
        <w:spacing w:after="0" w:line="240" w:lineRule="auto"/>
        <w:jc w:val="center"/>
        <w:rPr>
          <w:b/>
          <w:bCs/>
          <w:sz w:val="32"/>
          <w:szCs w:val="32"/>
          <w:u w:val="single"/>
        </w:rPr>
      </w:pPr>
      <w:r>
        <w:rPr>
          <w:b/>
          <w:bCs/>
          <w:sz w:val="32"/>
          <w:szCs w:val="32"/>
          <w:u w:val="single"/>
        </w:rPr>
        <w:t>Maps</w:t>
      </w:r>
    </w:p>
    <w:p w14:paraId="63B34240" w14:textId="77777777" w:rsidR="002A1EB2" w:rsidRDefault="00622DFF" w:rsidP="00C41857">
      <w:pPr>
        <w:spacing w:after="0" w:line="240" w:lineRule="auto"/>
        <w:rPr>
          <w:b/>
          <w:bCs/>
          <w:sz w:val="32"/>
          <w:szCs w:val="32"/>
          <w:u w:val="single"/>
        </w:rPr>
        <w:sectPr w:rsidR="002A1EB2">
          <w:pgSz w:w="11906" w:h="16838"/>
          <w:pgMar w:top="1440" w:right="1440" w:bottom="1440" w:left="1440" w:header="720" w:footer="720" w:gutter="0"/>
          <w:cols w:space="720"/>
          <w:docGrid w:linePitch="360"/>
        </w:sectPr>
      </w:pPr>
      <w:r>
        <w:rPr>
          <w:b/>
          <w:bCs/>
          <w:sz w:val="32"/>
          <w:szCs w:val="32"/>
          <w:u w:val="single"/>
        </w:rPr>
        <w:br w:type="page"/>
      </w:r>
    </w:p>
    <w:p w14:paraId="7FD3E84F" w14:textId="31DEACAE" w:rsidR="00C41857" w:rsidRDefault="00557D88" w:rsidP="00B01D16">
      <w:pPr>
        <w:spacing w:after="0" w:line="240" w:lineRule="auto"/>
        <w:jc w:val="center"/>
        <w:rPr>
          <w:rFonts w:eastAsia="Helvetica" w:cs="Calibri"/>
        </w:rPr>
      </w:pPr>
      <w:r w:rsidRPr="00666DD1">
        <w:rPr>
          <w:rFonts w:eastAsia="Helvetica" w:cs="Calibri"/>
          <w:noProof/>
        </w:rPr>
        <w:lastRenderedPageBreak/>
        <mc:AlternateContent>
          <mc:Choice Requires="wps">
            <w:drawing>
              <wp:anchor distT="45720" distB="45720" distL="114300" distR="114300" simplePos="0" relativeHeight="251729920" behindDoc="0" locked="0" layoutInCell="1" allowOverlap="1" wp14:anchorId="799A47FB" wp14:editId="13136A4F">
                <wp:simplePos x="0" y="0"/>
                <wp:positionH relativeFrom="margin">
                  <wp:posOffset>3086100</wp:posOffset>
                </wp:positionH>
                <wp:positionV relativeFrom="paragraph">
                  <wp:posOffset>1457325</wp:posOffset>
                </wp:positionV>
                <wp:extent cx="1504950" cy="457200"/>
                <wp:effectExtent l="0" t="0" r="0" b="0"/>
                <wp:wrapNone/>
                <wp:docPr id="1635260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457200"/>
                        </a:xfrm>
                        <a:prstGeom prst="rect">
                          <a:avLst/>
                        </a:prstGeom>
                        <a:noFill/>
                        <a:ln w="9525">
                          <a:noFill/>
                          <a:miter lim="800000"/>
                          <a:headEnd/>
                          <a:tailEnd/>
                        </a:ln>
                      </wps:spPr>
                      <wps:txbx>
                        <w:txbxContent>
                          <w:p w14:paraId="68B8AF68" w14:textId="32B6CFB6" w:rsidR="00557D88" w:rsidRPr="002B1667" w:rsidRDefault="00557D88" w:rsidP="00557D88">
                            <w:pPr>
                              <w:rPr>
                                <w:sz w:val="20"/>
                                <w:szCs w:val="40"/>
                              </w:rPr>
                            </w:pPr>
                            <w:r w:rsidRPr="002B1667">
                              <w:rPr>
                                <w:sz w:val="20"/>
                                <w:szCs w:val="40"/>
                              </w:rPr>
                              <w:t>Bolton-le-Sands Parish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A1C05F8">
              <v:shapetype id="_x0000_t202" coordsize="21600,21600" o:spt="202" path="m,l,21600r21600,l21600,xe" w14:anchorId="799A47FB">
                <v:stroke joinstyle="miter"/>
                <v:path gradientshapeok="t" o:connecttype="rect"/>
              </v:shapetype>
              <v:shape id="Text Box 2" style="position:absolute;left:0;text-align:left;margin-left:243pt;margin-top:114.75pt;width:118.5pt;height:36pt;z-index:25172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">
                <v:textbox>
                  <w:txbxContent>
                    <w:p w:rsidRPr="002B1667" w:rsidR="00557D88" w:rsidP="00557D88" w:rsidRDefault="00557D88" w14:paraId="1F1C6F26" w14:textId="32B6CFB6">
                      <w:pPr>
                        <w:rPr>
                          <w:sz w:val="20"/>
                          <w:szCs w:val="40"/>
                        </w:rPr>
                      </w:pPr>
                      <w:r w:rsidRPr="002B1667">
                        <w:rPr>
                          <w:sz w:val="20"/>
                          <w:szCs w:val="40"/>
                        </w:rPr>
                        <w:t>Bolton-le-Sands Parish</w:t>
                      </w:r>
                    </w:p>
                  </w:txbxContent>
                </v:textbox>
                <w10:wrap anchorx="margin"/>
              </v:shape>
            </w:pict>
          </mc:Fallback>
        </mc:AlternateContent>
      </w:r>
      <w:r w:rsidRPr="00666DD1">
        <w:rPr>
          <w:rFonts w:eastAsia="Helvetica" w:cs="Calibri"/>
          <w:noProof/>
        </w:rPr>
        <mc:AlternateContent>
          <mc:Choice Requires="wps">
            <w:drawing>
              <wp:anchor distT="45720" distB="45720" distL="114300" distR="114300" simplePos="0" relativeHeight="251731968" behindDoc="0" locked="0" layoutInCell="1" allowOverlap="1" wp14:anchorId="7C49764B" wp14:editId="45E3D232">
                <wp:simplePos x="0" y="0"/>
                <wp:positionH relativeFrom="column">
                  <wp:posOffset>3429000</wp:posOffset>
                </wp:positionH>
                <wp:positionV relativeFrom="paragraph">
                  <wp:posOffset>3438525</wp:posOffset>
                </wp:positionV>
                <wp:extent cx="1311910" cy="457200"/>
                <wp:effectExtent l="0" t="0" r="0" b="0"/>
                <wp:wrapNone/>
                <wp:docPr id="9495069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457200"/>
                        </a:xfrm>
                        <a:prstGeom prst="rect">
                          <a:avLst/>
                        </a:prstGeom>
                        <a:noFill/>
                        <a:ln w="9525">
                          <a:noFill/>
                          <a:miter lim="800000"/>
                          <a:headEnd/>
                          <a:tailEnd/>
                        </a:ln>
                      </wps:spPr>
                      <wps:txbx>
                        <w:txbxContent>
                          <w:p w14:paraId="0BD85E90" w14:textId="4738BF83" w:rsidR="00557D88" w:rsidRPr="002B1667" w:rsidRDefault="00557D88" w:rsidP="00557D88">
                            <w:pPr>
                              <w:rPr>
                                <w:sz w:val="20"/>
                                <w:szCs w:val="40"/>
                              </w:rPr>
                            </w:pPr>
                            <w:r w:rsidRPr="002B1667">
                              <w:rPr>
                                <w:sz w:val="20"/>
                                <w:szCs w:val="40"/>
                              </w:rPr>
                              <w:t>Prestbury Parish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6F85ACB">
              <v:shape id="_x0000_s1027" style="position:absolute;left:0;text-align:left;margin-left:270pt;margin-top:270.75pt;width:103.3pt;height:36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" w14:anchorId="7C49764B">
                <v:textbox>
                  <w:txbxContent>
                    <w:p w:rsidRPr="002B1667" w:rsidR="00557D88" w:rsidP="00557D88" w:rsidRDefault="00557D88" w14:paraId="55AC02BF" w14:textId="4738BF83">
                      <w:pPr>
                        <w:rPr>
                          <w:sz w:val="20"/>
                          <w:szCs w:val="40"/>
                        </w:rPr>
                      </w:pPr>
                      <w:r w:rsidRPr="002B1667">
                        <w:rPr>
                          <w:sz w:val="20"/>
                          <w:szCs w:val="40"/>
                        </w:rPr>
                        <w:t>Prestbury Parish</w:t>
                      </w:r>
                    </w:p>
                  </w:txbxContent>
                </v:textbox>
              </v:shape>
            </w:pict>
          </mc:Fallback>
        </mc:AlternateContent>
      </w:r>
      <w:r w:rsidR="00C41857" w:rsidRPr="003A6F57">
        <w:rPr>
          <w:rFonts w:eastAsia="Helvetica" w:cs="Calibri"/>
          <w:noProof/>
        </w:rPr>
        <w:drawing>
          <wp:inline distT="0" distB="0" distL="0" distR="0" wp14:anchorId="5D7A3CCC" wp14:editId="0788989B">
            <wp:extent cx="7230533" cy="5306867"/>
            <wp:effectExtent l="0" t="0" r="8890" b="8255"/>
            <wp:docPr id="731825328" name="Picture 1" descr="A map of a coun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25328" name="Picture 1" descr="A map of a country&#10;&#10;Description automatically generated"/>
                    <pic:cNvPicPr/>
                  </pic:nvPicPr>
                  <pic:blipFill rotWithShape="1">
                    <a:blip r:embed="rId10"/>
                    <a:srcRect l="1282" t="3759" r="2830" b="3369"/>
                    <a:stretch/>
                  </pic:blipFill>
                  <pic:spPr bwMode="auto">
                    <a:xfrm>
                      <a:off x="0" y="0"/>
                      <a:ext cx="7230533" cy="5306867"/>
                    </a:xfrm>
                    <a:prstGeom prst="rect">
                      <a:avLst/>
                    </a:prstGeom>
                    <a:ln>
                      <a:noFill/>
                    </a:ln>
                    <a:extLst>
                      <a:ext uri="{53640926-AAD7-44D8-BBD7-CCE9431645EC}">
                        <a14:shadowObscured xmlns:a14="http://schemas.microsoft.com/office/drawing/2010/main"/>
                      </a:ext>
                    </a:extLst>
                  </pic:spPr>
                </pic:pic>
              </a:graphicData>
            </a:graphic>
          </wp:inline>
        </w:drawing>
      </w:r>
    </w:p>
    <w:p w14:paraId="208B0563" w14:textId="77777777" w:rsidR="00557D88" w:rsidRDefault="00B01D16" w:rsidP="00C41857">
      <w:pPr>
        <w:jc w:val="center"/>
        <w:rPr>
          <w:rFonts w:eastAsia="Helvetica" w:cs="Calibri"/>
        </w:rPr>
      </w:pPr>
      <w:r>
        <w:rPr>
          <w:rFonts w:eastAsia="Helvetica" w:cs="Calibri"/>
        </w:rPr>
        <w:t>Map 1</w:t>
      </w:r>
      <w:r w:rsidR="00C41857">
        <w:rPr>
          <w:rFonts w:eastAsia="Helvetica" w:cs="Calibri"/>
        </w:rPr>
        <w:t xml:space="preserve"> – Locations of Bolton-le-Sands and Prestbury parishes within northern England.</w:t>
      </w:r>
      <w:r w:rsidR="00C41857" w:rsidRPr="004C48E3">
        <w:rPr>
          <w:rFonts w:eastAsia="Helvetica" w:cs="Calibri"/>
        </w:rPr>
        <w:t xml:space="preserve"> </w:t>
      </w:r>
    </w:p>
    <w:p w14:paraId="7F8421D2" w14:textId="46936B5F" w:rsidR="00C41857" w:rsidRDefault="00C41857" w:rsidP="00C41857">
      <w:pPr>
        <w:jc w:val="center"/>
        <w:rPr>
          <w:rFonts w:eastAsia="Helvetica" w:cs="Calibri"/>
        </w:rPr>
      </w:pPr>
      <w:r w:rsidRPr="004C48E3">
        <w:rPr>
          <w:rFonts w:eastAsia="Helvetica" w:cs="Calibri"/>
        </w:rPr>
        <w:t>(</w:t>
      </w:r>
      <w:r>
        <w:rPr>
          <w:rFonts w:eastAsia="Helvetica" w:cs="Calibri"/>
        </w:rPr>
        <w:t>Map p</w:t>
      </w:r>
      <w:r w:rsidRPr="004C48E3">
        <w:rPr>
          <w:rFonts w:eastAsia="Helvetica" w:cs="Calibri"/>
        </w:rPr>
        <w:t xml:space="preserve">roduced using Google </w:t>
      </w:r>
      <w:r w:rsidRPr="00F721DF">
        <w:rPr>
          <w:rFonts w:eastAsia="Helvetica" w:cs="Calibri"/>
          <w:i/>
          <w:iCs/>
        </w:rPr>
        <w:t>My Maps</w:t>
      </w:r>
      <w:r>
        <w:rPr>
          <w:rFonts w:eastAsia="Helvetica" w:cs="Calibri"/>
        </w:rPr>
        <w:t>,</w:t>
      </w:r>
      <w:r w:rsidRPr="004C48E3">
        <w:rPr>
          <w:rFonts w:eastAsia="Helvetica" w:cs="Calibri"/>
        </w:rPr>
        <w:t xml:space="preserve"> [http://google.com/maps/d/u/0; accessed 10 November 2024])</w:t>
      </w:r>
    </w:p>
    <w:p w14:paraId="70957237" w14:textId="328C47D9" w:rsidR="00622DFF" w:rsidRDefault="00622DFF">
      <w:pPr>
        <w:spacing w:after="0" w:line="240" w:lineRule="auto"/>
        <w:rPr>
          <w:b/>
          <w:bCs/>
          <w:sz w:val="32"/>
          <w:szCs w:val="32"/>
          <w:u w:val="single"/>
        </w:rPr>
      </w:pPr>
    </w:p>
    <w:p w14:paraId="2EBC0B05" w14:textId="167DCDF8" w:rsidR="00212921" w:rsidRDefault="00557D88" w:rsidP="00212921">
      <w:pPr>
        <w:jc w:val="center"/>
        <w:rPr>
          <w:rFonts w:eastAsia="Helvetica" w:cs="Calibri"/>
        </w:rPr>
      </w:pPr>
      <w:r w:rsidRPr="00666DD1">
        <w:rPr>
          <w:rFonts w:eastAsia="Helvetica" w:cs="Calibri"/>
          <w:noProof/>
        </w:rPr>
        <mc:AlternateContent>
          <mc:Choice Requires="wps">
            <w:drawing>
              <wp:anchor distT="45720" distB="45720" distL="114300" distR="114300" simplePos="0" relativeHeight="251721728" behindDoc="0" locked="0" layoutInCell="1" allowOverlap="1" wp14:anchorId="5810115A" wp14:editId="612F2559">
                <wp:simplePos x="0" y="0"/>
                <wp:positionH relativeFrom="margin">
                  <wp:posOffset>4448175</wp:posOffset>
                </wp:positionH>
                <wp:positionV relativeFrom="paragraph">
                  <wp:posOffset>2931160</wp:posOffset>
                </wp:positionV>
                <wp:extent cx="1311910" cy="457200"/>
                <wp:effectExtent l="0" t="0" r="0" b="0"/>
                <wp:wrapNone/>
                <wp:docPr id="21280130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457200"/>
                        </a:xfrm>
                        <a:prstGeom prst="rect">
                          <a:avLst/>
                        </a:prstGeom>
                        <a:noFill/>
                        <a:ln w="9525">
                          <a:noFill/>
                          <a:miter lim="800000"/>
                          <a:headEnd/>
                          <a:tailEnd/>
                        </a:ln>
                      </wps:spPr>
                      <wps:txbx>
                        <w:txbxContent>
                          <w:p w14:paraId="24BCFA05" w14:textId="0CF0A8F9" w:rsidR="00557D88" w:rsidRPr="002B1667" w:rsidRDefault="00557D88" w:rsidP="00557D88">
                            <w:pPr>
                              <w:rPr>
                                <w:sz w:val="20"/>
                                <w:szCs w:val="40"/>
                              </w:rPr>
                            </w:pPr>
                            <w:r w:rsidRPr="002B1667">
                              <w:rPr>
                                <w:sz w:val="20"/>
                                <w:szCs w:val="40"/>
                              </w:rPr>
                              <w:t>Slyne-with-Hest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B1F8AE7">
              <v:shape id="_x0000_s1028" style="position:absolute;left:0;text-align:left;margin-left:350.25pt;margin-top:230.8pt;width:103.3pt;height:36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" w14:anchorId="5810115A">
                <v:textbox>
                  <w:txbxContent>
                    <w:p w:rsidRPr="002B1667" w:rsidR="00557D88" w:rsidP="00557D88" w:rsidRDefault="00557D88" w14:paraId="530C58CE" w14:textId="0CF0A8F9">
                      <w:pPr>
                        <w:rPr>
                          <w:sz w:val="20"/>
                          <w:szCs w:val="40"/>
                        </w:rPr>
                      </w:pPr>
                      <w:r w:rsidRPr="002B1667">
                        <w:rPr>
                          <w:sz w:val="20"/>
                          <w:szCs w:val="40"/>
                        </w:rPr>
                        <w:t>Slyne-with-Hest</w:t>
                      </w:r>
                    </w:p>
                  </w:txbxContent>
                </v:textbox>
                <w10:wrap anchorx="margin"/>
              </v:shape>
            </w:pict>
          </mc:Fallback>
        </mc:AlternateContent>
      </w:r>
      <w:r w:rsidRPr="00666DD1">
        <w:rPr>
          <w:rFonts w:eastAsia="Helvetica" w:cs="Calibri"/>
          <w:noProof/>
        </w:rPr>
        <mc:AlternateContent>
          <mc:Choice Requires="wps">
            <w:drawing>
              <wp:anchor distT="45720" distB="45720" distL="114300" distR="114300" simplePos="0" relativeHeight="251723776" behindDoc="0" locked="0" layoutInCell="1" allowOverlap="1" wp14:anchorId="37FA10BC" wp14:editId="7A5F6946">
                <wp:simplePos x="0" y="0"/>
                <wp:positionH relativeFrom="column">
                  <wp:posOffset>5743575</wp:posOffset>
                </wp:positionH>
                <wp:positionV relativeFrom="paragraph">
                  <wp:posOffset>2352040</wp:posOffset>
                </wp:positionV>
                <wp:extent cx="1311910" cy="457200"/>
                <wp:effectExtent l="0" t="0" r="0" b="0"/>
                <wp:wrapNone/>
                <wp:docPr id="2020233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457200"/>
                        </a:xfrm>
                        <a:prstGeom prst="rect">
                          <a:avLst/>
                        </a:prstGeom>
                        <a:noFill/>
                        <a:ln w="9525">
                          <a:noFill/>
                          <a:miter lim="800000"/>
                          <a:headEnd/>
                          <a:tailEnd/>
                        </a:ln>
                      </wps:spPr>
                      <wps:txbx>
                        <w:txbxContent>
                          <w:p w14:paraId="5E3001BB" w14:textId="7AE47087" w:rsidR="00557D88" w:rsidRPr="002B1667" w:rsidRDefault="00557D88" w:rsidP="00557D88">
                            <w:pPr>
                              <w:rPr>
                                <w:sz w:val="20"/>
                                <w:szCs w:val="40"/>
                              </w:rPr>
                            </w:pPr>
                            <w:r w:rsidRPr="002B1667">
                              <w:rPr>
                                <w:sz w:val="20"/>
                                <w:szCs w:val="40"/>
                              </w:rPr>
                              <w:t>Over Kellet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2684016">
              <v:shape id="_x0000_s1029" style="position:absolute;left:0;text-align:left;margin-left:452.25pt;margin-top:185.2pt;width:103.3pt;height:36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" w14:anchorId="37FA10BC">
                <v:textbox>
                  <w:txbxContent>
                    <w:p w:rsidRPr="002B1667" w:rsidR="00557D88" w:rsidP="00557D88" w:rsidRDefault="00557D88" w14:paraId="0C05AB1C" w14:textId="7AE47087">
                      <w:pPr>
                        <w:rPr>
                          <w:sz w:val="20"/>
                          <w:szCs w:val="40"/>
                        </w:rPr>
                      </w:pPr>
                      <w:r w:rsidRPr="002B1667">
                        <w:rPr>
                          <w:sz w:val="20"/>
                          <w:szCs w:val="40"/>
                        </w:rPr>
                        <w:t>Over Kellet</w:t>
                      </w:r>
                    </w:p>
                  </w:txbxContent>
                </v:textbox>
              </v:shape>
            </w:pict>
          </mc:Fallback>
        </mc:AlternateContent>
      </w:r>
      <w:r w:rsidRPr="00666DD1">
        <w:rPr>
          <w:rFonts w:eastAsia="Helvetica" w:cs="Calibri"/>
          <w:noProof/>
        </w:rPr>
        <mc:AlternateContent>
          <mc:Choice Requires="wps">
            <w:drawing>
              <wp:anchor distT="45720" distB="45720" distL="114300" distR="114300" simplePos="0" relativeHeight="251725824" behindDoc="0" locked="0" layoutInCell="1" allowOverlap="1" wp14:anchorId="3F3EB168" wp14:editId="2F12A7A1">
                <wp:simplePos x="0" y="0"/>
                <wp:positionH relativeFrom="column">
                  <wp:posOffset>5610225</wp:posOffset>
                </wp:positionH>
                <wp:positionV relativeFrom="paragraph">
                  <wp:posOffset>2607310</wp:posOffset>
                </wp:positionV>
                <wp:extent cx="1311910" cy="457200"/>
                <wp:effectExtent l="0" t="0" r="0" b="0"/>
                <wp:wrapNone/>
                <wp:docPr id="1485383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457200"/>
                        </a:xfrm>
                        <a:prstGeom prst="rect">
                          <a:avLst/>
                        </a:prstGeom>
                        <a:noFill/>
                        <a:ln w="9525">
                          <a:noFill/>
                          <a:miter lim="800000"/>
                          <a:headEnd/>
                          <a:tailEnd/>
                        </a:ln>
                      </wps:spPr>
                      <wps:txbx>
                        <w:txbxContent>
                          <w:p w14:paraId="340EDF53" w14:textId="20012558" w:rsidR="00557D88" w:rsidRPr="002B1667" w:rsidRDefault="00557D88" w:rsidP="00557D88">
                            <w:pPr>
                              <w:rPr>
                                <w:sz w:val="20"/>
                                <w:szCs w:val="40"/>
                              </w:rPr>
                            </w:pPr>
                            <w:r w:rsidRPr="002B1667">
                              <w:rPr>
                                <w:sz w:val="20"/>
                                <w:szCs w:val="40"/>
                              </w:rPr>
                              <w:t>Nether Kellet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2110B21">
              <v:shape id="_x0000_s1030" style="position:absolute;left:0;text-align:left;margin-left:441.75pt;margin-top:205.3pt;width:103.3pt;height:36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" w14:anchorId="3F3EB168">
                <v:textbox>
                  <w:txbxContent>
                    <w:p w:rsidRPr="002B1667" w:rsidR="00557D88" w:rsidP="00557D88" w:rsidRDefault="00557D88" w14:paraId="226944B6" w14:textId="20012558">
                      <w:pPr>
                        <w:rPr>
                          <w:sz w:val="20"/>
                          <w:szCs w:val="40"/>
                        </w:rPr>
                      </w:pPr>
                      <w:r w:rsidRPr="002B1667">
                        <w:rPr>
                          <w:sz w:val="20"/>
                          <w:szCs w:val="40"/>
                        </w:rPr>
                        <w:t>Nether Kellet</w:t>
                      </w:r>
                    </w:p>
                  </w:txbxContent>
                </v:textbox>
              </v:shape>
            </w:pict>
          </mc:Fallback>
        </mc:AlternateContent>
      </w:r>
      <w:r w:rsidRPr="00666DD1">
        <w:rPr>
          <w:rFonts w:eastAsia="Helvetica" w:cs="Calibri"/>
          <w:noProof/>
        </w:rPr>
        <mc:AlternateContent>
          <mc:Choice Requires="wps">
            <w:drawing>
              <wp:anchor distT="45720" distB="45720" distL="114300" distR="114300" simplePos="0" relativeHeight="251727872" behindDoc="0" locked="0" layoutInCell="1" allowOverlap="1" wp14:anchorId="001957EA" wp14:editId="78BE4A28">
                <wp:simplePos x="0" y="0"/>
                <wp:positionH relativeFrom="column">
                  <wp:posOffset>4657725</wp:posOffset>
                </wp:positionH>
                <wp:positionV relativeFrom="paragraph">
                  <wp:posOffset>2607310</wp:posOffset>
                </wp:positionV>
                <wp:extent cx="1311910" cy="457200"/>
                <wp:effectExtent l="0" t="0" r="0" b="0"/>
                <wp:wrapNone/>
                <wp:docPr id="1546856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457200"/>
                        </a:xfrm>
                        <a:prstGeom prst="rect">
                          <a:avLst/>
                        </a:prstGeom>
                        <a:noFill/>
                        <a:ln w="9525">
                          <a:noFill/>
                          <a:miter lim="800000"/>
                          <a:headEnd/>
                          <a:tailEnd/>
                        </a:ln>
                      </wps:spPr>
                      <wps:txbx>
                        <w:txbxContent>
                          <w:p w14:paraId="670256B1" w14:textId="589098ED" w:rsidR="00557D88" w:rsidRPr="002B1667" w:rsidRDefault="00557D88" w:rsidP="00557D88">
                            <w:pPr>
                              <w:rPr>
                                <w:sz w:val="20"/>
                                <w:szCs w:val="40"/>
                              </w:rPr>
                            </w:pPr>
                            <w:r w:rsidRPr="002B1667">
                              <w:rPr>
                                <w:sz w:val="20"/>
                                <w:szCs w:val="40"/>
                              </w:rPr>
                              <w:t>Bolton-le-Sands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2656508">
              <v:shape id="_x0000_s1031" style="position:absolute;left:0;text-align:left;margin-left:366.75pt;margin-top:205.3pt;width:103.3pt;height:36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" w14:anchorId="001957EA">
                <v:textbox>
                  <w:txbxContent>
                    <w:p w:rsidRPr="002B1667" w:rsidR="00557D88" w:rsidP="00557D88" w:rsidRDefault="00557D88" w14:paraId="05B35011" w14:textId="589098ED">
                      <w:pPr>
                        <w:rPr>
                          <w:sz w:val="20"/>
                          <w:szCs w:val="40"/>
                        </w:rPr>
                      </w:pPr>
                      <w:r w:rsidRPr="002B1667">
                        <w:rPr>
                          <w:sz w:val="20"/>
                          <w:szCs w:val="40"/>
                        </w:rPr>
                        <w:t>Bolton-le-Sands</w:t>
                      </w:r>
                    </w:p>
                  </w:txbxContent>
                </v:textbox>
              </v:shape>
            </w:pict>
          </mc:Fallback>
        </mc:AlternateContent>
      </w:r>
      <w:r w:rsidR="00212921" w:rsidRPr="000E3618">
        <w:rPr>
          <w:rFonts w:eastAsia="Helvetica" w:cs="Calibri"/>
          <w:noProof/>
        </w:rPr>
        <w:drawing>
          <wp:inline distT="0" distB="0" distL="0" distR="0" wp14:anchorId="2D9901D4" wp14:editId="4D4610B1">
            <wp:extent cx="7096125" cy="4757877"/>
            <wp:effectExtent l="0" t="0" r="0" b="5080"/>
            <wp:docPr id="567317290" name="Picture 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317290" name="Picture 1" descr="A map of the world&#10;&#10;Description automatically generated"/>
                    <pic:cNvPicPr/>
                  </pic:nvPicPr>
                  <pic:blipFill rotWithShape="1">
                    <a:blip r:embed="rId11"/>
                    <a:srcRect r="12757"/>
                    <a:stretch/>
                  </pic:blipFill>
                  <pic:spPr bwMode="auto">
                    <a:xfrm>
                      <a:off x="0" y="0"/>
                      <a:ext cx="7096125" cy="4757877"/>
                    </a:xfrm>
                    <a:prstGeom prst="rect">
                      <a:avLst/>
                    </a:prstGeom>
                    <a:ln>
                      <a:noFill/>
                    </a:ln>
                    <a:extLst>
                      <a:ext uri="{53640926-AAD7-44D8-BBD7-CCE9431645EC}">
                        <a14:shadowObscured xmlns:a14="http://schemas.microsoft.com/office/drawing/2010/main"/>
                      </a:ext>
                    </a:extLst>
                  </pic:spPr>
                </pic:pic>
              </a:graphicData>
            </a:graphic>
          </wp:inline>
        </w:drawing>
      </w:r>
    </w:p>
    <w:p w14:paraId="04B98ADF" w14:textId="77777777" w:rsidR="00557D88" w:rsidRDefault="00212921" w:rsidP="00CF3AD8">
      <w:pPr>
        <w:jc w:val="center"/>
        <w:rPr>
          <w:rFonts w:eastAsia="Helvetica" w:cs="Calibri"/>
        </w:rPr>
      </w:pPr>
      <w:r>
        <w:rPr>
          <w:rFonts w:eastAsia="Helvetica" w:cs="Calibri"/>
        </w:rPr>
        <w:t xml:space="preserve">Map 2 - Locations of Bolton-le-Sands, Slyne-with-Hest, Over Kellet and Nether Kellet townships, all within Bolton-le-Sands parish. </w:t>
      </w:r>
    </w:p>
    <w:p w14:paraId="799E61E5" w14:textId="4F8A3900" w:rsidR="002A1EB2" w:rsidRDefault="00212921" w:rsidP="00CF3AD8">
      <w:pPr>
        <w:jc w:val="center"/>
        <w:rPr>
          <w:rFonts w:eastAsia="Helvetica" w:cs="Calibri"/>
        </w:rPr>
      </w:pPr>
      <w:r>
        <w:rPr>
          <w:rFonts w:eastAsia="Helvetica" w:cs="Calibri"/>
        </w:rPr>
        <w:t xml:space="preserve">(Map produced using Google </w:t>
      </w:r>
      <w:r w:rsidRPr="00F721DF">
        <w:rPr>
          <w:rFonts w:eastAsia="Helvetica" w:cs="Calibri"/>
          <w:i/>
          <w:iCs/>
        </w:rPr>
        <w:t>My Maps</w:t>
      </w:r>
      <w:r>
        <w:rPr>
          <w:rFonts w:eastAsia="Helvetica" w:cs="Calibri"/>
        </w:rPr>
        <w:t>, [http://google.com/maps/d/u/0; accessed 10 November 2024])</w:t>
      </w:r>
    </w:p>
    <w:p w14:paraId="3F1A7669" w14:textId="77777777" w:rsidR="00CF3AD8" w:rsidRDefault="00CF3AD8" w:rsidP="00CF3AD8">
      <w:pPr>
        <w:jc w:val="center"/>
        <w:rPr>
          <w:rFonts w:eastAsia="Helvetica" w:cs="Calibri"/>
        </w:rPr>
      </w:pPr>
      <w:r w:rsidRPr="00666DD1">
        <w:rPr>
          <w:rFonts w:eastAsia="Helvetica" w:cs="Calibri"/>
          <w:noProof/>
        </w:rPr>
        <w:lastRenderedPageBreak/>
        <mc:AlternateContent>
          <mc:Choice Requires="wps">
            <w:drawing>
              <wp:anchor distT="45720" distB="45720" distL="114300" distR="114300" simplePos="0" relativeHeight="251659264" behindDoc="0" locked="0" layoutInCell="1" allowOverlap="1" wp14:anchorId="4A985E32" wp14:editId="52627C21">
                <wp:simplePos x="0" y="0"/>
                <wp:positionH relativeFrom="column">
                  <wp:posOffset>3580765</wp:posOffset>
                </wp:positionH>
                <wp:positionV relativeFrom="paragraph">
                  <wp:posOffset>3067473</wp:posOffset>
                </wp:positionV>
                <wp:extent cx="1311910" cy="457200"/>
                <wp:effectExtent l="0" t="0" r="0" b="0"/>
                <wp:wrapNone/>
                <wp:docPr id="2808629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457200"/>
                        </a:xfrm>
                        <a:prstGeom prst="rect">
                          <a:avLst/>
                        </a:prstGeom>
                        <a:noFill/>
                        <a:ln w="9525">
                          <a:noFill/>
                          <a:miter lim="800000"/>
                          <a:headEnd/>
                          <a:tailEnd/>
                        </a:ln>
                      </wps:spPr>
                      <wps:txbx>
                        <w:txbxContent>
                          <w:p w14:paraId="62B4F90A" w14:textId="77777777" w:rsidR="00CF3AD8" w:rsidRPr="002B1667" w:rsidRDefault="00CF3AD8" w:rsidP="00CF3AD8">
                            <w:pPr>
                              <w:rPr>
                                <w:sz w:val="20"/>
                                <w:szCs w:val="40"/>
                              </w:rPr>
                            </w:pPr>
                            <w:r w:rsidRPr="002B1667">
                              <w:rPr>
                                <w:sz w:val="20"/>
                                <w:szCs w:val="40"/>
                              </w:rPr>
                              <w:t>Wildboarclough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F87315D">
              <v:shape id="_x0000_s1032" style="position:absolute;left:0;text-align:left;margin-left:281.95pt;margin-top:241.55pt;width:103.3pt;height:3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" w14:anchorId="4A985E32">
                <v:textbox>
                  <w:txbxContent>
                    <w:p w:rsidRPr="002B1667" w:rsidR="00CF3AD8" w:rsidP="00CF3AD8" w:rsidRDefault="00CF3AD8" w14:paraId="0B0EF872" w14:textId="77777777">
                      <w:pPr>
                        <w:rPr>
                          <w:sz w:val="20"/>
                          <w:szCs w:val="40"/>
                        </w:rPr>
                      </w:pPr>
                      <w:r w:rsidRPr="002B1667">
                        <w:rPr>
                          <w:sz w:val="20"/>
                          <w:szCs w:val="40"/>
                        </w:rPr>
                        <w:t>Wildboarclough</w:t>
                      </w:r>
                    </w:p>
                  </w:txbxContent>
                </v:textbox>
              </v:shape>
            </w:pict>
          </mc:Fallback>
        </mc:AlternateContent>
      </w:r>
      <w:r w:rsidRPr="00666DD1">
        <w:rPr>
          <w:rFonts w:eastAsia="Helvetica" w:cs="Calibri"/>
          <w:noProof/>
        </w:rPr>
        <mc:AlternateContent>
          <mc:Choice Requires="wps">
            <w:drawing>
              <wp:anchor distT="45720" distB="45720" distL="114300" distR="114300" simplePos="0" relativeHeight="251661312" behindDoc="0" locked="0" layoutInCell="1" allowOverlap="1" wp14:anchorId="2740E145" wp14:editId="7F0EE164">
                <wp:simplePos x="0" y="0"/>
                <wp:positionH relativeFrom="column">
                  <wp:posOffset>3697605</wp:posOffset>
                </wp:positionH>
                <wp:positionV relativeFrom="paragraph">
                  <wp:posOffset>1681903</wp:posOffset>
                </wp:positionV>
                <wp:extent cx="1311910" cy="457200"/>
                <wp:effectExtent l="0" t="0" r="0" b="0"/>
                <wp:wrapNone/>
                <wp:docPr id="1999149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457200"/>
                        </a:xfrm>
                        <a:prstGeom prst="rect">
                          <a:avLst/>
                        </a:prstGeom>
                        <a:noFill/>
                        <a:ln w="9525">
                          <a:noFill/>
                          <a:miter lim="800000"/>
                          <a:headEnd/>
                          <a:tailEnd/>
                        </a:ln>
                      </wps:spPr>
                      <wps:txbx>
                        <w:txbxContent>
                          <w:p w14:paraId="7374F538" w14:textId="77777777" w:rsidR="00CF3AD8" w:rsidRPr="002B1667" w:rsidRDefault="00CF3AD8" w:rsidP="00CF3AD8">
                            <w:pPr>
                              <w:rPr>
                                <w:sz w:val="20"/>
                                <w:szCs w:val="40"/>
                              </w:rPr>
                            </w:pPr>
                            <w:r w:rsidRPr="002B1667">
                              <w:rPr>
                                <w:sz w:val="20"/>
                                <w:szCs w:val="40"/>
                              </w:rPr>
                              <w:t>Kettleshulme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5AF7EB9">
              <v:shape id="_x0000_s1033" style="position:absolute;left:0;text-align:left;margin-left:291.15pt;margin-top:132.45pt;width:103.3pt;height:3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" w14:anchorId="2740E145">
                <v:textbox>
                  <w:txbxContent>
                    <w:p w:rsidRPr="002B1667" w:rsidR="00CF3AD8" w:rsidP="00CF3AD8" w:rsidRDefault="00CF3AD8" w14:paraId="0975C859" w14:textId="77777777">
                      <w:pPr>
                        <w:rPr>
                          <w:sz w:val="20"/>
                          <w:szCs w:val="40"/>
                        </w:rPr>
                      </w:pPr>
                      <w:r w:rsidRPr="002B1667">
                        <w:rPr>
                          <w:sz w:val="20"/>
                          <w:szCs w:val="40"/>
                        </w:rPr>
                        <w:t>Kettleshulme</w:t>
                      </w:r>
                    </w:p>
                  </w:txbxContent>
                </v:textbox>
              </v:shape>
            </w:pict>
          </mc:Fallback>
        </mc:AlternateContent>
      </w:r>
      <w:r w:rsidRPr="00666DD1">
        <w:rPr>
          <w:rFonts w:eastAsia="Helvetica" w:cs="Calibri"/>
          <w:noProof/>
        </w:rPr>
        <mc:AlternateContent>
          <mc:Choice Requires="wps">
            <w:drawing>
              <wp:anchor distT="45720" distB="45720" distL="114300" distR="114300" simplePos="0" relativeHeight="251662336" behindDoc="0" locked="0" layoutInCell="1" allowOverlap="1" wp14:anchorId="78E9A48C" wp14:editId="365A8C5D">
                <wp:simplePos x="0" y="0"/>
                <wp:positionH relativeFrom="column">
                  <wp:posOffset>2999105</wp:posOffset>
                </wp:positionH>
                <wp:positionV relativeFrom="paragraph">
                  <wp:posOffset>2798657</wp:posOffset>
                </wp:positionV>
                <wp:extent cx="1311910" cy="457200"/>
                <wp:effectExtent l="0" t="0" r="0" b="0"/>
                <wp:wrapNone/>
                <wp:docPr id="545338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457200"/>
                        </a:xfrm>
                        <a:prstGeom prst="rect">
                          <a:avLst/>
                        </a:prstGeom>
                        <a:noFill/>
                        <a:ln w="9525">
                          <a:noFill/>
                          <a:miter lim="800000"/>
                          <a:headEnd/>
                          <a:tailEnd/>
                        </a:ln>
                      </wps:spPr>
                      <wps:txbx>
                        <w:txbxContent>
                          <w:p w14:paraId="68CDC51B" w14:textId="77777777" w:rsidR="00CF3AD8" w:rsidRPr="002B1667" w:rsidRDefault="00CF3AD8" w:rsidP="00CF3AD8">
                            <w:pPr>
                              <w:rPr>
                                <w:sz w:val="20"/>
                                <w:szCs w:val="40"/>
                              </w:rPr>
                            </w:pPr>
                            <w:r w:rsidRPr="002B1667">
                              <w:rPr>
                                <w:sz w:val="20"/>
                                <w:szCs w:val="40"/>
                              </w:rPr>
                              <w:t>Sutton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28C4387">
              <v:shape id="_x0000_s1034" style="position:absolute;left:0;text-align:left;margin-left:236.15pt;margin-top:220.35pt;width:103.3pt;height:3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" w14:anchorId="78E9A48C">
                <v:textbox>
                  <w:txbxContent>
                    <w:p w:rsidRPr="002B1667" w:rsidR="00CF3AD8" w:rsidP="00CF3AD8" w:rsidRDefault="00CF3AD8" w14:paraId="32D2614F" w14:textId="77777777">
                      <w:pPr>
                        <w:rPr>
                          <w:sz w:val="20"/>
                          <w:szCs w:val="40"/>
                        </w:rPr>
                      </w:pPr>
                      <w:r w:rsidRPr="002B1667">
                        <w:rPr>
                          <w:sz w:val="20"/>
                          <w:szCs w:val="40"/>
                        </w:rPr>
                        <w:t>Sutton</w:t>
                      </w:r>
                    </w:p>
                  </w:txbxContent>
                </v:textbox>
              </v:shape>
            </w:pict>
          </mc:Fallback>
        </mc:AlternateContent>
      </w:r>
      <w:r w:rsidRPr="00666DD1">
        <w:rPr>
          <w:rFonts w:eastAsia="Helvetica" w:cs="Calibri"/>
          <w:noProof/>
        </w:rPr>
        <mc:AlternateContent>
          <mc:Choice Requires="wps">
            <w:drawing>
              <wp:anchor distT="45720" distB="45720" distL="114300" distR="114300" simplePos="0" relativeHeight="251660288" behindDoc="0" locked="0" layoutInCell="1" allowOverlap="1" wp14:anchorId="4AC7AF37" wp14:editId="6999AC3E">
                <wp:simplePos x="0" y="0"/>
                <wp:positionH relativeFrom="column">
                  <wp:posOffset>2596515</wp:posOffset>
                </wp:positionH>
                <wp:positionV relativeFrom="paragraph">
                  <wp:posOffset>1746038</wp:posOffset>
                </wp:positionV>
                <wp:extent cx="1311910" cy="457200"/>
                <wp:effectExtent l="0" t="0" r="0" b="0"/>
                <wp:wrapNone/>
                <wp:docPr id="353454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457200"/>
                        </a:xfrm>
                        <a:prstGeom prst="rect">
                          <a:avLst/>
                        </a:prstGeom>
                        <a:noFill/>
                        <a:ln w="9525">
                          <a:noFill/>
                          <a:miter lim="800000"/>
                          <a:headEnd/>
                          <a:tailEnd/>
                        </a:ln>
                      </wps:spPr>
                      <wps:txbx>
                        <w:txbxContent>
                          <w:p w14:paraId="2394D577" w14:textId="77777777" w:rsidR="00CF3AD8" w:rsidRPr="002B1667" w:rsidRDefault="00CF3AD8" w:rsidP="00CF3AD8">
                            <w:pPr>
                              <w:rPr>
                                <w:sz w:val="20"/>
                                <w:szCs w:val="40"/>
                              </w:rPr>
                            </w:pPr>
                            <w:r w:rsidRPr="002B1667">
                              <w:rPr>
                                <w:sz w:val="20"/>
                                <w:szCs w:val="40"/>
                              </w:rPr>
                              <w:t>Butley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EA3C881">
              <v:shape id="_x0000_s1035" style="position:absolute;left:0;text-align:left;margin-left:204.45pt;margin-top:137.5pt;width:103.3pt;height:3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" w14:anchorId="4AC7AF37">
                <v:textbox>
                  <w:txbxContent>
                    <w:p w:rsidRPr="002B1667" w:rsidR="00CF3AD8" w:rsidP="00CF3AD8" w:rsidRDefault="00CF3AD8" w14:paraId="50F167FB" w14:textId="77777777">
                      <w:pPr>
                        <w:rPr>
                          <w:sz w:val="20"/>
                          <w:szCs w:val="40"/>
                        </w:rPr>
                      </w:pPr>
                      <w:r w:rsidRPr="002B1667">
                        <w:rPr>
                          <w:sz w:val="20"/>
                          <w:szCs w:val="40"/>
                        </w:rPr>
                        <w:t>Butley</w:t>
                      </w:r>
                    </w:p>
                  </w:txbxContent>
                </v:textbox>
              </v:shape>
            </w:pict>
          </mc:Fallback>
        </mc:AlternateContent>
      </w:r>
      <w:r w:rsidRPr="006A39DD">
        <w:rPr>
          <w:rFonts w:eastAsia="Helvetica" w:cs="Calibri"/>
          <w:noProof/>
        </w:rPr>
        <w:drawing>
          <wp:inline distT="0" distB="0" distL="0" distR="0" wp14:anchorId="4771A981" wp14:editId="6E8091AD">
            <wp:extent cx="6824133" cy="5056114"/>
            <wp:effectExtent l="0" t="0" r="0" b="0"/>
            <wp:docPr id="1802288879" name="Picture 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88879" name="Picture 1" descr="A map of the world&#10;&#10;Description automatically generated"/>
                    <pic:cNvPicPr/>
                  </pic:nvPicPr>
                  <pic:blipFill>
                    <a:blip r:embed="rId12"/>
                    <a:stretch>
                      <a:fillRect/>
                    </a:stretch>
                  </pic:blipFill>
                  <pic:spPr>
                    <a:xfrm>
                      <a:off x="0" y="0"/>
                      <a:ext cx="6865949" cy="5087096"/>
                    </a:xfrm>
                    <a:prstGeom prst="rect">
                      <a:avLst/>
                    </a:prstGeom>
                  </pic:spPr>
                </pic:pic>
              </a:graphicData>
            </a:graphic>
          </wp:inline>
        </w:drawing>
      </w:r>
    </w:p>
    <w:p w14:paraId="308ECC9C" w14:textId="77777777" w:rsidR="00557D88" w:rsidRDefault="00CF3AD8" w:rsidP="00CF3AD8">
      <w:pPr>
        <w:jc w:val="center"/>
        <w:rPr>
          <w:rFonts w:eastAsia="Helvetica" w:cs="Calibri"/>
        </w:rPr>
      </w:pPr>
      <w:r>
        <w:rPr>
          <w:rFonts w:eastAsia="Helvetica" w:cs="Calibri"/>
        </w:rPr>
        <w:t xml:space="preserve">Map 3 </w:t>
      </w:r>
      <w:r w:rsidRPr="006A39DD">
        <w:rPr>
          <w:rFonts w:eastAsia="Helvetica" w:cs="Calibri"/>
        </w:rPr>
        <w:t xml:space="preserve">- </w:t>
      </w:r>
      <w:r>
        <w:rPr>
          <w:rFonts w:eastAsia="Helvetica" w:cs="Calibri"/>
        </w:rPr>
        <w:t>L</w:t>
      </w:r>
      <w:r w:rsidRPr="006A39DD">
        <w:rPr>
          <w:rFonts w:eastAsia="Helvetica" w:cs="Calibri"/>
        </w:rPr>
        <w:t xml:space="preserve">ocations of </w:t>
      </w:r>
      <w:r>
        <w:rPr>
          <w:rFonts w:eastAsia="Helvetica" w:cs="Calibri"/>
        </w:rPr>
        <w:t>Butley, Sutton, Wildboarclough and Kettleshulme</w:t>
      </w:r>
      <w:r w:rsidRPr="006A39DD">
        <w:rPr>
          <w:rFonts w:eastAsia="Helvetica" w:cs="Calibri"/>
        </w:rPr>
        <w:t xml:space="preserve"> townships within </w:t>
      </w:r>
      <w:r>
        <w:rPr>
          <w:rFonts w:eastAsia="Helvetica" w:cs="Calibri"/>
        </w:rPr>
        <w:t>Prestbury</w:t>
      </w:r>
      <w:r w:rsidRPr="006A39DD">
        <w:rPr>
          <w:rFonts w:eastAsia="Helvetica" w:cs="Calibri"/>
        </w:rPr>
        <w:t xml:space="preserve"> parish</w:t>
      </w:r>
      <w:r>
        <w:rPr>
          <w:rFonts w:eastAsia="Helvetica" w:cs="Calibri"/>
        </w:rPr>
        <w:t>.</w:t>
      </w:r>
      <w:r w:rsidRPr="006A39DD">
        <w:rPr>
          <w:rFonts w:eastAsia="Helvetica" w:cs="Calibri"/>
        </w:rPr>
        <w:t xml:space="preserve"> </w:t>
      </w:r>
    </w:p>
    <w:p w14:paraId="696E5AF9" w14:textId="18AFEFCA" w:rsidR="00CF3AD8" w:rsidRDefault="00CF3AD8" w:rsidP="00CF3AD8">
      <w:pPr>
        <w:jc w:val="center"/>
        <w:rPr>
          <w:rFonts w:eastAsia="Helvetica" w:cs="Calibri"/>
        </w:rPr>
      </w:pPr>
      <w:r w:rsidRPr="006A39DD">
        <w:rPr>
          <w:rFonts w:eastAsia="Helvetica" w:cs="Calibri"/>
        </w:rPr>
        <w:t>(</w:t>
      </w:r>
      <w:r>
        <w:rPr>
          <w:rFonts w:eastAsia="Helvetica" w:cs="Calibri"/>
        </w:rPr>
        <w:t>M</w:t>
      </w:r>
      <w:r w:rsidRPr="006A39DD">
        <w:rPr>
          <w:rFonts w:eastAsia="Helvetica" w:cs="Calibri"/>
        </w:rPr>
        <w:t xml:space="preserve">ap produced using Google </w:t>
      </w:r>
      <w:r w:rsidRPr="00F721DF">
        <w:rPr>
          <w:rFonts w:eastAsia="Helvetica" w:cs="Calibri"/>
          <w:i/>
          <w:iCs/>
        </w:rPr>
        <w:t>My Maps</w:t>
      </w:r>
      <w:r>
        <w:rPr>
          <w:rFonts w:eastAsia="Helvetica" w:cs="Calibri"/>
          <w:i/>
          <w:iCs/>
        </w:rPr>
        <w:t>,</w:t>
      </w:r>
      <w:r w:rsidRPr="006A39DD">
        <w:rPr>
          <w:rFonts w:eastAsia="Helvetica" w:cs="Calibri"/>
        </w:rPr>
        <w:t xml:space="preserve"> [http://google.com/maps/d/u/0; accessed 10 November 2024])</w:t>
      </w:r>
    </w:p>
    <w:p w14:paraId="527EC595" w14:textId="77777777" w:rsidR="009F59FE" w:rsidRDefault="009F59FE" w:rsidP="009F59FE">
      <w:pPr>
        <w:sectPr w:rsidR="009F59FE" w:rsidSect="009F59FE">
          <w:pgSz w:w="15840" w:h="12240" w:orient="landscape"/>
          <w:pgMar w:top="1440" w:right="1440" w:bottom="1440" w:left="1440" w:header="720" w:footer="720" w:gutter="0"/>
          <w:cols w:space="720"/>
          <w:docGrid w:linePitch="360"/>
        </w:sectPr>
      </w:pPr>
    </w:p>
    <w:p w14:paraId="646EB719" w14:textId="2CE854BE" w:rsidR="009F59FE" w:rsidRDefault="002B1667" w:rsidP="009F59FE">
      <w:r w:rsidRPr="00CC0832">
        <w:rPr>
          <w:noProof/>
        </w:rPr>
        <w:lastRenderedPageBreak/>
        <mc:AlternateContent>
          <mc:Choice Requires="wps">
            <w:drawing>
              <wp:anchor distT="45720" distB="45720" distL="114300" distR="114300" simplePos="0" relativeHeight="251669504" behindDoc="0" locked="0" layoutInCell="1" allowOverlap="1" wp14:anchorId="57EC215C" wp14:editId="0BA9DDA5">
                <wp:simplePos x="0" y="0"/>
                <wp:positionH relativeFrom="column">
                  <wp:posOffset>5743575</wp:posOffset>
                </wp:positionH>
                <wp:positionV relativeFrom="paragraph">
                  <wp:posOffset>76200</wp:posOffset>
                </wp:positionV>
                <wp:extent cx="866775" cy="523875"/>
                <wp:effectExtent l="0" t="0" r="0" b="0"/>
                <wp:wrapSquare wrapText="bothSides"/>
                <wp:docPr id="1271960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523875"/>
                        </a:xfrm>
                        <a:prstGeom prst="rect">
                          <a:avLst/>
                        </a:prstGeom>
                        <a:noFill/>
                        <a:ln w="9525">
                          <a:noFill/>
                          <a:miter lim="800000"/>
                          <a:headEnd/>
                          <a:tailEnd/>
                        </a:ln>
                      </wps:spPr>
                      <wps:txbx>
                        <w:txbxContent>
                          <w:p w14:paraId="7E7FB85D" w14:textId="77777777" w:rsidR="004D7F5D" w:rsidRPr="002B1667" w:rsidRDefault="009F59FE" w:rsidP="00A51998">
                            <w:pPr>
                              <w:spacing w:after="0" w:line="240" w:lineRule="auto"/>
                              <w:jc w:val="right"/>
                              <w:rPr>
                                <w:sz w:val="22"/>
                                <w:szCs w:val="22"/>
                              </w:rPr>
                            </w:pPr>
                            <w:r w:rsidRPr="002B1667">
                              <w:rPr>
                                <w:sz w:val="22"/>
                                <w:szCs w:val="22"/>
                              </w:rPr>
                              <w:t xml:space="preserve">Hall </w:t>
                            </w:r>
                          </w:p>
                          <w:p w14:paraId="60B0BF38" w14:textId="0AB93700" w:rsidR="009F59FE" w:rsidRPr="002B1667" w:rsidRDefault="009F59FE" w:rsidP="00A51998">
                            <w:pPr>
                              <w:spacing w:after="0" w:line="240" w:lineRule="auto"/>
                              <w:jc w:val="right"/>
                              <w:rPr>
                                <w:sz w:val="22"/>
                                <w:szCs w:val="22"/>
                              </w:rPr>
                            </w:pPr>
                            <w:r w:rsidRPr="002B1667">
                              <w:rPr>
                                <w:sz w:val="22"/>
                                <w:szCs w:val="22"/>
                              </w:rPr>
                              <w:t>Farmhouse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DB20A31">
              <v:shape id="_x0000_s1036" style="position:absolute;margin-left:452.25pt;margin-top:6pt;width:68.25pt;height:41.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" w14:anchorId="57EC215C">
                <v:textbox>
                  <w:txbxContent>
                    <w:p w:rsidRPr="002B1667" w:rsidR="004D7F5D" w:rsidP="00A51998" w:rsidRDefault="009F59FE" w14:paraId="027BDD37" w14:textId="77777777">
                      <w:pPr>
                        <w:spacing w:after="0" w:line="240" w:lineRule="auto"/>
                        <w:jc w:val="right"/>
                        <w:rPr>
                          <w:sz w:val="22"/>
                          <w:szCs w:val="22"/>
                        </w:rPr>
                      </w:pPr>
                      <w:r w:rsidRPr="002B1667">
                        <w:rPr>
                          <w:sz w:val="22"/>
                          <w:szCs w:val="22"/>
                        </w:rPr>
                        <w:t xml:space="preserve">Hall </w:t>
                      </w:r>
                    </w:p>
                    <w:p w:rsidRPr="002B1667" w:rsidR="009F59FE" w:rsidP="00A51998" w:rsidRDefault="009F59FE" w14:paraId="534FEFF1" w14:textId="0AB93700">
                      <w:pPr>
                        <w:spacing w:after="0" w:line="240" w:lineRule="auto"/>
                        <w:jc w:val="right"/>
                        <w:rPr>
                          <w:sz w:val="22"/>
                          <w:szCs w:val="22"/>
                        </w:rPr>
                      </w:pPr>
                      <w:r w:rsidRPr="002B1667">
                        <w:rPr>
                          <w:sz w:val="22"/>
                          <w:szCs w:val="22"/>
                        </w:rPr>
                        <w:t>Farmhouse</w:t>
                      </w:r>
                    </w:p>
                  </w:txbxContent>
                </v:textbox>
                <w10:wrap type="square"/>
              </v:shape>
            </w:pict>
          </mc:Fallback>
        </mc:AlternateContent>
      </w:r>
      <w:r w:rsidR="00A51998" w:rsidRPr="00CC0832">
        <w:rPr>
          <w:noProof/>
        </w:rPr>
        <mc:AlternateContent>
          <mc:Choice Requires="wps">
            <w:drawing>
              <wp:anchor distT="45720" distB="45720" distL="114300" distR="114300" simplePos="0" relativeHeight="251668480" behindDoc="0" locked="0" layoutInCell="1" allowOverlap="1" wp14:anchorId="3BD73695" wp14:editId="6807CA6C">
                <wp:simplePos x="0" y="0"/>
                <wp:positionH relativeFrom="column">
                  <wp:posOffset>7070090</wp:posOffset>
                </wp:positionH>
                <wp:positionV relativeFrom="paragraph">
                  <wp:posOffset>43815</wp:posOffset>
                </wp:positionV>
                <wp:extent cx="1514475" cy="523875"/>
                <wp:effectExtent l="0" t="0" r="0" b="0"/>
                <wp:wrapSquare wrapText="bothSides"/>
                <wp:docPr id="2019834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23875"/>
                        </a:xfrm>
                        <a:prstGeom prst="rect">
                          <a:avLst/>
                        </a:prstGeom>
                        <a:noFill/>
                        <a:ln w="9525">
                          <a:noFill/>
                          <a:miter lim="800000"/>
                          <a:headEnd/>
                          <a:tailEnd/>
                        </a:ln>
                      </wps:spPr>
                      <wps:txbx>
                        <w:txbxContent>
                          <w:p w14:paraId="2FA443C3" w14:textId="77777777" w:rsidR="009F59FE" w:rsidRPr="002B1667" w:rsidRDefault="009F59FE" w:rsidP="00A51998">
                            <w:pPr>
                              <w:spacing w:after="0" w:line="240" w:lineRule="auto"/>
                              <w:rPr>
                                <w:sz w:val="22"/>
                                <w:szCs w:val="22"/>
                              </w:rPr>
                            </w:pPr>
                            <w:r w:rsidRPr="002B1667">
                              <w:rPr>
                                <w:sz w:val="22"/>
                                <w:szCs w:val="22"/>
                              </w:rPr>
                              <w:t>Old Hall</w:t>
                            </w:r>
                          </w:p>
                          <w:p w14:paraId="4BC85D51" w14:textId="77777777" w:rsidR="009F59FE" w:rsidRPr="002B1667" w:rsidRDefault="009F59FE" w:rsidP="00A51998">
                            <w:pPr>
                              <w:spacing w:after="0" w:line="240" w:lineRule="auto"/>
                              <w:rPr>
                                <w:sz w:val="22"/>
                                <w:szCs w:val="22"/>
                              </w:rPr>
                            </w:pPr>
                            <w:r w:rsidRPr="002B1667">
                              <w:rPr>
                                <w:sz w:val="22"/>
                                <w:szCs w:val="22"/>
                              </w:rPr>
                              <w:t>Farmhouse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6A92AED">
              <v:shape id="_x0000_s1037" style="position:absolute;margin-left:556.7pt;margin-top:3.45pt;width:119.25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" w14:anchorId="3BD73695">
                <v:textbox>
                  <w:txbxContent>
                    <w:p w:rsidRPr="002B1667" w:rsidR="009F59FE" w:rsidP="00A51998" w:rsidRDefault="009F59FE" w14:paraId="49AAE94B" w14:textId="77777777">
                      <w:pPr>
                        <w:spacing w:after="0" w:line="240" w:lineRule="auto"/>
                        <w:rPr>
                          <w:sz w:val="22"/>
                          <w:szCs w:val="22"/>
                        </w:rPr>
                      </w:pPr>
                      <w:r w:rsidRPr="002B1667">
                        <w:rPr>
                          <w:sz w:val="22"/>
                          <w:szCs w:val="22"/>
                        </w:rPr>
                        <w:t>Old Hall</w:t>
                      </w:r>
                    </w:p>
                    <w:p w:rsidRPr="002B1667" w:rsidR="009F59FE" w:rsidP="00A51998" w:rsidRDefault="009F59FE" w14:paraId="70963D4E" w14:textId="77777777">
                      <w:pPr>
                        <w:spacing w:after="0" w:line="240" w:lineRule="auto"/>
                        <w:rPr>
                          <w:sz w:val="22"/>
                          <w:szCs w:val="22"/>
                        </w:rPr>
                      </w:pPr>
                      <w:r w:rsidRPr="002B1667">
                        <w:rPr>
                          <w:sz w:val="22"/>
                          <w:szCs w:val="22"/>
                        </w:rPr>
                        <w:t>Farmhouse</w:t>
                      </w:r>
                    </w:p>
                  </w:txbxContent>
                </v:textbox>
                <w10:wrap type="square"/>
              </v:shape>
            </w:pict>
          </mc:Fallback>
        </mc:AlternateContent>
      </w:r>
      <w:r w:rsidR="00DB1DAF">
        <w:rPr>
          <w:noProof/>
        </w:rPr>
        <mc:AlternateContent>
          <mc:Choice Requires="wps">
            <w:drawing>
              <wp:anchor distT="0" distB="0" distL="114300" distR="114300" simplePos="0" relativeHeight="251676672" behindDoc="0" locked="0" layoutInCell="1" allowOverlap="1" wp14:anchorId="4666405D" wp14:editId="71DCD11F">
                <wp:simplePos x="0" y="0"/>
                <wp:positionH relativeFrom="column">
                  <wp:posOffset>4460240</wp:posOffset>
                </wp:positionH>
                <wp:positionV relativeFrom="paragraph">
                  <wp:posOffset>77470</wp:posOffset>
                </wp:positionV>
                <wp:extent cx="8255" cy="668655"/>
                <wp:effectExtent l="38100" t="38100" r="67945" b="17145"/>
                <wp:wrapNone/>
                <wp:docPr id="1501144294" name="Straight Arrow Connector 11"/>
                <wp:cNvGraphicFramePr/>
                <a:graphic xmlns:a="http://schemas.openxmlformats.org/drawingml/2006/main">
                  <a:graphicData uri="http://schemas.microsoft.com/office/word/2010/wordprocessingShape">
                    <wps:wsp>
                      <wps:cNvCnPr/>
                      <wps:spPr>
                        <a:xfrm flipV="1">
                          <a:off x="0" y="0"/>
                          <a:ext cx="8255" cy="668655"/>
                        </a:xfrm>
                        <a:prstGeom prst="straightConnector1">
                          <a:avLst/>
                        </a:prstGeom>
                        <a:ln w="12700">
                          <a:solidFill>
                            <a:schemeClr val="accent1">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5C8306AE">
              <v:shapetype id="_x0000_t32" coordsize="21600,21600" o:oned="t" filled="f" o:spt="32" path="m,l21600,21600e" w14:anchorId="7D1B6D68">
                <v:path fillok="f" arrowok="t" o:connecttype="none"/>
                <o:lock v:ext="edit" shapetype="t"/>
              </v:shapetype>
              <v:shape id="Straight Arrow Connector 11" style="position:absolute;margin-left:351.2pt;margin-top:6.1pt;width:.65pt;height:52.65pt;flip:y;z-index:251676672;visibility:visible;mso-wrap-style:square;mso-wrap-distance-left:9pt;mso-wrap-distance-top:0;mso-wrap-distance-right:9pt;mso-wrap-distance-bottom:0;mso-position-horizontal:absolute;mso-position-horizontal-relative:text;mso-position-vertical:absolute;mso-position-vertical-relative:text" o:spid="_x0000_s1026" strokecolor="#45b0e1 [1940]"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">
                <v:stroke joinstyle="miter" endarrow="block"/>
              </v:shape>
            </w:pict>
          </mc:Fallback>
        </mc:AlternateContent>
      </w:r>
      <w:r w:rsidR="00DB1DAF" w:rsidRPr="00CC0832">
        <w:rPr>
          <w:noProof/>
        </w:rPr>
        <mc:AlternateContent>
          <mc:Choice Requires="wps">
            <w:drawing>
              <wp:anchor distT="45720" distB="45720" distL="114300" distR="114300" simplePos="0" relativeHeight="251675648" behindDoc="0" locked="0" layoutInCell="1" allowOverlap="1" wp14:anchorId="41CB70DD" wp14:editId="2B7C67F9">
                <wp:simplePos x="0" y="0"/>
                <wp:positionH relativeFrom="column">
                  <wp:posOffset>4454525</wp:posOffset>
                </wp:positionH>
                <wp:positionV relativeFrom="paragraph">
                  <wp:posOffset>52070</wp:posOffset>
                </wp:positionV>
                <wp:extent cx="1514475" cy="523875"/>
                <wp:effectExtent l="0" t="0" r="0" b="0"/>
                <wp:wrapSquare wrapText="bothSides"/>
                <wp:docPr id="1965387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23875"/>
                        </a:xfrm>
                        <a:prstGeom prst="rect">
                          <a:avLst/>
                        </a:prstGeom>
                        <a:noFill/>
                        <a:ln w="9525">
                          <a:noFill/>
                          <a:miter lim="800000"/>
                          <a:headEnd/>
                          <a:tailEnd/>
                        </a:ln>
                      </wps:spPr>
                      <wps:txbx>
                        <w:txbxContent>
                          <w:p w14:paraId="412F6692" w14:textId="77777777" w:rsidR="009F59FE" w:rsidRPr="002B1667" w:rsidRDefault="009F59FE" w:rsidP="009F59FE">
                            <w:pPr>
                              <w:spacing w:after="0" w:line="240" w:lineRule="auto"/>
                              <w:rPr>
                                <w:color w:val="0F9ED5" w:themeColor="accent4"/>
                                <w:sz w:val="22"/>
                                <w:szCs w:val="22"/>
                              </w:rPr>
                            </w:pPr>
                            <w:r w:rsidRPr="002B1667">
                              <w:rPr>
                                <w:color w:val="0F9ED5" w:themeColor="accent4"/>
                                <w:sz w:val="22"/>
                                <w:szCs w:val="22"/>
                              </w:rPr>
                              <w:t>To Carnforth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3520E00">
              <v:shape id="_x0000_s1038" style="position:absolute;margin-left:350.75pt;margin-top:4.1pt;width:119.25pt;height:41.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" w14:anchorId="41CB70DD">
                <v:textbox>
                  <w:txbxContent>
                    <w:p w:rsidRPr="002B1667" w:rsidR="009F59FE" w:rsidP="009F59FE" w:rsidRDefault="009F59FE" w14:paraId="785CE829" w14:textId="77777777">
                      <w:pPr>
                        <w:spacing w:after="0" w:line="240" w:lineRule="auto"/>
                        <w:rPr>
                          <w:color w:val="0F9ED5" w:themeColor="accent4"/>
                          <w:sz w:val="22"/>
                          <w:szCs w:val="22"/>
                        </w:rPr>
                      </w:pPr>
                      <w:r w:rsidRPr="002B1667">
                        <w:rPr>
                          <w:color w:val="0F9ED5" w:themeColor="accent4"/>
                          <w:sz w:val="22"/>
                          <w:szCs w:val="22"/>
                        </w:rPr>
                        <w:t>To Carnforth</w:t>
                      </w:r>
                    </w:p>
                  </w:txbxContent>
                </v:textbox>
                <w10:wrap type="square"/>
              </v:shape>
            </w:pict>
          </mc:Fallback>
        </mc:AlternateContent>
      </w:r>
      <w:r w:rsidR="009F59FE" w:rsidRPr="00CC0832">
        <w:rPr>
          <w:noProof/>
        </w:rPr>
        <w:drawing>
          <wp:anchor distT="0" distB="0" distL="114300" distR="114300" simplePos="0" relativeHeight="251666432" behindDoc="0" locked="0" layoutInCell="1" allowOverlap="1" wp14:anchorId="712CD192" wp14:editId="44399F38">
            <wp:simplePos x="0" y="0"/>
            <wp:positionH relativeFrom="margin">
              <wp:align>center</wp:align>
            </wp:positionH>
            <wp:positionV relativeFrom="margin">
              <wp:align>top</wp:align>
            </wp:positionV>
            <wp:extent cx="6979920" cy="4687570"/>
            <wp:effectExtent l="0" t="0" r="0" b="0"/>
            <wp:wrapSquare wrapText="bothSides"/>
            <wp:docPr id="731056874"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44236" name="Picture 1" descr="A map of a city&#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979920" cy="4687570"/>
                    </a:xfrm>
                    <a:prstGeom prst="rect">
                      <a:avLst/>
                    </a:prstGeom>
                  </pic:spPr>
                </pic:pic>
              </a:graphicData>
            </a:graphic>
            <wp14:sizeRelH relativeFrom="page">
              <wp14:pctWidth>0</wp14:pctWidth>
            </wp14:sizeRelH>
            <wp14:sizeRelV relativeFrom="page">
              <wp14:pctHeight>0</wp14:pctHeight>
            </wp14:sizeRelV>
          </wp:anchor>
        </w:drawing>
      </w:r>
      <w:r w:rsidR="009F59FE">
        <w:rPr>
          <w:noProof/>
        </w:rPr>
        <mc:AlternateContent>
          <mc:Choice Requires="wps">
            <w:drawing>
              <wp:anchor distT="0" distB="0" distL="114300" distR="114300" simplePos="0" relativeHeight="251673600" behindDoc="0" locked="0" layoutInCell="1" allowOverlap="1" wp14:anchorId="03888A96" wp14:editId="28395DFB">
                <wp:simplePos x="0" y="0"/>
                <wp:positionH relativeFrom="column">
                  <wp:posOffset>2658110</wp:posOffset>
                </wp:positionH>
                <wp:positionV relativeFrom="paragraph">
                  <wp:posOffset>10130155</wp:posOffset>
                </wp:positionV>
                <wp:extent cx="8467" cy="592667"/>
                <wp:effectExtent l="76200" t="0" r="67945" b="55245"/>
                <wp:wrapNone/>
                <wp:docPr id="1660269968" name="Straight Arrow Connector 9"/>
                <wp:cNvGraphicFramePr/>
                <a:graphic xmlns:a="http://schemas.openxmlformats.org/drawingml/2006/main">
                  <a:graphicData uri="http://schemas.microsoft.com/office/word/2010/wordprocessingShape">
                    <wps:wsp>
                      <wps:cNvCnPr/>
                      <wps:spPr>
                        <a:xfrm flipH="1">
                          <a:off x="0" y="0"/>
                          <a:ext cx="8467" cy="592667"/>
                        </a:xfrm>
                        <a:prstGeom prst="straightConnector1">
                          <a:avLst/>
                        </a:prstGeom>
                        <a:ln w="12700">
                          <a:solidFill>
                            <a:schemeClr val="accent1">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5AB1ECE2">
              <v:shape id="Straight Arrow Connector 9" style="position:absolute;margin-left:209.3pt;margin-top:797.65pt;width:.65pt;height:46.65pt;flip:x;z-index:251673600;visibility:visible;mso-wrap-style:square;mso-wrap-distance-left:9pt;mso-wrap-distance-top:0;mso-wrap-distance-right:9pt;mso-wrap-distance-bottom:0;mso-position-horizontal:absolute;mso-position-horizontal-relative:text;mso-position-vertical:absolute;mso-position-vertical-relative:text" o:spid="_x0000_s1026" strokecolor="#45b0e1 [1940]"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" w14:anchorId="28015FFE">
                <v:stroke joinstyle="miter" endarrow="block"/>
              </v:shape>
            </w:pict>
          </mc:Fallback>
        </mc:AlternateContent>
      </w:r>
    </w:p>
    <w:p w14:paraId="06732F59" w14:textId="3060C8A0" w:rsidR="009F59FE" w:rsidRDefault="009F59FE" w:rsidP="009F59FE"/>
    <w:p w14:paraId="0BEC2714" w14:textId="0F9B2AF3" w:rsidR="009F59FE" w:rsidRPr="00522BA6" w:rsidRDefault="004D7F5D" w:rsidP="009F59FE">
      <w:r w:rsidRPr="00CC0832">
        <w:rPr>
          <w:noProof/>
        </w:rPr>
        <mc:AlternateContent>
          <mc:Choice Requires="wps">
            <w:drawing>
              <wp:anchor distT="45720" distB="45720" distL="114300" distR="114300" simplePos="0" relativeHeight="251667456" behindDoc="0" locked="0" layoutInCell="1" allowOverlap="1" wp14:anchorId="6667FD1A" wp14:editId="6C39345E">
                <wp:simplePos x="0" y="0"/>
                <wp:positionH relativeFrom="column">
                  <wp:posOffset>2679065</wp:posOffset>
                </wp:positionH>
                <wp:positionV relativeFrom="paragraph">
                  <wp:posOffset>125095</wp:posOffset>
                </wp:positionV>
                <wp:extent cx="1514475" cy="523875"/>
                <wp:effectExtent l="0" t="0" r="0" b="0"/>
                <wp:wrapSquare wrapText="bothSides"/>
                <wp:docPr id="11325688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23875"/>
                        </a:xfrm>
                        <a:prstGeom prst="rect">
                          <a:avLst/>
                        </a:prstGeom>
                        <a:noFill/>
                        <a:ln w="9525">
                          <a:noFill/>
                          <a:miter lim="800000"/>
                          <a:headEnd/>
                          <a:tailEnd/>
                        </a:ln>
                      </wps:spPr>
                      <wps:txbx>
                        <w:txbxContent>
                          <w:p w14:paraId="77A4BC87" w14:textId="77777777" w:rsidR="009F59FE" w:rsidRPr="002B1667" w:rsidRDefault="009F59FE" w:rsidP="009F59FE">
                            <w:pPr>
                              <w:rPr>
                                <w:sz w:val="22"/>
                                <w:szCs w:val="22"/>
                              </w:rPr>
                            </w:pPr>
                            <w:r w:rsidRPr="002B1667">
                              <w:rPr>
                                <w:sz w:val="22"/>
                                <w:szCs w:val="22"/>
                              </w:rPr>
                              <w:t>Thwaite End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0D01D26">
              <v:shape id="_x0000_s1039" style="position:absolute;margin-left:210.95pt;margin-top:9.85pt;width:119.25pt;height:41.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" w14:anchorId="6667FD1A">
                <v:textbox>
                  <w:txbxContent>
                    <w:p w:rsidRPr="002B1667" w:rsidR="009F59FE" w:rsidP="009F59FE" w:rsidRDefault="009F59FE" w14:paraId="51FB0AB0" w14:textId="77777777">
                      <w:pPr>
                        <w:rPr>
                          <w:sz w:val="22"/>
                          <w:szCs w:val="22"/>
                        </w:rPr>
                      </w:pPr>
                      <w:r w:rsidRPr="002B1667">
                        <w:rPr>
                          <w:sz w:val="22"/>
                          <w:szCs w:val="22"/>
                        </w:rPr>
                        <w:t>Thwaite End</w:t>
                      </w:r>
                    </w:p>
                  </w:txbxContent>
                </v:textbox>
                <w10:wrap type="square"/>
              </v:shape>
            </w:pict>
          </mc:Fallback>
        </mc:AlternateContent>
      </w:r>
    </w:p>
    <w:p w14:paraId="7DA3D126" w14:textId="68ED8DEE" w:rsidR="009F59FE" w:rsidRPr="00522BA6" w:rsidRDefault="009F59FE" w:rsidP="009F59FE"/>
    <w:p w14:paraId="109BA96D" w14:textId="0C059F6A" w:rsidR="009F59FE" w:rsidRPr="00522BA6" w:rsidRDefault="009F59FE" w:rsidP="009F59FE"/>
    <w:p w14:paraId="3EBF6F93" w14:textId="6F061AD9" w:rsidR="009F59FE" w:rsidRPr="00522BA6" w:rsidRDefault="009F59FE" w:rsidP="009F59FE"/>
    <w:p w14:paraId="51281DFD" w14:textId="0EBABEF0" w:rsidR="009F59FE" w:rsidRPr="00522BA6" w:rsidRDefault="004D7F5D" w:rsidP="009F59FE">
      <w:r w:rsidRPr="00CC0832">
        <w:rPr>
          <w:noProof/>
        </w:rPr>
        <mc:AlternateContent>
          <mc:Choice Requires="wps">
            <w:drawing>
              <wp:anchor distT="45720" distB="45720" distL="114300" distR="114300" simplePos="0" relativeHeight="251670528" behindDoc="0" locked="0" layoutInCell="1" allowOverlap="1" wp14:anchorId="3BFC7086" wp14:editId="3D645C86">
                <wp:simplePos x="0" y="0"/>
                <wp:positionH relativeFrom="column">
                  <wp:posOffset>1686560</wp:posOffset>
                </wp:positionH>
                <wp:positionV relativeFrom="paragraph">
                  <wp:posOffset>198755</wp:posOffset>
                </wp:positionV>
                <wp:extent cx="1514475" cy="523875"/>
                <wp:effectExtent l="0" t="0" r="0" b="0"/>
                <wp:wrapSquare wrapText="bothSides"/>
                <wp:docPr id="1194212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23875"/>
                        </a:xfrm>
                        <a:prstGeom prst="rect">
                          <a:avLst/>
                        </a:prstGeom>
                        <a:noFill/>
                        <a:ln w="9525">
                          <a:noFill/>
                          <a:miter lim="800000"/>
                          <a:headEnd/>
                          <a:tailEnd/>
                        </a:ln>
                      </wps:spPr>
                      <wps:txbx>
                        <w:txbxContent>
                          <w:p w14:paraId="0BDF5367" w14:textId="77777777" w:rsidR="009F59FE" w:rsidRPr="002B1667" w:rsidRDefault="009F59FE" w:rsidP="009F59FE">
                            <w:pPr>
                              <w:spacing w:after="0" w:line="240" w:lineRule="auto"/>
                              <w:rPr>
                                <w:sz w:val="22"/>
                                <w:szCs w:val="22"/>
                              </w:rPr>
                            </w:pPr>
                            <w:r w:rsidRPr="002B1667">
                              <w:rPr>
                                <w:sz w:val="22"/>
                                <w:szCs w:val="22"/>
                              </w:rPr>
                              <w:t>End Cottage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1E6F7C0">
              <v:shape id="_x0000_s1040" style="position:absolute;margin-left:132.8pt;margin-top:15.65pt;width:119.25pt;height:41.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" w14:anchorId="3BFC7086">
                <v:textbox>
                  <w:txbxContent>
                    <w:p w:rsidRPr="002B1667" w:rsidR="009F59FE" w:rsidP="009F59FE" w:rsidRDefault="009F59FE" w14:paraId="4CAB63AB" w14:textId="77777777">
                      <w:pPr>
                        <w:spacing w:after="0" w:line="240" w:lineRule="auto"/>
                        <w:rPr>
                          <w:sz w:val="22"/>
                          <w:szCs w:val="22"/>
                        </w:rPr>
                      </w:pPr>
                      <w:r w:rsidRPr="002B1667">
                        <w:rPr>
                          <w:sz w:val="22"/>
                          <w:szCs w:val="22"/>
                        </w:rPr>
                        <w:t>End Cottage</w:t>
                      </w:r>
                    </w:p>
                  </w:txbxContent>
                </v:textbox>
                <w10:wrap type="square"/>
              </v:shape>
            </w:pict>
          </mc:Fallback>
        </mc:AlternateContent>
      </w:r>
    </w:p>
    <w:p w14:paraId="0B13469C" w14:textId="69C2582A" w:rsidR="009F59FE" w:rsidRPr="00522BA6" w:rsidRDefault="009F59FE" w:rsidP="009F59FE"/>
    <w:p w14:paraId="7D887E06" w14:textId="7448E0C6" w:rsidR="009F59FE" w:rsidRPr="00522BA6" w:rsidRDefault="004D7F5D" w:rsidP="009F59FE">
      <w:r w:rsidRPr="00CC0832">
        <w:rPr>
          <w:noProof/>
        </w:rPr>
        <mc:AlternateContent>
          <mc:Choice Requires="wps">
            <w:drawing>
              <wp:anchor distT="45720" distB="45720" distL="114300" distR="114300" simplePos="0" relativeHeight="251671552" behindDoc="0" locked="0" layoutInCell="1" allowOverlap="1" wp14:anchorId="5EC4955E" wp14:editId="3BB08CC1">
                <wp:simplePos x="0" y="0"/>
                <wp:positionH relativeFrom="column">
                  <wp:posOffset>2970530</wp:posOffset>
                </wp:positionH>
                <wp:positionV relativeFrom="paragraph">
                  <wp:posOffset>274955</wp:posOffset>
                </wp:positionV>
                <wp:extent cx="1514475" cy="523875"/>
                <wp:effectExtent l="0" t="0" r="0" b="0"/>
                <wp:wrapSquare wrapText="bothSides"/>
                <wp:docPr id="118774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23875"/>
                        </a:xfrm>
                        <a:prstGeom prst="rect">
                          <a:avLst/>
                        </a:prstGeom>
                        <a:noFill/>
                        <a:ln w="9525">
                          <a:noFill/>
                          <a:miter lim="800000"/>
                          <a:headEnd/>
                          <a:tailEnd/>
                        </a:ln>
                      </wps:spPr>
                      <wps:txbx>
                        <w:txbxContent>
                          <w:p w14:paraId="05E18A8C" w14:textId="77777777" w:rsidR="009F59FE" w:rsidRPr="002B1667" w:rsidRDefault="009F59FE" w:rsidP="009F59FE">
                            <w:pPr>
                              <w:spacing w:after="0" w:line="240" w:lineRule="auto"/>
                              <w:rPr>
                                <w:sz w:val="22"/>
                                <w:szCs w:val="22"/>
                              </w:rPr>
                            </w:pPr>
                            <w:r w:rsidRPr="002B1667">
                              <w:rPr>
                                <w:sz w:val="22"/>
                                <w:szCs w:val="22"/>
                              </w:rPr>
                              <w:t>Cobblers’ Lodge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504D277">
              <v:shape id="_x0000_s1041" style="position:absolute;margin-left:233.9pt;margin-top:21.65pt;width:119.25pt;height:41.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" w14:anchorId="5EC4955E">
                <v:textbox>
                  <w:txbxContent>
                    <w:p w:rsidRPr="002B1667" w:rsidR="009F59FE" w:rsidP="009F59FE" w:rsidRDefault="009F59FE" w14:paraId="6E03F746" w14:textId="77777777">
                      <w:pPr>
                        <w:spacing w:after="0" w:line="240" w:lineRule="auto"/>
                        <w:rPr>
                          <w:sz w:val="22"/>
                          <w:szCs w:val="22"/>
                        </w:rPr>
                      </w:pPr>
                      <w:r w:rsidRPr="002B1667">
                        <w:rPr>
                          <w:sz w:val="22"/>
                          <w:szCs w:val="22"/>
                        </w:rPr>
                        <w:t>Cobblers’ Lodge</w:t>
                      </w:r>
                    </w:p>
                  </w:txbxContent>
                </v:textbox>
                <w10:wrap type="square"/>
              </v:shape>
            </w:pict>
          </mc:Fallback>
        </mc:AlternateContent>
      </w:r>
    </w:p>
    <w:p w14:paraId="7857A496" w14:textId="27FF50D4" w:rsidR="009F59FE" w:rsidRPr="00522BA6" w:rsidRDefault="009F59FE" w:rsidP="009F59FE"/>
    <w:p w14:paraId="55520ACC" w14:textId="51B15F13" w:rsidR="009F59FE" w:rsidRPr="00522BA6" w:rsidRDefault="009F59FE" w:rsidP="009F59FE"/>
    <w:p w14:paraId="47751B23" w14:textId="5F1613CB" w:rsidR="009F59FE" w:rsidRPr="00522BA6" w:rsidRDefault="009F59FE" w:rsidP="009F59FE"/>
    <w:p w14:paraId="729EDE2F" w14:textId="3B9C2986" w:rsidR="009F59FE" w:rsidRPr="00522BA6" w:rsidRDefault="00275146" w:rsidP="009F59FE">
      <w:r w:rsidRPr="00CC0832">
        <w:rPr>
          <w:noProof/>
        </w:rPr>
        <mc:AlternateContent>
          <mc:Choice Requires="wps">
            <w:drawing>
              <wp:anchor distT="45720" distB="45720" distL="114300" distR="114300" simplePos="0" relativeHeight="251672576" behindDoc="0" locked="0" layoutInCell="1" allowOverlap="1" wp14:anchorId="2CCBFDAC" wp14:editId="04ABF0C4">
                <wp:simplePos x="0" y="0"/>
                <wp:positionH relativeFrom="column">
                  <wp:posOffset>2294255</wp:posOffset>
                </wp:positionH>
                <wp:positionV relativeFrom="paragraph">
                  <wp:posOffset>318135</wp:posOffset>
                </wp:positionV>
                <wp:extent cx="1514475" cy="523875"/>
                <wp:effectExtent l="0" t="0" r="0" b="0"/>
                <wp:wrapSquare wrapText="bothSides"/>
                <wp:docPr id="2070827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23875"/>
                        </a:xfrm>
                        <a:prstGeom prst="rect">
                          <a:avLst/>
                        </a:prstGeom>
                        <a:noFill/>
                        <a:ln w="9525">
                          <a:noFill/>
                          <a:miter lim="800000"/>
                          <a:headEnd/>
                          <a:tailEnd/>
                        </a:ln>
                      </wps:spPr>
                      <wps:txbx>
                        <w:txbxContent>
                          <w:p w14:paraId="388CC7F2" w14:textId="77777777" w:rsidR="009F59FE" w:rsidRPr="002B1667" w:rsidRDefault="009F59FE" w:rsidP="009F59FE">
                            <w:pPr>
                              <w:spacing w:after="0" w:line="240" w:lineRule="auto"/>
                              <w:rPr>
                                <w:sz w:val="22"/>
                                <w:szCs w:val="22"/>
                              </w:rPr>
                            </w:pPr>
                            <w:r w:rsidRPr="002B1667">
                              <w:rPr>
                                <w:sz w:val="22"/>
                                <w:szCs w:val="22"/>
                              </w:rPr>
                              <w:t>Manor 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605A256">
              <v:shape id="_x0000_s1042" style="position:absolute;margin-left:180.65pt;margin-top:25.05pt;width:119.25pt;height:41.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" w14:anchorId="2CCBFDAC">
                <v:textbox>
                  <w:txbxContent>
                    <w:p w:rsidRPr="002B1667" w:rsidR="009F59FE" w:rsidP="009F59FE" w:rsidRDefault="009F59FE" w14:paraId="33E83917" w14:textId="77777777">
                      <w:pPr>
                        <w:spacing w:after="0" w:line="240" w:lineRule="auto"/>
                        <w:rPr>
                          <w:sz w:val="22"/>
                          <w:szCs w:val="22"/>
                        </w:rPr>
                      </w:pPr>
                      <w:r w:rsidRPr="002B1667">
                        <w:rPr>
                          <w:sz w:val="22"/>
                          <w:szCs w:val="22"/>
                        </w:rPr>
                        <w:t>Manor House</w:t>
                      </w:r>
                    </w:p>
                  </w:txbxContent>
                </v:textbox>
                <w10:wrap type="square"/>
              </v:shape>
            </w:pict>
          </mc:Fallback>
        </mc:AlternateContent>
      </w:r>
      <w:r w:rsidR="00663F1B">
        <w:rPr>
          <w:noProof/>
        </w:rPr>
        <mc:AlternateContent>
          <mc:Choice Requires="wps">
            <w:drawing>
              <wp:anchor distT="0" distB="0" distL="114300" distR="114300" simplePos="0" relativeHeight="251686912" behindDoc="0" locked="0" layoutInCell="1" allowOverlap="1" wp14:anchorId="1A6C56C4" wp14:editId="56EA8FC8">
                <wp:simplePos x="0" y="0"/>
                <wp:positionH relativeFrom="column">
                  <wp:posOffset>3829050</wp:posOffset>
                </wp:positionH>
                <wp:positionV relativeFrom="paragraph">
                  <wp:posOffset>290830</wp:posOffset>
                </wp:positionV>
                <wp:extent cx="0" cy="561975"/>
                <wp:effectExtent l="76200" t="0" r="57150" b="47625"/>
                <wp:wrapNone/>
                <wp:docPr id="1197710445" name="Straight Arrow Connector 1"/>
                <wp:cNvGraphicFramePr/>
                <a:graphic xmlns:a="http://schemas.openxmlformats.org/drawingml/2006/main">
                  <a:graphicData uri="http://schemas.microsoft.com/office/word/2010/wordprocessingShape">
                    <wps:wsp>
                      <wps:cNvCnPr/>
                      <wps:spPr>
                        <a:xfrm>
                          <a:off x="0" y="0"/>
                          <a:ext cx="0" cy="561975"/>
                        </a:xfrm>
                        <a:prstGeom prst="straightConnector1">
                          <a:avLst/>
                        </a:prstGeom>
                        <a:ln>
                          <a:solidFill>
                            <a:schemeClr val="accent1">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03A70C32">
              <v:shape id="Straight Arrow Connector 1" style="position:absolute;margin-left:301.5pt;margin-top:22.9pt;width:0;height:44.25pt;z-index:251686912;visibility:visible;mso-wrap-style:square;mso-wrap-distance-left:9pt;mso-wrap-distance-top:0;mso-wrap-distance-right:9pt;mso-wrap-distance-bottom:0;mso-position-horizontal:absolute;mso-position-horizontal-relative:text;mso-position-vertical:absolute;mso-position-vertical-relative:text" o:spid="_x0000_s1026" strokecolor="#45b0e1 [194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" w14:anchorId="1EA49820">
                <v:stroke joinstyle="miter" endarrow="block"/>
              </v:shape>
            </w:pict>
          </mc:Fallback>
        </mc:AlternateContent>
      </w:r>
    </w:p>
    <w:p w14:paraId="53BEB46C" w14:textId="41B0EDB6" w:rsidR="009F59FE" w:rsidRPr="00522BA6" w:rsidRDefault="00663F1B" w:rsidP="009F59FE">
      <w:r w:rsidRPr="00CC0832">
        <w:rPr>
          <w:noProof/>
        </w:rPr>
        <mc:AlternateContent>
          <mc:Choice Requires="wps">
            <w:drawing>
              <wp:anchor distT="45720" distB="45720" distL="114300" distR="114300" simplePos="0" relativeHeight="251674624" behindDoc="0" locked="0" layoutInCell="1" allowOverlap="1" wp14:anchorId="61914303" wp14:editId="259A8AB0">
                <wp:simplePos x="0" y="0"/>
                <wp:positionH relativeFrom="column">
                  <wp:posOffset>3888740</wp:posOffset>
                </wp:positionH>
                <wp:positionV relativeFrom="paragraph">
                  <wp:posOffset>265430</wp:posOffset>
                </wp:positionV>
                <wp:extent cx="1514475" cy="523875"/>
                <wp:effectExtent l="0" t="0" r="0" b="0"/>
                <wp:wrapSquare wrapText="bothSides"/>
                <wp:docPr id="635535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23875"/>
                        </a:xfrm>
                        <a:prstGeom prst="rect">
                          <a:avLst/>
                        </a:prstGeom>
                        <a:noFill/>
                        <a:ln w="9525">
                          <a:noFill/>
                          <a:miter lim="800000"/>
                          <a:headEnd/>
                          <a:tailEnd/>
                        </a:ln>
                      </wps:spPr>
                      <wps:txbx>
                        <w:txbxContent>
                          <w:p w14:paraId="118F4AA5" w14:textId="77777777" w:rsidR="009F59FE" w:rsidRPr="002B1667" w:rsidRDefault="009F59FE" w:rsidP="009F59FE">
                            <w:pPr>
                              <w:spacing w:after="0" w:line="240" w:lineRule="auto"/>
                              <w:rPr>
                                <w:color w:val="0F9ED5" w:themeColor="accent4"/>
                                <w:sz w:val="22"/>
                                <w:szCs w:val="22"/>
                              </w:rPr>
                            </w:pPr>
                            <w:r w:rsidRPr="002B1667">
                              <w:rPr>
                                <w:color w:val="0F9ED5" w:themeColor="accent4"/>
                                <w:sz w:val="22"/>
                                <w:szCs w:val="22"/>
                              </w:rPr>
                              <w:t>To Lancaster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9D5C7BB">
              <v:shape id="_x0000_s1043" style="position:absolute;margin-left:306.2pt;margin-top:20.9pt;width:119.25pt;height:41.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" w14:anchorId="61914303">
                <v:textbox>
                  <w:txbxContent>
                    <w:p w:rsidRPr="002B1667" w:rsidR="009F59FE" w:rsidP="009F59FE" w:rsidRDefault="009F59FE" w14:paraId="3BBCD594" w14:textId="77777777">
                      <w:pPr>
                        <w:spacing w:after="0" w:line="240" w:lineRule="auto"/>
                        <w:rPr>
                          <w:color w:val="0F9ED5" w:themeColor="accent4"/>
                          <w:sz w:val="22"/>
                          <w:szCs w:val="22"/>
                        </w:rPr>
                      </w:pPr>
                      <w:r w:rsidRPr="002B1667">
                        <w:rPr>
                          <w:color w:val="0F9ED5" w:themeColor="accent4"/>
                          <w:sz w:val="22"/>
                          <w:szCs w:val="22"/>
                        </w:rPr>
                        <w:t>To Lancaster</w:t>
                      </w:r>
                    </w:p>
                  </w:txbxContent>
                </v:textbox>
                <w10:wrap type="square"/>
              </v:shape>
            </w:pict>
          </mc:Fallback>
        </mc:AlternateContent>
      </w:r>
    </w:p>
    <w:p w14:paraId="561C7D1B" w14:textId="77777777" w:rsidR="009F59FE" w:rsidRPr="00522BA6" w:rsidRDefault="009F59FE" w:rsidP="009F59FE"/>
    <w:p w14:paraId="1DF867E7" w14:textId="77777777" w:rsidR="009F59FE" w:rsidRPr="00522BA6" w:rsidRDefault="009F59FE" w:rsidP="009F59FE"/>
    <w:p w14:paraId="2906A62E" w14:textId="77777777" w:rsidR="00557D88" w:rsidRDefault="009F59FE" w:rsidP="009F59FE">
      <w:pPr>
        <w:jc w:val="center"/>
      </w:pPr>
      <w:r>
        <w:t xml:space="preserve">Map 4 – Case study properties within Bolton-le-Sands parish and their locations. </w:t>
      </w:r>
    </w:p>
    <w:p w14:paraId="5DB6BC64" w14:textId="7FDBA99B" w:rsidR="009F59FE" w:rsidRDefault="009F59FE" w:rsidP="009F59FE">
      <w:pPr>
        <w:jc w:val="center"/>
        <w:rPr>
          <w:rFonts w:eastAsia="Helvetica"/>
        </w:rPr>
      </w:pPr>
      <w:r w:rsidRPr="00F721DF">
        <w:rPr>
          <w:rFonts w:eastAsia="Helvetica"/>
        </w:rPr>
        <w:t xml:space="preserve">(Map produced using Google </w:t>
      </w:r>
      <w:r w:rsidRPr="00F721DF">
        <w:rPr>
          <w:rFonts w:eastAsia="Helvetica"/>
          <w:i/>
          <w:iCs/>
        </w:rPr>
        <w:t>My Maps,</w:t>
      </w:r>
      <w:r w:rsidRPr="00F721DF">
        <w:rPr>
          <w:rFonts w:eastAsia="Helvetica"/>
        </w:rPr>
        <w:t xml:space="preserve"> [http://google.com/maps/d/u/0; accessed 10 November 2024])</w:t>
      </w:r>
    </w:p>
    <w:p w14:paraId="4F6DBE3A" w14:textId="14B43E2A" w:rsidR="004D7F5D" w:rsidRPr="00736C3A" w:rsidRDefault="004D7F5D" w:rsidP="004D7F5D">
      <w:pPr>
        <w:jc w:val="center"/>
      </w:pPr>
      <w:r w:rsidRPr="00736C3A">
        <w:rPr>
          <w:noProof/>
        </w:rPr>
        <w:lastRenderedPageBreak/>
        <mc:AlternateContent>
          <mc:Choice Requires="wps">
            <w:drawing>
              <wp:anchor distT="45720" distB="45720" distL="114300" distR="114300" simplePos="0" relativeHeight="251682816" behindDoc="0" locked="0" layoutInCell="1" allowOverlap="1" wp14:anchorId="53645EB2" wp14:editId="4B6DD4E0">
                <wp:simplePos x="0" y="0"/>
                <wp:positionH relativeFrom="column">
                  <wp:posOffset>2552700</wp:posOffset>
                </wp:positionH>
                <wp:positionV relativeFrom="paragraph">
                  <wp:posOffset>1866900</wp:posOffset>
                </wp:positionV>
                <wp:extent cx="1714500" cy="523875"/>
                <wp:effectExtent l="0" t="0" r="0" b="0"/>
                <wp:wrapNone/>
                <wp:docPr id="18572797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23875"/>
                        </a:xfrm>
                        <a:prstGeom prst="rect">
                          <a:avLst/>
                        </a:prstGeom>
                        <a:noFill/>
                        <a:ln w="9525">
                          <a:noFill/>
                          <a:miter lim="800000"/>
                          <a:headEnd/>
                          <a:tailEnd/>
                        </a:ln>
                      </wps:spPr>
                      <wps:txbx>
                        <w:txbxContent>
                          <w:p w14:paraId="78A47DE6" w14:textId="77777777" w:rsidR="004D7F5D" w:rsidRPr="002B1667" w:rsidRDefault="004D7F5D" w:rsidP="004D7F5D">
                            <w:pPr>
                              <w:spacing w:after="0" w:line="240" w:lineRule="auto"/>
                            </w:pPr>
                            <w:r w:rsidRPr="002B1667">
                              <w:rPr>
                                <w:sz w:val="22"/>
                                <w:szCs w:val="22"/>
                              </w:rPr>
                              <w:t xml:space="preserve">Heybridge </w:t>
                            </w:r>
                          </w:p>
                          <w:p w14:paraId="597ED358" w14:textId="77777777" w:rsidR="004D7F5D" w:rsidRPr="002B1667" w:rsidRDefault="004D7F5D" w:rsidP="004D7F5D">
                            <w:pPr>
                              <w:spacing w:after="0" w:line="240" w:lineRule="auto"/>
                              <w:rPr>
                                <w:sz w:val="22"/>
                                <w:szCs w:val="22"/>
                              </w:rPr>
                            </w:pPr>
                            <w:r w:rsidRPr="002B1667">
                              <w:rPr>
                                <w:sz w:val="22"/>
                                <w:szCs w:val="22"/>
                              </w:rPr>
                              <w:t>Farmhouse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466F96E">
              <v:shape id="_x0000_s1044" style="position:absolute;left:0;text-align:left;margin-left:201pt;margin-top:147pt;width:135pt;height:41.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" w14:anchorId="53645EB2">
                <v:textbox>
                  <w:txbxContent>
                    <w:p w:rsidRPr="002B1667" w:rsidR="004D7F5D" w:rsidP="004D7F5D" w:rsidRDefault="004D7F5D" w14:paraId="4F178DA6" w14:textId="77777777">
                      <w:pPr>
                        <w:spacing w:after="0" w:line="240" w:lineRule="auto"/>
                      </w:pPr>
                      <w:r w:rsidRPr="002B1667">
                        <w:rPr>
                          <w:sz w:val="22"/>
                          <w:szCs w:val="22"/>
                        </w:rPr>
                        <w:t xml:space="preserve">Heybridge </w:t>
                      </w:r>
                    </w:p>
                    <w:p w:rsidRPr="002B1667" w:rsidR="004D7F5D" w:rsidP="004D7F5D" w:rsidRDefault="004D7F5D" w14:paraId="3AA3AB2D" w14:textId="77777777">
                      <w:pPr>
                        <w:spacing w:after="0" w:line="240" w:lineRule="auto"/>
                        <w:rPr>
                          <w:sz w:val="22"/>
                          <w:szCs w:val="22"/>
                        </w:rPr>
                      </w:pPr>
                      <w:r w:rsidRPr="002B1667">
                        <w:rPr>
                          <w:sz w:val="22"/>
                          <w:szCs w:val="22"/>
                        </w:rPr>
                        <w:t>Farmhouse</w:t>
                      </w:r>
                    </w:p>
                  </w:txbxContent>
                </v:textbox>
              </v:shape>
            </w:pict>
          </mc:Fallback>
        </mc:AlternateContent>
      </w:r>
      <w:r w:rsidRPr="00736C3A">
        <w:rPr>
          <w:noProof/>
        </w:rPr>
        <mc:AlternateContent>
          <mc:Choice Requires="wps">
            <w:drawing>
              <wp:anchor distT="45720" distB="45720" distL="114300" distR="114300" simplePos="0" relativeHeight="251681792" behindDoc="0" locked="0" layoutInCell="1" allowOverlap="1" wp14:anchorId="0B3D666B" wp14:editId="16596B79">
                <wp:simplePos x="0" y="0"/>
                <wp:positionH relativeFrom="column">
                  <wp:posOffset>1314450</wp:posOffset>
                </wp:positionH>
                <wp:positionV relativeFrom="paragraph">
                  <wp:posOffset>1676400</wp:posOffset>
                </wp:positionV>
                <wp:extent cx="1514475" cy="523875"/>
                <wp:effectExtent l="0" t="0" r="0" b="0"/>
                <wp:wrapNone/>
                <wp:docPr id="815671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23875"/>
                        </a:xfrm>
                        <a:prstGeom prst="rect">
                          <a:avLst/>
                        </a:prstGeom>
                        <a:noFill/>
                        <a:ln w="9525">
                          <a:noFill/>
                          <a:miter lim="800000"/>
                          <a:headEnd/>
                          <a:tailEnd/>
                        </a:ln>
                      </wps:spPr>
                      <wps:txbx>
                        <w:txbxContent>
                          <w:p w14:paraId="25E434C4" w14:textId="77777777" w:rsidR="004D7F5D" w:rsidRPr="002B1667" w:rsidRDefault="004D7F5D" w:rsidP="004D7F5D">
                            <w:pPr>
                              <w:rPr>
                                <w:sz w:val="22"/>
                                <w:szCs w:val="22"/>
                              </w:rPr>
                            </w:pPr>
                            <w:r w:rsidRPr="002B1667">
                              <w:rPr>
                                <w:sz w:val="22"/>
                                <w:szCs w:val="22"/>
                              </w:rPr>
                              <w:t>Brooks Cottage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5C0A453">
              <v:shape id="_x0000_s1045" style="position:absolute;left:0;text-align:left;margin-left:103.5pt;margin-top:132pt;width:119.25pt;height:41.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" w14:anchorId="0B3D666B">
                <v:textbox>
                  <w:txbxContent>
                    <w:p w:rsidRPr="002B1667" w:rsidR="004D7F5D" w:rsidP="004D7F5D" w:rsidRDefault="004D7F5D" w14:paraId="5E89C017" w14:textId="77777777">
                      <w:pPr>
                        <w:rPr>
                          <w:sz w:val="22"/>
                          <w:szCs w:val="22"/>
                        </w:rPr>
                      </w:pPr>
                      <w:r w:rsidRPr="002B1667">
                        <w:rPr>
                          <w:sz w:val="22"/>
                          <w:szCs w:val="22"/>
                        </w:rPr>
                        <w:t>Brooks Cottage</w:t>
                      </w:r>
                    </w:p>
                  </w:txbxContent>
                </v:textbox>
              </v:shape>
            </w:pict>
          </mc:Fallback>
        </mc:AlternateContent>
      </w:r>
      <w:r w:rsidRPr="00736C3A">
        <w:rPr>
          <w:noProof/>
        </w:rPr>
        <mc:AlternateContent>
          <mc:Choice Requires="wps">
            <w:drawing>
              <wp:anchor distT="45720" distB="45720" distL="114300" distR="114300" simplePos="0" relativeHeight="251683840" behindDoc="0" locked="0" layoutInCell="1" allowOverlap="1" wp14:anchorId="4BF44987" wp14:editId="2B585021">
                <wp:simplePos x="0" y="0"/>
                <wp:positionH relativeFrom="margin">
                  <wp:posOffset>3664585</wp:posOffset>
                </wp:positionH>
                <wp:positionV relativeFrom="paragraph">
                  <wp:posOffset>4124960</wp:posOffset>
                </wp:positionV>
                <wp:extent cx="1514475" cy="523875"/>
                <wp:effectExtent l="0" t="0" r="0" b="0"/>
                <wp:wrapNone/>
                <wp:docPr id="905471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23875"/>
                        </a:xfrm>
                        <a:prstGeom prst="rect">
                          <a:avLst/>
                        </a:prstGeom>
                        <a:noFill/>
                        <a:ln w="9525">
                          <a:noFill/>
                          <a:miter lim="800000"/>
                          <a:headEnd/>
                          <a:tailEnd/>
                        </a:ln>
                      </wps:spPr>
                      <wps:txbx>
                        <w:txbxContent>
                          <w:p w14:paraId="48DC1D39" w14:textId="77777777" w:rsidR="004D7F5D" w:rsidRPr="002B1667" w:rsidRDefault="004D7F5D" w:rsidP="004D7F5D">
                            <w:pPr>
                              <w:rPr>
                                <w:sz w:val="22"/>
                                <w:szCs w:val="22"/>
                              </w:rPr>
                            </w:pPr>
                            <w:r w:rsidRPr="002B1667">
                              <w:rPr>
                                <w:sz w:val="22"/>
                                <w:szCs w:val="22"/>
                              </w:rPr>
                              <w:t>Langley Hall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892F43E">
              <v:shape id="_x0000_s1046" style="position:absolute;left:0;text-align:left;margin-left:288.55pt;margin-top:324.8pt;width:119.25pt;height:41.2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" w14:anchorId="4BF44987">
                <v:textbox>
                  <w:txbxContent>
                    <w:p w:rsidRPr="002B1667" w:rsidR="004D7F5D" w:rsidP="004D7F5D" w:rsidRDefault="004D7F5D" w14:paraId="1E026E02" w14:textId="77777777">
                      <w:pPr>
                        <w:rPr>
                          <w:sz w:val="22"/>
                          <w:szCs w:val="22"/>
                        </w:rPr>
                      </w:pPr>
                      <w:r w:rsidRPr="002B1667">
                        <w:rPr>
                          <w:sz w:val="22"/>
                          <w:szCs w:val="22"/>
                        </w:rPr>
                        <w:t>Langley Hall</w:t>
                      </w:r>
                    </w:p>
                  </w:txbxContent>
                </v:textbox>
                <w10:wrap anchorx="margin"/>
              </v:shape>
            </w:pict>
          </mc:Fallback>
        </mc:AlternateContent>
      </w:r>
      <w:r w:rsidRPr="00736C3A">
        <w:rPr>
          <w:noProof/>
        </w:rPr>
        <mc:AlternateContent>
          <mc:Choice Requires="wps">
            <w:drawing>
              <wp:anchor distT="45720" distB="45720" distL="114300" distR="114300" simplePos="0" relativeHeight="251679744" behindDoc="0" locked="0" layoutInCell="1" allowOverlap="1" wp14:anchorId="3F998D50" wp14:editId="39279D3F">
                <wp:simplePos x="0" y="0"/>
                <wp:positionH relativeFrom="column">
                  <wp:posOffset>6810375</wp:posOffset>
                </wp:positionH>
                <wp:positionV relativeFrom="paragraph">
                  <wp:posOffset>152400</wp:posOffset>
                </wp:positionV>
                <wp:extent cx="1514475" cy="5238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23875"/>
                        </a:xfrm>
                        <a:prstGeom prst="rect">
                          <a:avLst/>
                        </a:prstGeom>
                        <a:noFill/>
                        <a:ln w="9525">
                          <a:noFill/>
                          <a:miter lim="800000"/>
                          <a:headEnd/>
                          <a:tailEnd/>
                        </a:ln>
                      </wps:spPr>
                      <wps:txbx>
                        <w:txbxContent>
                          <w:p w14:paraId="53B4DFF3" w14:textId="77777777" w:rsidR="004D7F5D" w:rsidRPr="002B1667" w:rsidRDefault="004D7F5D" w:rsidP="004D7F5D">
                            <w:pPr>
                              <w:rPr>
                                <w:sz w:val="22"/>
                                <w:szCs w:val="22"/>
                              </w:rPr>
                            </w:pPr>
                            <w:r w:rsidRPr="002B1667">
                              <w:rPr>
                                <w:sz w:val="22"/>
                                <w:szCs w:val="22"/>
                              </w:rPr>
                              <w:t>Gap 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7736D06">
              <v:shape id="_x0000_s1047" style="position:absolute;left:0;text-align:left;margin-left:536.25pt;margin-top:12pt;width:119.25pt;height:41.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" w14:anchorId="3F998D50">
                <v:textbox>
                  <w:txbxContent>
                    <w:p w:rsidRPr="002B1667" w:rsidR="004D7F5D" w:rsidP="004D7F5D" w:rsidRDefault="004D7F5D" w14:paraId="0BA2C6C9" w14:textId="77777777">
                      <w:pPr>
                        <w:rPr>
                          <w:sz w:val="22"/>
                          <w:szCs w:val="22"/>
                        </w:rPr>
                      </w:pPr>
                      <w:r w:rsidRPr="002B1667">
                        <w:rPr>
                          <w:sz w:val="22"/>
                          <w:szCs w:val="22"/>
                        </w:rPr>
                        <w:t>Gap House</w:t>
                      </w:r>
                    </w:p>
                  </w:txbxContent>
                </v:textbox>
              </v:shape>
            </w:pict>
          </mc:Fallback>
        </mc:AlternateContent>
      </w:r>
      <w:r w:rsidRPr="00736C3A">
        <w:rPr>
          <w:noProof/>
        </w:rPr>
        <mc:AlternateContent>
          <mc:Choice Requires="wps">
            <w:drawing>
              <wp:anchor distT="45720" distB="45720" distL="114300" distR="114300" simplePos="0" relativeHeight="251680768" behindDoc="0" locked="0" layoutInCell="1" allowOverlap="1" wp14:anchorId="7B2BFC09" wp14:editId="469EC704">
                <wp:simplePos x="0" y="0"/>
                <wp:positionH relativeFrom="column">
                  <wp:posOffset>2600325</wp:posOffset>
                </wp:positionH>
                <wp:positionV relativeFrom="paragraph">
                  <wp:posOffset>990600</wp:posOffset>
                </wp:positionV>
                <wp:extent cx="1619250" cy="523875"/>
                <wp:effectExtent l="0" t="0" r="0" b="0"/>
                <wp:wrapNone/>
                <wp:docPr id="948753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523875"/>
                        </a:xfrm>
                        <a:prstGeom prst="rect">
                          <a:avLst/>
                        </a:prstGeom>
                        <a:noFill/>
                        <a:ln w="9525">
                          <a:noFill/>
                          <a:miter lim="800000"/>
                          <a:headEnd/>
                          <a:tailEnd/>
                        </a:ln>
                      </wps:spPr>
                      <wps:txbx>
                        <w:txbxContent>
                          <w:p w14:paraId="442703C6" w14:textId="77777777" w:rsidR="004D7F5D" w:rsidRPr="002B1667" w:rsidRDefault="004D7F5D" w:rsidP="004D7F5D">
                            <w:pPr>
                              <w:rPr>
                                <w:sz w:val="22"/>
                                <w:szCs w:val="22"/>
                              </w:rPr>
                            </w:pPr>
                            <w:r w:rsidRPr="002B1667">
                              <w:rPr>
                                <w:sz w:val="22"/>
                                <w:szCs w:val="22"/>
                              </w:rPr>
                              <w:t>Yew Tree Farmhouse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B3DF383">
              <v:shape id="_x0000_s1048" style="position:absolute;left:0;text-align:left;margin-left:204.75pt;margin-top:78pt;width:127.5pt;height:41.2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" w14:anchorId="7B2BFC09">
                <v:textbox>
                  <w:txbxContent>
                    <w:p w:rsidRPr="002B1667" w:rsidR="004D7F5D" w:rsidP="004D7F5D" w:rsidRDefault="004D7F5D" w14:paraId="301BD7D3" w14:textId="77777777">
                      <w:pPr>
                        <w:rPr>
                          <w:sz w:val="22"/>
                          <w:szCs w:val="22"/>
                        </w:rPr>
                      </w:pPr>
                      <w:r w:rsidRPr="002B1667">
                        <w:rPr>
                          <w:sz w:val="22"/>
                          <w:szCs w:val="22"/>
                        </w:rPr>
                        <w:t>Yew Tree Farmhouse</w:t>
                      </w:r>
                    </w:p>
                  </w:txbxContent>
                </v:textbox>
              </v:shape>
            </w:pict>
          </mc:Fallback>
        </mc:AlternateContent>
      </w:r>
      <w:r w:rsidRPr="00736C3A">
        <w:rPr>
          <w:noProof/>
        </w:rPr>
        <w:drawing>
          <wp:inline distT="0" distB="0" distL="0" distR="0" wp14:anchorId="65D61445" wp14:editId="61C18867">
            <wp:extent cx="6927551" cy="4867275"/>
            <wp:effectExtent l="0" t="0" r="6985" b="0"/>
            <wp:docPr id="1691677219"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677219" name="Picture 1" descr="A map of a city&#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934603" cy="4872230"/>
                    </a:xfrm>
                    <a:prstGeom prst="rect">
                      <a:avLst/>
                    </a:prstGeom>
                  </pic:spPr>
                </pic:pic>
              </a:graphicData>
            </a:graphic>
          </wp:inline>
        </w:drawing>
      </w:r>
    </w:p>
    <w:p w14:paraId="580351FF" w14:textId="77777777" w:rsidR="00557D88" w:rsidRDefault="004D7F5D" w:rsidP="00DA7F20">
      <w:pPr>
        <w:jc w:val="center"/>
      </w:pPr>
      <w:r>
        <w:t xml:space="preserve">Map 5 - </w:t>
      </w:r>
      <w:r w:rsidRPr="004D7F5D">
        <w:t xml:space="preserve">Case study properties within </w:t>
      </w:r>
      <w:r>
        <w:t>Prestbury</w:t>
      </w:r>
      <w:r w:rsidRPr="004D7F5D">
        <w:t xml:space="preserve"> parish and their locations. </w:t>
      </w:r>
    </w:p>
    <w:p w14:paraId="4027A511" w14:textId="7F220AC0" w:rsidR="00DA7F20" w:rsidRDefault="004D7F5D" w:rsidP="00DA7F20">
      <w:pPr>
        <w:jc w:val="center"/>
      </w:pPr>
      <w:r w:rsidRPr="004D7F5D">
        <w:t xml:space="preserve">(Map produced using Google </w:t>
      </w:r>
      <w:r w:rsidRPr="004D7F5D">
        <w:rPr>
          <w:i/>
          <w:iCs/>
        </w:rPr>
        <w:t>My Maps,</w:t>
      </w:r>
      <w:r w:rsidRPr="004D7F5D">
        <w:t xml:space="preserve"> [http://google.com/maps/d/u/0; accessed 10 November 2024])</w:t>
      </w:r>
    </w:p>
    <w:p w14:paraId="22F17A31" w14:textId="1C03CE09" w:rsidR="00557D88" w:rsidRDefault="00DA7F20" w:rsidP="00DA7F20">
      <w:pPr>
        <w:jc w:val="center"/>
      </w:pPr>
      <w:r w:rsidRPr="00666DD1">
        <w:rPr>
          <w:rFonts w:eastAsia="Helvetica"/>
          <w:noProof/>
        </w:rPr>
        <w:lastRenderedPageBreak/>
        <mc:AlternateContent>
          <mc:Choice Requires="wps">
            <w:drawing>
              <wp:anchor distT="45720" distB="45720" distL="114300" distR="114300" simplePos="0" relativeHeight="251689984" behindDoc="0" locked="0" layoutInCell="1" allowOverlap="1" wp14:anchorId="6A313E05" wp14:editId="7E25274B">
                <wp:simplePos x="0" y="0"/>
                <wp:positionH relativeFrom="column">
                  <wp:posOffset>2573444</wp:posOffset>
                </wp:positionH>
                <wp:positionV relativeFrom="paragraph">
                  <wp:posOffset>749935</wp:posOffset>
                </wp:positionV>
                <wp:extent cx="1312333" cy="457200"/>
                <wp:effectExtent l="0" t="0" r="0" b="0"/>
                <wp:wrapNone/>
                <wp:docPr id="21196470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2333" cy="457200"/>
                        </a:xfrm>
                        <a:prstGeom prst="rect">
                          <a:avLst/>
                        </a:prstGeom>
                        <a:noFill/>
                        <a:ln w="9525">
                          <a:noFill/>
                          <a:miter lim="800000"/>
                          <a:headEnd/>
                          <a:tailEnd/>
                        </a:ln>
                      </wps:spPr>
                      <wps:txbx>
                        <w:txbxContent>
                          <w:p w14:paraId="2CEB7871" w14:textId="77777777" w:rsidR="00DA7F20" w:rsidRPr="00FC0C66" w:rsidRDefault="00DA7F20" w:rsidP="00DA7F20">
                            <w:pPr>
                              <w:rPr>
                                <w:b/>
                                <w:bCs/>
                                <w:sz w:val="20"/>
                                <w:szCs w:val="40"/>
                              </w:rPr>
                            </w:pPr>
                            <w:r>
                              <w:rPr>
                                <w:sz w:val="20"/>
                                <w:szCs w:val="40"/>
                              </w:rPr>
                              <w:t>Ridge Hill Farmhouse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1A648DA">
              <v:shape id="_x0000_s1049" style="position:absolute;left:0;text-align:left;margin-left:202.65pt;margin-top:59.05pt;width:103.35pt;height:36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" w14:anchorId="6A313E05">
                <v:textbox>
                  <w:txbxContent>
                    <w:p w:rsidRPr="00FC0C66" w:rsidR="00DA7F20" w:rsidP="00DA7F20" w:rsidRDefault="00DA7F20" w14:paraId="67489FAF" w14:textId="77777777">
                      <w:pPr>
                        <w:rPr>
                          <w:b/>
                          <w:bCs/>
                          <w:sz w:val="20"/>
                          <w:szCs w:val="40"/>
                        </w:rPr>
                      </w:pPr>
                      <w:r>
                        <w:rPr>
                          <w:sz w:val="20"/>
                          <w:szCs w:val="40"/>
                        </w:rPr>
                        <w:t>Ridge Hill Farmhouse</w:t>
                      </w:r>
                    </w:p>
                  </w:txbxContent>
                </v:textbox>
              </v:shape>
            </w:pict>
          </mc:Fallback>
        </mc:AlternateContent>
      </w:r>
      <w:r w:rsidRPr="00666DD1">
        <w:rPr>
          <w:rFonts w:eastAsia="Helvetica"/>
          <w:noProof/>
        </w:rPr>
        <mc:AlternateContent>
          <mc:Choice Requires="wps">
            <w:drawing>
              <wp:anchor distT="45720" distB="45720" distL="114300" distR="114300" simplePos="0" relativeHeight="251691008" behindDoc="0" locked="0" layoutInCell="1" allowOverlap="1" wp14:anchorId="72617482" wp14:editId="1FBFA0A1">
                <wp:simplePos x="0" y="0"/>
                <wp:positionH relativeFrom="column">
                  <wp:posOffset>4419388</wp:posOffset>
                </wp:positionH>
                <wp:positionV relativeFrom="paragraph">
                  <wp:posOffset>2082800</wp:posOffset>
                </wp:positionV>
                <wp:extent cx="1507066" cy="457200"/>
                <wp:effectExtent l="0" t="0" r="0" b="0"/>
                <wp:wrapNone/>
                <wp:docPr id="1486318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7066" cy="457200"/>
                        </a:xfrm>
                        <a:prstGeom prst="rect">
                          <a:avLst/>
                        </a:prstGeom>
                        <a:noFill/>
                        <a:ln w="9525">
                          <a:noFill/>
                          <a:miter lim="800000"/>
                          <a:headEnd/>
                          <a:tailEnd/>
                        </a:ln>
                      </wps:spPr>
                      <wps:txbx>
                        <w:txbxContent>
                          <w:p w14:paraId="60785F51" w14:textId="77777777" w:rsidR="00DA7F20" w:rsidRPr="00FC0C66" w:rsidRDefault="00DA7F20" w:rsidP="00DA7F20">
                            <w:pPr>
                              <w:rPr>
                                <w:b/>
                                <w:bCs/>
                                <w:sz w:val="20"/>
                                <w:szCs w:val="40"/>
                              </w:rPr>
                            </w:pPr>
                            <w:r>
                              <w:rPr>
                                <w:sz w:val="20"/>
                                <w:szCs w:val="40"/>
                              </w:rPr>
                              <w:t>Ridge Hall Farmhouse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C37B555">
              <v:shape id="_x0000_s1050" style="position:absolute;left:0;text-align:left;margin-left:348pt;margin-top:164pt;width:118.65pt;height:36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" w14:anchorId="72617482">
                <v:textbox>
                  <w:txbxContent>
                    <w:p w:rsidRPr="00FC0C66" w:rsidR="00DA7F20" w:rsidP="00DA7F20" w:rsidRDefault="00DA7F20" w14:paraId="32C4F86C" w14:textId="77777777">
                      <w:pPr>
                        <w:rPr>
                          <w:b/>
                          <w:bCs/>
                          <w:sz w:val="20"/>
                          <w:szCs w:val="40"/>
                        </w:rPr>
                      </w:pPr>
                      <w:r>
                        <w:rPr>
                          <w:sz w:val="20"/>
                          <w:szCs w:val="40"/>
                        </w:rPr>
                        <w:t>Ridge Hall Farmhouse</w:t>
                      </w:r>
                    </w:p>
                  </w:txbxContent>
                </v:textbox>
              </v:shape>
            </w:pict>
          </mc:Fallback>
        </mc:AlternateContent>
      </w:r>
      <w:r w:rsidRPr="00666DD1">
        <w:rPr>
          <w:rFonts w:eastAsia="Helvetica"/>
          <w:noProof/>
        </w:rPr>
        <mc:AlternateContent>
          <mc:Choice Requires="wps">
            <w:drawing>
              <wp:anchor distT="45720" distB="45720" distL="114300" distR="114300" simplePos="0" relativeHeight="251692032" behindDoc="0" locked="0" layoutInCell="1" allowOverlap="1" wp14:anchorId="15820EA4" wp14:editId="39786E5D">
                <wp:simplePos x="0" y="0"/>
                <wp:positionH relativeFrom="column">
                  <wp:posOffset>6604000</wp:posOffset>
                </wp:positionH>
                <wp:positionV relativeFrom="paragraph">
                  <wp:posOffset>4597400</wp:posOffset>
                </wp:positionV>
                <wp:extent cx="1397000" cy="457200"/>
                <wp:effectExtent l="0" t="0" r="0" b="0"/>
                <wp:wrapNone/>
                <wp:docPr id="1114851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457200"/>
                        </a:xfrm>
                        <a:prstGeom prst="rect">
                          <a:avLst/>
                        </a:prstGeom>
                        <a:noFill/>
                        <a:ln w="9525">
                          <a:noFill/>
                          <a:miter lim="800000"/>
                          <a:headEnd/>
                          <a:tailEnd/>
                        </a:ln>
                      </wps:spPr>
                      <wps:txbx>
                        <w:txbxContent>
                          <w:p w14:paraId="26364430" w14:textId="77777777" w:rsidR="00DA7F20" w:rsidRPr="00FC0C66" w:rsidRDefault="00DA7F20" w:rsidP="00DA7F20">
                            <w:pPr>
                              <w:rPr>
                                <w:b/>
                                <w:bCs/>
                                <w:sz w:val="20"/>
                                <w:szCs w:val="40"/>
                              </w:rPr>
                            </w:pPr>
                            <w:r>
                              <w:rPr>
                                <w:sz w:val="20"/>
                                <w:szCs w:val="40"/>
                              </w:rPr>
                              <w:t>Pott Lords Farmhouse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B307DA3">
              <v:shape id="_x0000_s1051" style="position:absolute;left:0;text-align:left;margin-left:520pt;margin-top:362pt;width:110pt;height:36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" w14:anchorId="15820EA4">
                <v:textbox>
                  <w:txbxContent>
                    <w:p w:rsidRPr="00FC0C66" w:rsidR="00DA7F20" w:rsidP="00DA7F20" w:rsidRDefault="00DA7F20" w14:paraId="2C75F584" w14:textId="77777777">
                      <w:pPr>
                        <w:rPr>
                          <w:b/>
                          <w:bCs/>
                          <w:sz w:val="20"/>
                          <w:szCs w:val="40"/>
                        </w:rPr>
                      </w:pPr>
                      <w:r>
                        <w:rPr>
                          <w:sz w:val="20"/>
                          <w:szCs w:val="40"/>
                        </w:rPr>
                        <w:t>Pott Lords Farmhouse</w:t>
                      </w:r>
                    </w:p>
                  </w:txbxContent>
                </v:textbox>
              </v:shape>
            </w:pict>
          </mc:Fallback>
        </mc:AlternateContent>
      </w:r>
      <w:r w:rsidRPr="00666DD1">
        <w:rPr>
          <w:rFonts w:eastAsia="Helvetica"/>
          <w:noProof/>
        </w:rPr>
        <mc:AlternateContent>
          <mc:Choice Requires="wps">
            <w:drawing>
              <wp:anchor distT="45720" distB="45720" distL="114300" distR="114300" simplePos="0" relativeHeight="251693056" behindDoc="0" locked="0" layoutInCell="1" allowOverlap="1" wp14:anchorId="5C2EB5E2" wp14:editId="07047F9D">
                <wp:simplePos x="0" y="0"/>
                <wp:positionH relativeFrom="column">
                  <wp:posOffset>6103620</wp:posOffset>
                </wp:positionH>
                <wp:positionV relativeFrom="paragraph">
                  <wp:posOffset>3547110</wp:posOffset>
                </wp:positionV>
                <wp:extent cx="1312333" cy="457200"/>
                <wp:effectExtent l="0" t="0" r="0" b="0"/>
                <wp:wrapNone/>
                <wp:docPr id="1903805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2333" cy="457200"/>
                        </a:xfrm>
                        <a:prstGeom prst="rect">
                          <a:avLst/>
                        </a:prstGeom>
                        <a:noFill/>
                        <a:ln w="9525">
                          <a:noFill/>
                          <a:miter lim="800000"/>
                          <a:headEnd/>
                          <a:tailEnd/>
                        </a:ln>
                      </wps:spPr>
                      <wps:txbx>
                        <w:txbxContent>
                          <w:p w14:paraId="34E57A17" w14:textId="77777777" w:rsidR="00DA7F20" w:rsidRPr="00FC0C66" w:rsidRDefault="00DA7F20" w:rsidP="00DA7F20">
                            <w:pPr>
                              <w:rPr>
                                <w:b/>
                                <w:bCs/>
                                <w:sz w:val="20"/>
                                <w:szCs w:val="40"/>
                              </w:rPr>
                            </w:pPr>
                            <w:r>
                              <w:rPr>
                                <w:sz w:val="20"/>
                                <w:szCs w:val="40"/>
                              </w:rPr>
                              <w:t>Fern Lee Farmhouse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0047638">
              <v:shape id="_x0000_s1052" style="position:absolute;left:0;text-align:left;margin-left:480.6pt;margin-top:279.3pt;width:103.35pt;height:36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" w14:anchorId="5C2EB5E2">
                <v:textbox>
                  <w:txbxContent>
                    <w:p w:rsidRPr="00FC0C66" w:rsidR="00DA7F20" w:rsidP="00DA7F20" w:rsidRDefault="00DA7F20" w14:paraId="0E9A9C5C" w14:textId="77777777">
                      <w:pPr>
                        <w:rPr>
                          <w:b/>
                          <w:bCs/>
                          <w:sz w:val="20"/>
                          <w:szCs w:val="40"/>
                        </w:rPr>
                      </w:pPr>
                      <w:r>
                        <w:rPr>
                          <w:sz w:val="20"/>
                          <w:szCs w:val="40"/>
                        </w:rPr>
                        <w:t>Fern Lee Farmhouse</w:t>
                      </w:r>
                    </w:p>
                  </w:txbxContent>
                </v:textbox>
              </v:shape>
            </w:pict>
          </mc:Fallback>
        </mc:AlternateContent>
      </w:r>
      <w:r w:rsidRPr="00666DD1">
        <w:rPr>
          <w:rFonts w:eastAsia="Helvetica"/>
          <w:noProof/>
        </w:rPr>
        <mc:AlternateContent>
          <mc:Choice Requires="wps">
            <w:drawing>
              <wp:anchor distT="45720" distB="45720" distL="114300" distR="114300" simplePos="0" relativeHeight="251694080" behindDoc="0" locked="0" layoutInCell="1" allowOverlap="1" wp14:anchorId="52A05BB6" wp14:editId="6CEB3F5D">
                <wp:simplePos x="0" y="0"/>
                <wp:positionH relativeFrom="column">
                  <wp:posOffset>7170843</wp:posOffset>
                </wp:positionH>
                <wp:positionV relativeFrom="paragraph">
                  <wp:posOffset>3013710</wp:posOffset>
                </wp:positionV>
                <wp:extent cx="1481667" cy="457200"/>
                <wp:effectExtent l="0" t="0" r="0" b="0"/>
                <wp:wrapNone/>
                <wp:docPr id="521212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667" cy="457200"/>
                        </a:xfrm>
                        <a:prstGeom prst="rect">
                          <a:avLst/>
                        </a:prstGeom>
                        <a:noFill/>
                        <a:ln w="9525">
                          <a:noFill/>
                          <a:miter lim="800000"/>
                          <a:headEnd/>
                          <a:tailEnd/>
                        </a:ln>
                      </wps:spPr>
                      <wps:txbx>
                        <w:txbxContent>
                          <w:p w14:paraId="540DFB44" w14:textId="77777777" w:rsidR="00DA7F20" w:rsidRPr="00FC0C66" w:rsidRDefault="00DA7F20" w:rsidP="00DA7F20">
                            <w:pPr>
                              <w:rPr>
                                <w:b/>
                                <w:bCs/>
                                <w:sz w:val="20"/>
                                <w:szCs w:val="40"/>
                              </w:rPr>
                            </w:pPr>
                            <w:r>
                              <w:rPr>
                                <w:sz w:val="20"/>
                                <w:szCs w:val="40"/>
                              </w:rPr>
                              <w:t>Drove Hey Farmhouse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4F8100B">
              <v:shape id="_x0000_s1053" style="position:absolute;left:0;text-align:left;margin-left:564.65pt;margin-top:237.3pt;width:116.65pt;height:36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" w14:anchorId="52A05BB6">
                <v:textbox>
                  <w:txbxContent>
                    <w:p w:rsidRPr="00FC0C66" w:rsidR="00DA7F20" w:rsidP="00DA7F20" w:rsidRDefault="00DA7F20" w14:paraId="659B71C3" w14:textId="77777777">
                      <w:pPr>
                        <w:rPr>
                          <w:b/>
                          <w:bCs/>
                          <w:sz w:val="20"/>
                          <w:szCs w:val="40"/>
                        </w:rPr>
                      </w:pPr>
                      <w:r>
                        <w:rPr>
                          <w:sz w:val="20"/>
                          <w:szCs w:val="40"/>
                        </w:rPr>
                        <w:t>Drove Hey Farmhouse</w:t>
                      </w:r>
                    </w:p>
                  </w:txbxContent>
                </v:textbox>
              </v:shape>
            </w:pict>
          </mc:Fallback>
        </mc:AlternateContent>
      </w:r>
      <w:r w:rsidRPr="00B43E1C">
        <w:rPr>
          <w:b/>
          <w:bCs/>
          <w:noProof/>
        </w:rPr>
        <w:drawing>
          <wp:anchor distT="0" distB="0" distL="114300" distR="114300" simplePos="0" relativeHeight="251688960" behindDoc="0" locked="0" layoutInCell="1" allowOverlap="1" wp14:anchorId="17EAC25B" wp14:editId="242EE25F">
            <wp:simplePos x="914400" y="914400"/>
            <wp:positionH relativeFrom="margin">
              <wp:align>center</wp:align>
            </wp:positionH>
            <wp:positionV relativeFrom="margin">
              <wp:align>top</wp:align>
            </wp:positionV>
            <wp:extent cx="9646189" cy="5122333"/>
            <wp:effectExtent l="0" t="0" r="0" b="2540"/>
            <wp:wrapSquare wrapText="bothSides"/>
            <wp:docPr id="1965808809"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808809" name="Picture 1" descr="A map of a city&#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9646189" cy="5122333"/>
                    </a:xfrm>
                    <a:prstGeom prst="rect">
                      <a:avLst/>
                    </a:prstGeom>
                  </pic:spPr>
                </pic:pic>
              </a:graphicData>
            </a:graphic>
          </wp:anchor>
        </w:drawing>
      </w:r>
      <w:r w:rsidR="00DC63CA">
        <w:t>Map 6</w:t>
      </w:r>
      <w:r>
        <w:t xml:space="preserve"> – Five properties </w:t>
      </w:r>
      <w:r w:rsidR="000A6AFC">
        <w:t>situated along Meg Lane</w:t>
      </w:r>
      <w:r w:rsidR="00A46917">
        <w:t>,</w:t>
      </w:r>
      <w:r>
        <w:t xml:space="preserve"> Sutton</w:t>
      </w:r>
      <w:r w:rsidR="00A46917">
        <w:t>, within Prestbury parish</w:t>
      </w:r>
      <w:r>
        <w:t xml:space="preserve">. </w:t>
      </w:r>
    </w:p>
    <w:p w14:paraId="77253A0F" w14:textId="2C6F07A2" w:rsidR="00DA7F20" w:rsidRPr="00012151" w:rsidRDefault="00DA7F20" w:rsidP="00DA7F20">
      <w:pPr>
        <w:jc w:val="center"/>
        <w:rPr>
          <w:b/>
          <w:bCs/>
        </w:rPr>
      </w:pPr>
      <w:r>
        <w:t>(</w:t>
      </w:r>
      <w:r w:rsidR="00557D88">
        <w:t>M</w:t>
      </w:r>
      <w:r w:rsidRPr="00556722">
        <w:rPr>
          <w:lang w:val="en-US"/>
        </w:rPr>
        <w:t>ap produced using Google</w:t>
      </w:r>
      <w:r>
        <w:rPr>
          <w:lang w:val="en-US"/>
        </w:rPr>
        <w:t>,</w:t>
      </w:r>
      <w:r w:rsidR="00DC63CA">
        <w:rPr>
          <w:lang w:val="en-US"/>
        </w:rPr>
        <w:t xml:space="preserve"> </w:t>
      </w:r>
      <w:r w:rsidRPr="00556722">
        <w:rPr>
          <w:i/>
          <w:iCs/>
          <w:lang w:val="en-US"/>
        </w:rPr>
        <w:t>My Maps</w:t>
      </w:r>
      <w:r>
        <w:rPr>
          <w:iCs/>
          <w:lang w:val="en-US"/>
        </w:rPr>
        <w:t>,</w:t>
      </w:r>
      <w:r w:rsidRPr="00556722">
        <w:rPr>
          <w:lang w:val="en-US"/>
        </w:rPr>
        <w:t xml:space="preserve"> [http://google.com/maps/d/u/0; accessed </w:t>
      </w:r>
      <w:r>
        <w:rPr>
          <w:lang w:val="en-US"/>
        </w:rPr>
        <w:t>8</w:t>
      </w:r>
      <w:r w:rsidRPr="00556722">
        <w:rPr>
          <w:lang w:val="en-US"/>
        </w:rPr>
        <w:t xml:space="preserve"> </w:t>
      </w:r>
      <w:r>
        <w:rPr>
          <w:lang w:val="en-US"/>
        </w:rPr>
        <w:t>Dec</w:t>
      </w:r>
      <w:r w:rsidRPr="00556722">
        <w:rPr>
          <w:lang w:val="en-US"/>
        </w:rPr>
        <w:t>ember 2024])</w:t>
      </w:r>
    </w:p>
    <w:p w14:paraId="4912ACEF" w14:textId="77777777" w:rsidR="00DA7F20" w:rsidRDefault="00DA7F20" w:rsidP="00557D88">
      <w:pPr>
        <w:sectPr w:rsidR="00DA7F20" w:rsidSect="004D7F5D">
          <w:pgSz w:w="16838" w:h="11906" w:orient="landscape"/>
          <w:pgMar w:top="1440" w:right="1440" w:bottom="1440" w:left="1440" w:header="720" w:footer="720" w:gutter="0"/>
          <w:cols w:space="720"/>
          <w:docGrid w:linePitch="360"/>
        </w:sectPr>
      </w:pPr>
    </w:p>
    <w:p w14:paraId="4D93F95A" w14:textId="77777777" w:rsidR="00622DFF" w:rsidRDefault="00622DFF" w:rsidP="00557D88">
      <w:pPr>
        <w:spacing w:after="0" w:line="240" w:lineRule="auto"/>
        <w:rPr>
          <w:b/>
          <w:bCs/>
          <w:sz w:val="32"/>
          <w:szCs w:val="32"/>
          <w:u w:val="single"/>
        </w:rPr>
      </w:pPr>
    </w:p>
    <w:p w14:paraId="4CC9E4BD" w14:textId="7C0CF8C1" w:rsidR="00622DFF" w:rsidRDefault="00622DFF" w:rsidP="00557D88">
      <w:pPr>
        <w:spacing w:after="0" w:line="240" w:lineRule="auto"/>
        <w:rPr>
          <w:b/>
          <w:bCs/>
          <w:sz w:val="32"/>
          <w:szCs w:val="32"/>
          <w:u w:val="single"/>
        </w:rPr>
      </w:pPr>
    </w:p>
    <w:p w14:paraId="078F3608" w14:textId="77777777" w:rsidR="00622DFF" w:rsidRDefault="00622DFF" w:rsidP="00622DFF">
      <w:pPr>
        <w:spacing w:after="0" w:line="240" w:lineRule="auto"/>
        <w:jc w:val="center"/>
        <w:rPr>
          <w:b/>
          <w:bCs/>
          <w:sz w:val="32"/>
          <w:szCs w:val="32"/>
          <w:u w:val="single"/>
        </w:rPr>
      </w:pPr>
    </w:p>
    <w:p w14:paraId="3DAD3B5C" w14:textId="77777777" w:rsidR="002A1EB2" w:rsidRDefault="002A1EB2" w:rsidP="00622DFF">
      <w:pPr>
        <w:spacing w:after="0" w:line="240" w:lineRule="auto"/>
        <w:jc w:val="center"/>
        <w:rPr>
          <w:b/>
          <w:bCs/>
          <w:sz w:val="32"/>
          <w:szCs w:val="32"/>
          <w:u w:val="single"/>
        </w:rPr>
      </w:pPr>
    </w:p>
    <w:p w14:paraId="3FC777A8" w14:textId="77777777" w:rsidR="002A1EB2" w:rsidRDefault="002A1EB2" w:rsidP="00622DFF">
      <w:pPr>
        <w:spacing w:after="0" w:line="240" w:lineRule="auto"/>
        <w:jc w:val="center"/>
        <w:rPr>
          <w:b/>
          <w:bCs/>
          <w:sz w:val="32"/>
          <w:szCs w:val="32"/>
          <w:u w:val="single"/>
        </w:rPr>
      </w:pPr>
    </w:p>
    <w:p w14:paraId="3CB8B56B" w14:textId="77777777" w:rsidR="002A1EB2" w:rsidRDefault="002A1EB2" w:rsidP="00622DFF">
      <w:pPr>
        <w:spacing w:after="0" w:line="240" w:lineRule="auto"/>
        <w:jc w:val="center"/>
        <w:rPr>
          <w:b/>
          <w:bCs/>
          <w:sz w:val="32"/>
          <w:szCs w:val="32"/>
          <w:u w:val="single"/>
        </w:rPr>
      </w:pPr>
    </w:p>
    <w:p w14:paraId="6B6EF42F" w14:textId="77777777" w:rsidR="00A44D64" w:rsidRDefault="00A44D64" w:rsidP="00622DFF">
      <w:pPr>
        <w:spacing w:after="0" w:line="240" w:lineRule="auto"/>
        <w:jc w:val="center"/>
        <w:rPr>
          <w:b/>
          <w:bCs/>
          <w:sz w:val="32"/>
          <w:szCs w:val="32"/>
          <w:u w:val="single"/>
        </w:rPr>
      </w:pPr>
    </w:p>
    <w:p w14:paraId="36524172" w14:textId="77777777" w:rsidR="00A44D64" w:rsidRDefault="00A44D64" w:rsidP="00622DFF">
      <w:pPr>
        <w:spacing w:after="0" w:line="240" w:lineRule="auto"/>
        <w:jc w:val="center"/>
        <w:rPr>
          <w:b/>
          <w:bCs/>
          <w:sz w:val="32"/>
          <w:szCs w:val="32"/>
          <w:u w:val="single"/>
        </w:rPr>
      </w:pPr>
    </w:p>
    <w:p w14:paraId="16B06B02" w14:textId="74702BB3" w:rsidR="00622DFF" w:rsidRPr="00622DFF" w:rsidRDefault="00622DFF" w:rsidP="00622DFF">
      <w:pPr>
        <w:spacing w:after="0" w:line="240" w:lineRule="auto"/>
        <w:jc w:val="center"/>
        <w:rPr>
          <w:b/>
          <w:bCs/>
          <w:sz w:val="32"/>
          <w:szCs w:val="32"/>
          <w:u w:val="single"/>
        </w:rPr>
      </w:pPr>
      <w:r w:rsidRPr="00622DFF">
        <w:rPr>
          <w:b/>
          <w:bCs/>
          <w:sz w:val="32"/>
          <w:szCs w:val="32"/>
          <w:u w:val="single"/>
        </w:rPr>
        <w:t xml:space="preserve">Appendix </w:t>
      </w:r>
      <w:r>
        <w:rPr>
          <w:b/>
          <w:bCs/>
          <w:sz w:val="32"/>
          <w:szCs w:val="32"/>
          <w:u w:val="single"/>
        </w:rPr>
        <w:t>2</w:t>
      </w:r>
      <w:r w:rsidRPr="00622DFF">
        <w:rPr>
          <w:b/>
          <w:bCs/>
          <w:sz w:val="32"/>
          <w:szCs w:val="32"/>
          <w:u w:val="single"/>
        </w:rPr>
        <w:t>:</w:t>
      </w:r>
    </w:p>
    <w:p w14:paraId="0905E427" w14:textId="77777777" w:rsidR="00622DFF" w:rsidRPr="00622DFF" w:rsidRDefault="00622DFF" w:rsidP="00622DFF">
      <w:pPr>
        <w:spacing w:after="0" w:line="240" w:lineRule="auto"/>
        <w:jc w:val="center"/>
        <w:rPr>
          <w:b/>
          <w:bCs/>
          <w:sz w:val="32"/>
          <w:szCs w:val="32"/>
          <w:u w:val="single"/>
        </w:rPr>
      </w:pPr>
    </w:p>
    <w:p w14:paraId="420E5707" w14:textId="21822FEC" w:rsidR="0050065E" w:rsidRDefault="00622DFF" w:rsidP="00622DFF">
      <w:pPr>
        <w:spacing w:after="0" w:line="240" w:lineRule="auto"/>
        <w:jc w:val="center"/>
        <w:rPr>
          <w:b/>
          <w:bCs/>
          <w:sz w:val="32"/>
          <w:szCs w:val="32"/>
          <w:u w:val="single"/>
        </w:rPr>
      </w:pPr>
      <w:r>
        <w:rPr>
          <w:b/>
          <w:bCs/>
          <w:sz w:val="32"/>
          <w:szCs w:val="32"/>
          <w:u w:val="single"/>
        </w:rPr>
        <w:t>Figures</w:t>
      </w:r>
    </w:p>
    <w:p w14:paraId="1A7547A7" w14:textId="77777777" w:rsidR="0050065E" w:rsidRDefault="0050065E">
      <w:pPr>
        <w:spacing w:after="0" w:line="240" w:lineRule="auto"/>
        <w:rPr>
          <w:b/>
          <w:bCs/>
          <w:sz w:val="32"/>
          <w:szCs w:val="32"/>
          <w:u w:val="single"/>
        </w:rPr>
      </w:pPr>
      <w:r>
        <w:rPr>
          <w:b/>
          <w:bCs/>
          <w:sz w:val="32"/>
          <w:szCs w:val="32"/>
          <w:u w:val="single"/>
        </w:rPr>
        <w:br w:type="page"/>
      </w:r>
    </w:p>
    <w:p w14:paraId="204AA01F" w14:textId="77777777" w:rsidR="0050065E" w:rsidRDefault="0050065E" w:rsidP="007C1412">
      <w:pPr>
        <w:jc w:val="center"/>
        <w:rPr>
          <w:rFonts w:ascii="Helvetica" w:eastAsia="Helvetica" w:hAnsi="Helvetica"/>
          <w:sz w:val="45"/>
        </w:rPr>
      </w:pPr>
      <w:r>
        <w:rPr>
          <w:b/>
          <w:bCs/>
          <w:noProof/>
        </w:rPr>
        <w:lastRenderedPageBreak/>
        <w:drawing>
          <wp:inline distT="0" distB="0" distL="0" distR="0" wp14:anchorId="1CAF509E" wp14:editId="0CB47081">
            <wp:extent cx="4639733" cy="6236123"/>
            <wp:effectExtent l="0" t="0" r="8890" b="0"/>
            <wp:docPr id="2011962003" name="Picture 2" descr="A stone building with many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62003" name="Picture 2" descr="A stone building with many windows&#10;&#10;Description automatically generated"/>
                    <pic:cNvPicPr/>
                  </pic:nvPicPr>
                  <pic:blipFill rotWithShape="1">
                    <a:blip r:embed="rId16" cstate="print">
                      <a:extLst>
                        <a:ext uri="{28A0092B-C50C-407E-A947-70E740481C1C}">
                          <a14:useLocalDpi xmlns:a14="http://schemas.microsoft.com/office/drawing/2010/main" val="0"/>
                        </a:ext>
                      </a:extLst>
                    </a:blip>
                    <a:srcRect l="26004" t="23276" r="31169" b="-19"/>
                    <a:stretch/>
                  </pic:blipFill>
                  <pic:spPr bwMode="auto">
                    <a:xfrm>
                      <a:off x="0" y="0"/>
                      <a:ext cx="4658731" cy="6261657"/>
                    </a:xfrm>
                    <a:prstGeom prst="rect">
                      <a:avLst/>
                    </a:prstGeom>
                    <a:ln>
                      <a:noFill/>
                    </a:ln>
                    <a:extLst>
                      <a:ext uri="{53640926-AAD7-44D8-BBD7-CCE9431645EC}">
                        <a14:shadowObscured xmlns:a14="http://schemas.microsoft.com/office/drawing/2010/main"/>
                      </a:ext>
                    </a:extLst>
                  </pic:spPr>
                </pic:pic>
              </a:graphicData>
            </a:graphic>
          </wp:inline>
        </w:drawing>
      </w:r>
    </w:p>
    <w:p w14:paraId="478A7D42" w14:textId="77777777" w:rsidR="007C1412" w:rsidRDefault="0050065E" w:rsidP="007C1412">
      <w:pPr>
        <w:jc w:val="center"/>
        <w:rPr>
          <w:rFonts w:cs="Calibri"/>
        </w:rPr>
      </w:pPr>
      <w:r w:rsidRPr="005A7C5C">
        <w:rPr>
          <w:rFonts w:cs="Calibri"/>
        </w:rPr>
        <w:t xml:space="preserve">Figure </w:t>
      </w:r>
      <w:r>
        <w:rPr>
          <w:rFonts w:cs="Calibri"/>
        </w:rPr>
        <w:t>1</w:t>
      </w:r>
      <w:r w:rsidRPr="005A7C5C">
        <w:rPr>
          <w:rFonts w:cs="Calibri"/>
        </w:rPr>
        <w:t xml:space="preserve"> – </w:t>
      </w:r>
      <w:r>
        <w:rPr>
          <w:rFonts w:cs="Calibri"/>
        </w:rPr>
        <w:t>I</w:t>
      </w:r>
      <w:r w:rsidRPr="005A7C5C">
        <w:rPr>
          <w:rFonts w:cs="Calibri"/>
        </w:rPr>
        <w:t xml:space="preserve">nitials of Robert and Deborah Gibson at Hall Farmhouse, Over Kellet, within </w:t>
      </w:r>
      <w:r>
        <w:rPr>
          <w:rFonts w:cs="Calibri"/>
        </w:rPr>
        <w:t xml:space="preserve">Bolton-le-Sands </w:t>
      </w:r>
      <w:r w:rsidRPr="005A7C5C">
        <w:rPr>
          <w:rFonts w:cs="Calibri"/>
        </w:rPr>
        <w:t>parish</w:t>
      </w:r>
      <w:r>
        <w:rPr>
          <w:rFonts w:cs="Calibri"/>
        </w:rPr>
        <w:t xml:space="preserve">. </w:t>
      </w:r>
    </w:p>
    <w:p w14:paraId="69ED7F8E" w14:textId="149587E1" w:rsidR="0050065E" w:rsidRPr="005A7C5C" w:rsidRDefault="0050065E" w:rsidP="007C1412">
      <w:pPr>
        <w:jc w:val="center"/>
        <w:rPr>
          <w:rFonts w:cs="Calibri"/>
        </w:rPr>
      </w:pPr>
      <w:r>
        <w:rPr>
          <w:rFonts w:cs="Calibri"/>
        </w:rPr>
        <w:t>(Image author’s own)</w:t>
      </w:r>
    </w:p>
    <w:p w14:paraId="57435090" w14:textId="77777777" w:rsidR="0050065E" w:rsidRDefault="0050065E" w:rsidP="0050065E">
      <w:pPr>
        <w:rPr>
          <w:rFonts w:ascii="Helvetica" w:eastAsia="Helvetica" w:hAnsi="Helvetica"/>
          <w:sz w:val="45"/>
        </w:rPr>
      </w:pPr>
      <w:r>
        <w:rPr>
          <w:rFonts w:ascii="Helvetica" w:eastAsia="Helvetica" w:hAnsi="Helvetica"/>
          <w:sz w:val="45"/>
        </w:rPr>
        <w:br w:type="page"/>
      </w:r>
    </w:p>
    <w:p w14:paraId="4C768651" w14:textId="77777777" w:rsidR="0050065E" w:rsidRDefault="0050065E" w:rsidP="0050065E">
      <w:pPr>
        <w:jc w:val="center"/>
        <w:rPr>
          <w:rFonts w:ascii="Helvetica" w:eastAsia="Helvetica" w:hAnsi="Helvetica"/>
          <w:sz w:val="45"/>
        </w:rPr>
      </w:pPr>
      <w:r>
        <w:rPr>
          <w:b/>
          <w:bCs/>
          <w:noProof/>
        </w:rPr>
        <w:lastRenderedPageBreak/>
        <w:drawing>
          <wp:inline distT="0" distB="0" distL="0" distR="0" wp14:anchorId="014CB3B3" wp14:editId="76967B4B">
            <wp:extent cx="5731510" cy="6290733"/>
            <wp:effectExtent l="0" t="0" r="2540" b="0"/>
            <wp:docPr id="849247281" name="Picture 3" descr="A wooden door with a kno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47281" name="Picture 3" descr="A wooden door with a knob&#10;&#10;Description automatically generated"/>
                    <pic:cNvPicPr/>
                  </pic:nvPicPr>
                  <pic:blipFill rotWithShape="1">
                    <a:blip r:embed="rId17" cstate="print">
                      <a:extLst>
                        <a:ext uri="{28A0092B-C50C-407E-A947-70E740481C1C}">
                          <a14:useLocalDpi xmlns:a14="http://schemas.microsoft.com/office/drawing/2010/main" val="0"/>
                        </a:ext>
                      </a:extLst>
                    </a:blip>
                    <a:srcRect t="9972" b="7713"/>
                    <a:stretch/>
                  </pic:blipFill>
                  <pic:spPr bwMode="auto">
                    <a:xfrm>
                      <a:off x="0" y="0"/>
                      <a:ext cx="5731510" cy="6290733"/>
                    </a:xfrm>
                    <a:prstGeom prst="rect">
                      <a:avLst/>
                    </a:prstGeom>
                    <a:ln>
                      <a:noFill/>
                    </a:ln>
                    <a:extLst>
                      <a:ext uri="{53640926-AAD7-44D8-BBD7-CCE9431645EC}">
                        <a14:shadowObscured xmlns:a14="http://schemas.microsoft.com/office/drawing/2010/main"/>
                      </a:ext>
                    </a:extLst>
                  </pic:spPr>
                </pic:pic>
              </a:graphicData>
            </a:graphic>
          </wp:inline>
        </w:drawing>
      </w:r>
    </w:p>
    <w:p w14:paraId="61F8B490" w14:textId="6E0D702E" w:rsidR="00B17EE3" w:rsidRDefault="0050065E" w:rsidP="00B17EE3">
      <w:pPr>
        <w:jc w:val="center"/>
        <w:rPr>
          <w:rFonts w:eastAsia="Helvetica" w:cs="Calibri"/>
        </w:rPr>
      </w:pPr>
      <w:r w:rsidRPr="005A7C5C">
        <w:rPr>
          <w:rFonts w:eastAsia="Helvetica" w:cs="Calibri"/>
        </w:rPr>
        <w:t>Figure</w:t>
      </w:r>
      <w:r>
        <w:rPr>
          <w:rFonts w:eastAsia="Helvetica" w:cs="Calibri"/>
        </w:rPr>
        <w:t xml:space="preserve"> 2 – Inscribed cupboard at Hall Farmhouse, Over Kellet, within Bolton-le-Sands parish</w:t>
      </w:r>
      <w:r w:rsidR="00B17EE3">
        <w:rPr>
          <w:rFonts w:eastAsia="Helvetica" w:cs="Calibri"/>
        </w:rPr>
        <w:t>,</w:t>
      </w:r>
      <w:r>
        <w:rPr>
          <w:rFonts w:eastAsia="Helvetica" w:cs="Calibri"/>
        </w:rPr>
        <w:t xml:space="preserve"> </w:t>
      </w:r>
      <w:r w:rsidR="007C1412">
        <w:rPr>
          <w:rFonts w:eastAsia="Helvetica" w:cs="Calibri"/>
        </w:rPr>
        <w:t>i</w:t>
      </w:r>
      <w:r>
        <w:rPr>
          <w:rFonts w:eastAsia="Helvetica" w:cs="Calibri"/>
        </w:rPr>
        <w:t>nscribed with the initials of Robert and Deborah Gibson.</w:t>
      </w:r>
    </w:p>
    <w:p w14:paraId="7A0BC1BD" w14:textId="0F9BAAEB" w:rsidR="0050065E" w:rsidRDefault="0050065E" w:rsidP="00B17EE3">
      <w:pPr>
        <w:jc w:val="center"/>
        <w:rPr>
          <w:rFonts w:eastAsia="Helvetica" w:cs="Calibri"/>
        </w:rPr>
      </w:pPr>
      <w:r>
        <w:rPr>
          <w:rFonts w:eastAsia="Helvetica" w:cs="Calibri"/>
        </w:rPr>
        <w:t>(Image author’s own)</w:t>
      </w:r>
    </w:p>
    <w:p w14:paraId="30147A94" w14:textId="77777777" w:rsidR="0050065E" w:rsidRDefault="0050065E" w:rsidP="00B17EE3">
      <w:pPr>
        <w:jc w:val="center"/>
        <w:rPr>
          <w:rFonts w:eastAsia="Helvetica" w:cs="Calibri"/>
        </w:rPr>
      </w:pPr>
      <w:r>
        <w:rPr>
          <w:rFonts w:eastAsia="Helvetica" w:cs="Calibri"/>
        </w:rPr>
        <w:br w:type="page"/>
      </w:r>
    </w:p>
    <w:p w14:paraId="1005E746" w14:textId="7AB338F0" w:rsidR="004F44AE" w:rsidRPr="00691718" w:rsidRDefault="004F44AE" w:rsidP="004F44AE">
      <w:pPr>
        <w:jc w:val="center"/>
        <w:rPr>
          <w:rFonts w:eastAsia="Helvetica" w:cs="Calibri"/>
        </w:rPr>
      </w:pPr>
      <w:r w:rsidRPr="00691718">
        <w:rPr>
          <w:rFonts w:eastAsia="Helvetica" w:cs="Calibri"/>
          <w:noProof/>
        </w:rPr>
        <w:lastRenderedPageBreak/>
        <w:drawing>
          <wp:inline distT="0" distB="0" distL="0" distR="0" wp14:anchorId="4BAC3BCB" wp14:editId="0EC531B7">
            <wp:extent cx="5381625" cy="6355587"/>
            <wp:effectExtent l="0" t="0" r="0" b="7620"/>
            <wp:docPr id="1198961672" name="Picture 1198961672" descr="An open book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961672" name="Picture 1198961672" descr="An open book with a map&#10;&#10;Description automatically generated"/>
                    <pic:cNvPicPr/>
                  </pic:nvPicPr>
                  <pic:blipFill>
                    <a:blip r:embed="rId18">
                      <a:extLst>
                        <a:ext uri="{28A0092B-C50C-407E-A947-70E740481C1C}">
                          <a14:useLocalDpi xmlns:a14="http://schemas.microsoft.com/office/drawing/2010/main" val="0"/>
                        </a:ext>
                      </a:extLst>
                    </a:blip>
                    <a:srcRect t="6097" r="47756"/>
                    <a:stretch>
                      <a:fillRect/>
                    </a:stretch>
                  </pic:blipFill>
                  <pic:spPr>
                    <a:xfrm>
                      <a:off x="0" y="0"/>
                      <a:ext cx="5406964" cy="6385511"/>
                    </a:xfrm>
                    <a:prstGeom prst="rect">
                      <a:avLst/>
                    </a:prstGeom>
                  </pic:spPr>
                </pic:pic>
              </a:graphicData>
            </a:graphic>
          </wp:inline>
        </w:drawing>
      </w:r>
    </w:p>
    <w:p w14:paraId="262567E5" w14:textId="77777777" w:rsidR="00B17EE3" w:rsidRDefault="004F44AE" w:rsidP="004F44AE">
      <w:pPr>
        <w:jc w:val="center"/>
        <w:rPr>
          <w:rFonts w:eastAsia="Helvetica" w:cs="Calibri"/>
        </w:rPr>
      </w:pPr>
      <w:r w:rsidRPr="00691718">
        <w:rPr>
          <w:rFonts w:eastAsia="Helvetica" w:cs="Calibri"/>
        </w:rPr>
        <w:t xml:space="preserve">Figure </w:t>
      </w:r>
      <w:r>
        <w:rPr>
          <w:rFonts w:eastAsia="Helvetica" w:cs="Calibri"/>
        </w:rPr>
        <w:t>3</w:t>
      </w:r>
      <w:r w:rsidRPr="00691718">
        <w:rPr>
          <w:rFonts w:eastAsia="Helvetica" w:cs="Calibri"/>
        </w:rPr>
        <w:t xml:space="preserve"> – Illustrated map of all townships within Prestbury parish</w:t>
      </w:r>
      <w:r w:rsidR="00B17EE3">
        <w:rPr>
          <w:rFonts w:eastAsia="Helvetica" w:cs="Calibri"/>
        </w:rPr>
        <w:t>.</w:t>
      </w:r>
      <w:r w:rsidRPr="00691718">
        <w:rPr>
          <w:rFonts w:eastAsia="Helvetica" w:cs="Calibri"/>
        </w:rPr>
        <w:t xml:space="preserve"> </w:t>
      </w:r>
    </w:p>
    <w:p w14:paraId="4D861DA1" w14:textId="609A0416" w:rsidR="00EB4164" w:rsidRDefault="00B17EE3" w:rsidP="004F44AE">
      <w:pPr>
        <w:jc w:val="center"/>
        <w:rPr>
          <w:rFonts w:eastAsia="Helvetica" w:cs="Calibri"/>
        </w:rPr>
      </w:pPr>
      <w:r>
        <w:rPr>
          <w:rFonts w:eastAsia="Helvetica" w:cs="Calibri"/>
        </w:rPr>
        <w:t xml:space="preserve">(Image </w:t>
      </w:r>
      <w:r w:rsidR="004F44AE" w:rsidRPr="00691718">
        <w:rPr>
          <w:rFonts w:eastAsia="Helvetica" w:cs="Calibri"/>
        </w:rPr>
        <w:t xml:space="preserve">from Frank Renaud, </w:t>
      </w:r>
      <w:r w:rsidR="004F44AE" w:rsidRPr="00691718">
        <w:rPr>
          <w:rFonts w:eastAsia="Helvetica" w:cs="Calibri"/>
          <w:i/>
          <w:iCs/>
        </w:rPr>
        <w:t xml:space="preserve">Contributions towards a history of the ancient parish of Prestbury, in Cheshire, </w:t>
      </w:r>
      <w:r w:rsidR="004F44AE" w:rsidRPr="00691718">
        <w:rPr>
          <w:rFonts w:eastAsia="Helvetica" w:cs="Calibri"/>
        </w:rPr>
        <w:t xml:space="preserve">(Manchester, 1876), </w:t>
      </w:r>
      <w:proofErr w:type="spellStart"/>
      <w:r w:rsidR="004F44AE" w:rsidRPr="00691718">
        <w:rPr>
          <w:rFonts w:eastAsia="Helvetica" w:cs="Calibri"/>
        </w:rPr>
        <w:t>p.x</w:t>
      </w:r>
      <w:proofErr w:type="spellEnd"/>
      <w:r>
        <w:rPr>
          <w:rFonts w:eastAsia="Helvetica" w:cs="Calibri"/>
        </w:rPr>
        <w:t>)</w:t>
      </w:r>
    </w:p>
    <w:p w14:paraId="25736D4D" w14:textId="77777777" w:rsidR="00EB4164" w:rsidRDefault="00EB4164">
      <w:pPr>
        <w:spacing w:after="0" w:line="240" w:lineRule="auto"/>
        <w:rPr>
          <w:rFonts w:eastAsia="Helvetica" w:cs="Calibri"/>
        </w:rPr>
      </w:pPr>
      <w:r>
        <w:rPr>
          <w:rFonts w:eastAsia="Helvetica" w:cs="Calibri"/>
        </w:rPr>
        <w:br w:type="page"/>
      </w:r>
    </w:p>
    <w:p w14:paraId="038B4DFF" w14:textId="77777777" w:rsidR="009B5B60" w:rsidRDefault="009B5B60" w:rsidP="009B5B60">
      <w:pPr>
        <w:jc w:val="center"/>
      </w:pPr>
      <w:r>
        <w:rPr>
          <w:noProof/>
        </w:rPr>
        <w:lastRenderedPageBreak/>
        <w:drawing>
          <wp:inline distT="0" distB="0" distL="0" distR="0" wp14:anchorId="64D7F2AA" wp14:editId="0006EA78">
            <wp:extent cx="4991100" cy="7083424"/>
            <wp:effectExtent l="0" t="0" r="0" b="3810"/>
            <wp:docPr id="1354866187" name="Picture 11"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866187" name="Picture 11" descr="A close-up of a paper&#10;&#10;Description automatically generated"/>
                    <pic:cNvPicPr>
                      <a:picLocks noChangeAspect="1" noChangeArrowheads="1"/>
                    </pic:cNvPicPr>
                  </pic:nvPicPr>
                  <pic:blipFill rotWithShape="1">
                    <a:blip r:embed="rId19">
                      <a:extLst>
                        <a:ext uri="{28A0092B-C50C-407E-A947-70E740481C1C}">
                          <a14:useLocalDpi xmlns:a14="http://schemas.microsoft.com/office/drawing/2010/main" val="0"/>
                        </a:ext>
                      </a:extLst>
                    </a:blip>
                    <a:srcRect l="17307" r="15513"/>
                    <a:stretch/>
                  </pic:blipFill>
                  <pic:spPr bwMode="auto">
                    <a:xfrm>
                      <a:off x="0" y="0"/>
                      <a:ext cx="5000761" cy="7097135"/>
                    </a:xfrm>
                    <a:prstGeom prst="rect">
                      <a:avLst/>
                    </a:prstGeom>
                    <a:noFill/>
                    <a:ln>
                      <a:noFill/>
                    </a:ln>
                    <a:extLst>
                      <a:ext uri="{53640926-AAD7-44D8-BBD7-CCE9431645EC}">
                        <a14:shadowObscured xmlns:a14="http://schemas.microsoft.com/office/drawing/2010/main"/>
                      </a:ext>
                    </a:extLst>
                  </pic:spPr>
                </pic:pic>
              </a:graphicData>
            </a:graphic>
          </wp:inline>
        </w:drawing>
      </w:r>
    </w:p>
    <w:p w14:paraId="217B32C1" w14:textId="0E56DA3A" w:rsidR="00B17EE3" w:rsidRDefault="009B5B60" w:rsidP="00B17EE3">
      <w:pPr>
        <w:jc w:val="center"/>
      </w:pPr>
      <w:r>
        <w:t>Figure 4 - Horn book, showing lower case letters with black-letter capitals beneath.</w:t>
      </w:r>
    </w:p>
    <w:p w14:paraId="123BED61" w14:textId="115FC0FC" w:rsidR="009B5B60" w:rsidRDefault="009B5B60" w:rsidP="00B17EE3">
      <w:pPr>
        <w:jc w:val="center"/>
      </w:pPr>
      <w:r>
        <w:t xml:space="preserve">(Image from ‘Front of horn book, STC 13813.5.’, </w:t>
      </w:r>
      <w:r>
        <w:rPr>
          <w:i/>
          <w:iCs/>
        </w:rPr>
        <w:t xml:space="preserve">Folger Shakespeare Library, </w:t>
      </w:r>
      <w:r>
        <w:t>[</w:t>
      </w:r>
      <w:r w:rsidRPr="00E40109">
        <w:t>https://digitalcollections.folger.edu/node/208004</w:t>
      </w:r>
      <w:r>
        <w:t>; accessed 2 December 2024]</w:t>
      </w:r>
    </w:p>
    <w:p w14:paraId="200E6F7E" w14:textId="77777777" w:rsidR="009B5B60" w:rsidRDefault="009B5B60" w:rsidP="009B5B60">
      <w:r>
        <w:br w:type="page"/>
      </w:r>
    </w:p>
    <w:p w14:paraId="68AC25AD" w14:textId="77777777" w:rsidR="006630F4" w:rsidRDefault="006630F4" w:rsidP="006630F4">
      <w:pPr>
        <w:jc w:val="center"/>
      </w:pPr>
      <w:r>
        <w:rPr>
          <w:noProof/>
        </w:rPr>
        <w:lastRenderedPageBreak/>
        <w:drawing>
          <wp:inline distT="0" distB="0" distL="0" distR="0" wp14:anchorId="6D049FDC" wp14:editId="6575B6C7">
            <wp:extent cx="5909580" cy="5204460"/>
            <wp:effectExtent l="0" t="0" r="0" b="0"/>
            <wp:docPr id="1460182180"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rotWithShape="1">
                    <a:blip r:embed="rId20">
                      <a:extLst>
                        <a:ext uri="{28A0092B-C50C-407E-A947-70E740481C1C}">
                          <a14:useLocalDpi xmlns:a14="http://schemas.microsoft.com/office/drawing/2010/main" val="0"/>
                        </a:ext>
                      </a:extLst>
                    </a:blip>
                    <a:srcRect l="65452" t="45845" r="4273" b="18588"/>
                    <a:stretch/>
                  </pic:blipFill>
                  <pic:spPr bwMode="auto">
                    <a:xfrm>
                      <a:off x="0" y="0"/>
                      <a:ext cx="5913440" cy="5207860"/>
                    </a:xfrm>
                    <a:prstGeom prst="rect">
                      <a:avLst/>
                    </a:prstGeom>
                    <a:noFill/>
                    <a:ln>
                      <a:noFill/>
                    </a:ln>
                    <a:extLst>
                      <a:ext uri="{53640926-AAD7-44D8-BBD7-CCE9431645EC}">
                        <a14:shadowObscured xmlns:a14="http://schemas.microsoft.com/office/drawing/2010/main"/>
                      </a:ext>
                    </a:extLst>
                  </pic:spPr>
                </pic:pic>
              </a:graphicData>
            </a:graphic>
          </wp:inline>
        </w:drawing>
      </w:r>
    </w:p>
    <w:p w14:paraId="2F2E489F" w14:textId="77777777" w:rsidR="006630F4" w:rsidRPr="00DB5544" w:rsidRDefault="006630F4" w:rsidP="006630F4"/>
    <w:p w14:paraId="460A39FF" w14:textId="77777777" w:rsidR="00B17EE3" w:rsidRDefault="006630F4" w:rsidP="006630F4">
      <w:pPr>
        <w:jc w:val="center"/>
      </w:pPr>
      <w:r w:rsidRPr="00DB5544">
        <w:t xml:space="preserve">Figure </w:t>
      </w:r>
      <w:r>
        <w:t>5</w:t>
      </w:r>
      <w:r w:rsidRPr="00DB5544">
        <w:t xml:space="preserve"> - Subscription at the foot of the will of John Leaper, 1666. </w:t>
      </w:r>
    </w:p>
    <w:p w14:paraId="1DA4CF62" w14:textId="16AEAC07" w:rsidR="006630F4" w:rsidRPr="00DB5544" w:rsidRDefault="006630F4" w:rsidP="006630F4">
      <w:pPr>
        <w:jc w:val="center"/>
      </w:pPr>
      <w:r w:rsidRPr="00DB5544">
        <w:t>(Lancashire Archives, (hereafter LA): WRW/K/R454A/29, Will of John Leaper of Over Kellet, yeoman, 1666; image author’s own)</w:t>
      </w:r>
    </w:p>
    <w:p w14:paraId="56B4B15A" w14:textId="77777777" w:rsidR="006630F4" w:rsidRDefault="006630F4" w:rsidP="006630F4">
      <w:pPr>
        <w:jc w:val="center"/>
      </w:pPr>
      <w:r>
        <w:br w:type="page"/>
      </w:r>
    </w:p>
    <w:p w14:paraId="320E4B16" w14:textId="6A810744" w:rsidR="004F44AE" w:rsidRPr="00691718" w:rsidRDefault="00BF2E7E" w:rsidP="004F44AE">
      <w:pPr>
        <w:jc w:val="center"/>
        <w:rPr>
          <w:rFonts w:eastAsia="Helvetica" w:cs="Calibri"/>
        </w:rPr>
      </w:pPr>
      <w:r>
        <w:rPr>
          <w:noProof/>
        </w:rPr>
        <w:lastRenderedPageBreak/>
        <w:drawing>
          <wp:anchor distT="0" distB="0" distL="114300" distR="114300" simplePos="0" relativeHeight="251664384" behindDoc="1" locked="0" layoutInCell="1" allowOverlap="1" wp14:anchorId="0871D9D4" wp14:editId="09EA83F3">
            <wp:simplePos x="0" y="0"/>
            <wp:positionH relativeFrom="margin">
              <wp:posOffset>219075</wp:posOffset>
            </wp:positionH>
            <wp:positionV relativeFrom="margin">
              <wp:align>top</wp:align>
            </wp:positionV>
            <wp:extent cx="5441315" cy="5381625"/>
            <wp:effectExtent l="0" t="0" r="6985" b="0"/>
            <wp:wrapSquare wrapText="bothSides"/>
            <wp:docPr id="328135239" name="Picture 3"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35239" name="Picture 3" descr="A piece of paper with writing on it&#10;&#10;Description automatically generated"/>
                    <pic:cNvPicPr/>
                  </pic:nvPicPr>
                  <pic:blipFill rotWithShape="1">
                    <a:blip r:embed="rId21" cstate="print">
                      <a:extLst>
                        <a:ext uri="{28A0092B-C50C-407E-A947-70E740481C1C}">
                          <a14:useLocalDpi xmlns:a14="http://schemas.microsoft.com/office/drawing/2010/main" val="0"/>
                        </a:ext>
                      </a:extLst>
                    </a:blip>
                    <a:srcRect l="46201" t="63814" r="8597" b="2528"/>
                    <a:stretch/>
                  </pic:blipFill>
                  <pic:spPr bwMode="auto">
                    <a:xfrm>
                      <a:off x="0" y="0"/>
                      <a:ext cx="5441637" cy="53819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3E8A26" w14:textId="77777777" w:rsidR="00BF2E7E" w:rsidRDefault="00BF2E7E" w:rsidP="00BF2E7E"/>
    <w:p w14:paraId="400EE687" w14:textId="77777777" w:rsidR="00B17EE3" w:rsidRDefault="00BF2E7E" w:rsidP="00CD30B8">
      <w:pPr>
        <w:jc w:val="center"/>
      </w:pPr>
      <w:r>
        <w:t xml:space="preserve">Figure </w:t>
      </w:r>
      <w:r w:rsidR="00CD30B8">
        <w:t>6</w:t>
      </w:r>
      <w:r>
        <w:t xml:space="preserve"> - Subscription at the foot of the will of Isabell </w:t>
      </w:r>
      <w:proofErr w:type="spellStart"/>
      <w:r>
        <w:t>Dickonson</w:t>
      </w:r>
      <w:proofErr w:type="spellEnd"/>
      <w:r>
        <w:t>, 1729.</w:t>
      </w:r>
    </w:p>
    <w:p w14:paraId="5946B3F0" w14:textId="21727C15" w:rsidR="00BF2E7E" w:rsidRDefault="00BF2E7E" w:rsidP="00CD30B8">
      <w:pPr>
        <w:jc w:val="center"/>
      </w:pPr>
      <w:r>
        <w:t>(</w:t>
      </w:r>
      <w:r w:rsidRPr="004560B7">
        <w:t xml:space="preserve">LA: WRW/K/R428B/5, Will of Isabell </w:t>
      </w:r>
      <w:proofErr w:type="spellStart"/>
      <w:r w:rsidRPr="004560B7">
        <w:t>Dickonson</w:t>
      </w:r>
      <w:proofErr w:type="spellEnd"/>
      <w:r w:rsidRPr="004560B7">
        <w:t xml:space="preserve"> of Bolton-le-Sands, widow, 1729</w:t>
      </w:r>
      <w:r>
        <w:t>; image author’s own)</w:t>
      </w:r>
    </w:p>
    <w:p w14:paraId="2D2B81FB" w14:textId="77777777" w:rsidR="004F44AE" w:rsidRDefault="004F44AE" w:rsidP="004F44AE">
      <w:pPr>
        <w:jc w:val="center"/>
        <w:rPr>
          <w:rFonts w:eastAsia="Helvetica" w:cs="Calibri"/>
        </w:rPr>
      </w:pPr>
    </w:p>
    <w:p w14:paraId="3814F7DD" w14:textId="235D0D42" w:rsidR="00BA46E1" w:rsidRDefault="00105A6A" w:rsidP="00B17EE3">
      <w:pPr>
        <w:spacing w:after="0" w:line="240" w:lineRule="auto"/>
        <w:jc w:val="center"/>
      </w:pPr>
      <w:r>
        <w:rPr>
          <w:b/>
          <w:bCs/>
          <w:sz w:val="32"/>
          <w:szCs w:val="32"/>
          <w:u w:val="single"/>
        </w:rPr>
        <w:br w:type="page"/>
      </w:r>
      <w:r w:rsidR="00BA46E1">
        <w:rPr>
          <w:noProof/>
        </w:rPr>
        <w:lastRenderedPageBreak/>
        <w:drawing>
          <wp:inline distT="0" distB="0" distL="0" distR="0" wp14:anchorId="17455939" wp14:editId="5A7CABC2">
            <wp:extent cx="5731510" cy="7639050"/>
            <wp:effectExtent l="0" t="0" r="2540" b="0"/>
            <wp:docPr id="1889386932" name="Picture 1" descr="A white door with black tri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386932" name="Picture 1" descr="A white door with black trim&#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731510" cy="7639050"/>
                    </a:xfrm>
                    <a:prstGeom prst="rect">
                      <a:avLst/>
                    </a:prstGeom>
                  </pic:spPr>
                </pic:pic>
              </a:graphicData>
            </a:graphic>
          </wp:inline>
        </w:drawing>
      </w:r>
    </w:p>
    <w:p w14:paraId="47F8FEFA" w14:textId="77777777" w:rsidR="00B17EE3" w:rsidRDefault="00B17EE3" w:rsidP="00B17EE3">
      <w:pPr>
        <w:jc w:val="center"/>
      </w:pPr>
    </w:p>
    <w:p w14:paraId="211C25F1" w14:textId="77777777" w:rsidR="00B17EE3" w:rsidRDefault="00BA46E1" w:rsidP="00B17EE3">
      <w:pPr>
        <w:jc w:val="center"/>
      </w:pPr>
      <w:r>
        <w:t>Figure 7 - Inscribed lintel at Thwaite End Farmhouse, within Bolton-le-Sands parish.</w:t>
      </w:r>
    </w:p>
    <w:p w14:paraId="17759BAD" w14:textId="5658A0C2" w:rsidR="00BA46E1" w:rsidRDefault="00BA46E1" w:rsidP="00B17EE3">
      <w:pPr>
        <w:jc w:val="center"/>
      </w:pPr>
      <w:r>
        <w:t>(Image author’s own)</w:t>
      </w:r>
    </w:p>
    <w:p w14:paraId="4D0D2BBD" w14:textId="04C08844" w:rsidR="0009498B" w:rsidRDefault="0009498B">
      <w:pPr>
        <w:spacing w:after="0" w:line="240" w:lineRule="auto"/>
        <w:rPr>
          <w:b/>
          <w:bCs/>
          <w:sz w:val="32"/>
          <w:szCs w:val="32"/>
          <w:u w:val="single"/>
        </w:rPr>
      </w:pPr>
      <w:r>
        <w:rPr>
          <w:b/>
          <w:bCs/>
          <w:sz w:val="32"/>
          <w:szCs w:val="32"/>
          <w:u w:val="single"/>
        </w:rPr>
        <w:br w:type="page"/>
      </w:r>
    </w:p>
    <w:p w14:paraId="507438AF" w14:textId="77777777" w:rsidR="0009498B" w:rsidRDefault="0009498B" w:rsidP="00B17EE3">
      <w:pPr>
        <w:jc w:val="center"/>
      </w:pPr>
      <w:r>
        <w:rPr>
          <w:noProof/>
        </w:rPr>
        <w:lastRenderedPageBreak/>
        <w:drawing>
          <wp:inline distT="0" distB="0" distL="0" distR="0" wp14:anchorId="0487E0E4" wp14:editId="6BCB4CB0">
            <wp:extent cx="5731510" cy="7642225"/>
            <wp:effectExtent l="0" t="0" r="2540" b="0"/>
            <wp:docPr id="1994783200" name="Picture 2" descr="A white door on a ston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83200" name="Picture 2" descr="A white door on a stone building&#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4A615970" w14:textId="77777777" w:rsidR="00B17EE3" w:rsidRDefault="00B17EE3" w:rsidP="00B17EE3">
      <w:pPr>
        <w:jc w:val="center"/>
      </w:pPr>
    </w:p>
    <w:p w14:paraId="0CFB605E" w14:textId="77777777" w:rsidR="00B17EE3" w:rsidRDefault="0009498B" w:rsidP="00B17EE3">
      <w:pPr>
        <w:jc w:val="center"/>
      </w:pPr>
      <w:r>
        <w:t xml:space="preserve">Figure 8 - Inscribed plaque at the Manor House, Slyne-with-Hest, </w:t>
      </w:r>
      <w:r w:rsidRPr="00ED1EBA">
        <w:t xml:space="preserve">within Bolton-le-Sands parish. </w:t>
      </w:r>
    </w:p>
    <w:p w14:paraId="5D7F5896" w14:textId="7F30C4D0" w:rsidR="0009498B" w:rsidRDefault="0009498B" w:rsidP="00B17EE3">
      <w:pPr>
        <w:jc w:val="center"/>
        <w:sectPr w:rsidR="0009498B">
          <w:pgSz w:w="11906" w:h="16838"/>
          <w:pgMar w:top="1440" w:right="1440" w:bottom="1440" w:left="1440" w:header="720" w:footer="720" w:gutter="0"/>
          <w:cols w:space="720"/>
          <w:docGrid w:linePitch="360"/>
        </w:sectPr>
      </w:pPr>
      <w:r w:rsidRPr="00ED1EBA">
        <w:t>(Image author’s own)</w:t>
      </w:r>
    </w:p>
    <w:p w14:paraId="45A52D15" w14:textId="77777777" w:rsidR="00D8191E" w:rsidRDefault="00D8191E" w:rsidP="00B17EE3">
      <w:pPr>
        <w:jc w:val="center"/>
      </w:pPr>
      <w:r>
        <w:rPr>
          <w:noProof/>
        </w:rPr>
        <w:lastRenderedPageBreak/>
        <w:drawing>
          <wp:anchor distT="0" distB="0" distL="114300" distR="114300" simplePos="0" relativeHeight="251717632" behindDoc="0" locked="0" layoutInCell="1" allowOverlap="1" wp14:anchorId="05D3ECB3" wp14:editId="2EB1EF91">
            <wp:simplePos x="0" y="0"/>
            <wp:positionH relativeFrom="column">
              <wp:posOffset>-247650</wp:posOffset>
            </wp:positionH>
            <wp:positionV relativeFrom="paragraph">
              <wp:posOffset>0</wp:posOffset>
            </wp:positionV>
            <wp:extent cx="6246905" cy="4579620"/>
            <wp:effectExtent l="0" t="0" r="1905" b="0"/>
            <wp:wrapSquare wrapText="bothSides"/>
            <wp:docPr id="194318355" name="Picture 3" descr="A building with a lawn and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18355" name="Picture 3" descr="A building with a lawn and a sign&#10;&#10;Description automatically generated"/>
                    <pic:cNvPicPr/>
                  </pic:nvPicPr>
                  <pic:blipFill rotWithShape="1">
                    <a:blip r:embed="rId24">
                      <a:extLst>
                        <a:ext uri="{28A0092B-C50C-407E-A947-70E740481C1C}">
                          <a14:useLocalDpi xmlns:a14="http://schemas.microsoft.com/office/drawing/2010/main" val="0"/>
                        </a:ext>
                      </a:extLst>
                    </a:blip>
                    <a:srcRect l="6515" r="16773"/>
                    <a:stretch/>
                  </pic:blipFill>
                  <pic:spPr bwMode="auto">
                    <a:xfrm>
                      <a:off x="0" y="0"/>
                      <a:ext cx="6246905" cy="4579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5F01D3" w14:textId="77777777" w:rsidR="00B17EE3" w:rsidRDefault="00B17EE3" w:rsidP="00B17EE3">
      <w:pPr>
        <w:jc w:val="center"/>
      </w:pPr>
    </w:p>
    <w:p w14:paraId="6CBF66B4" w14:textId="13B10D7C" w:rsidR="00D8191E" w:rsidRDefault="00D8191E" w:rsidP="00B17EE3">
      <w:pPr>
        <w:jc w:val="center"/>
      </w:pPr>
      <w:r>
        <w:t xml:space="preserve">Figure 9 - Full façade at the Manor House, Slyne-with-Hest, within Bolton-le-Sands parish. (Image from ‘Dream Properties – Manor House, Slyne, Lancaster’, </w:t>
      </w:r>
      <w:r>
        <w:rPr>
          <w:i/>
          <w:iCs/>
        </w:rPr>
        <w:t xml:space="preserve">Lancashire Life, </w:t>
      </w:r>
      <w:r w:rsidRPr="0082691A">
        <w:t>https://www.greatbritishlife.co.uk/magazines/lancashire/22621021.dream-properties---manor-house-slyne-lancaster/</w:t>
      </w:r>
      <w:r>
        <w:t>; accessed 8 May 2024])</w:t>
      </w:r>
    </w:p>
    <w:p w14:paraId="392198AE" w14:textId="77777777" w:rsidR="00D8191E" w:rsidRDefault="00D8191E" w:rsidP="0009498B">
      <w:pPr>
        <w:sectPr w:rsidR="00D8191E">
          <w:pgSz w:w="11906" w:h="16838"/>
          <w:pgMar w:top="1440" w:right="1440" w:bottom="1440" w:left="1440" w:header="720" w:footer="720" w:gutter="0"/>
          <w:cols w:space="720"/>
          <w:docGrid w:linePitch="360"/>
        </w:sectPr>
      </w:pPr>
    </w:p>
    <w:p w14:paraId="27440862" w14:textId="77777777" w:rsidR="00A33800" w:rsidRDefault="00A33800" w:rsidP="005F1389">
      <w:pPr>
        <w:jc w:val="center"/>
      </w:pPr>
      <w:r w:rsidRPr="00FC2AF8">
        <w:rPr>
          <w:noProof/>
        </w:rPr>
        <w:lastRenderedPageBreak/>
        <w:drawing>
          <wp:inline distT="0" distB="0" distL="0" distR="0" wp14:anchorId="1028B4D7" wp14:editId="04AE4BB0">
            <wp:extent cx="5731510" cy="4411980"/>
            <wp:effectExtent l="0" t="0" r="2540" b="7620"/>
            <wp:docPr id="651061682" name="Picture 1" descr="A stone house with a blue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61682" name="Picture 1" descr="A stone house with a blue door&#10;&#10;Description automatically generated"/>
                    <pic:cNvPicPr/>
                  </pic:nvPicPr>
                  <pic:blipFill>
                    <a:blip r:embed="rId25"/>
                    <a:stretch>
                      <a:fillRect/>
                    </a:stretch>
                  </pic:blipFill>
                  <pic:spPr>
                    <a:xfrm>
                      <a:off x="0" y="0"/>
                      <a:ext cx="5731510" cy="4411980"/>
                    </a:xfrm>
                    <a:prstGeom prst="rect">
                      <a:avLst/>
                    </a:prstGeom>
                  </pic:spPr>
                </pic:pic>
              </a:graphicData>
            </a:graphic>
          </wp:inline>
        </w:drawing>
      </w:r>
    </w:p>
    <w:p w14:paraId="6F013972" w14:textId="77777777" w:rsidR="00B17EE3" w:rsidRDefault="00B17EE3" w:rsidP="005F1389">
      <w:pPr>
        <w:jc w:val="center"/>
      </w:pPr>
    </w:p>
    <w:p w14:paraId="7E1ED07A" w14:textId="77777777" w:rsidR="00B17EE3" w:rsidRDefault="00A33800" w:rsidP="005F1389">
      <w:pPr>
        <w:jc w:val="center"/>
      </w:pPr>
      <w:r>
        <w:t xml:space="preserve">Figure 10 – Façade at Hall Farmhouse, Over Kellet, within Bolton-le-Sands parish. </w:t>
      </w:r>
    </w:p>
    <w:p w14:paraId="07375DA1" w14:textId="1D05AF32" w:rsidR="00A33800" w:rsidRDefault="00A33800" w:rsidP="005F1389">
      <w:pPr>
        <w:jc w:val="center"/>
        <w:sectPr w:rsidR="00A33800">
          <w:pgSz w:w="11906" w:h="16838"/>
          <w:pgMar w:top="1440" w:right="1440" w:bottom="1440" w:left="1440" w:header="720" w:footer="720" w:gutter="0"/>
          <w:cols w:space="720"/>
          <w:docGrid w:linePitch="360"/>
        </w:sectPr>
      </w:pPr>
      <w:r>
        <w:t xml:space="preserve">(Image from </w:t>
      </w:r>
      <w:r w:rsidRPr="00AF07B9">
        <w:rPr>
          <w:i/>
          <w:iCs/>
        </w:rPr>
        <w:t>Google Maps</w:t>
      </w:r>
      <w:r>
        <w:t>, [</w:t>
      </w:r>
      <w:r w:rsidRPr="00F86A11">
        <w:t>https://www.google.com/maps/@54.1235886,-2.739355,3a,75y,99.2h,84.62t/data=!3m7!1e1!3m5!1sPdO-UHHcdLXeMlWpWiuRiw!2e0!6shttps:%2F%2Fstreetviewpixels-pa.googleapis.com%2Fv1%2Fthumbnail%3Fcb_client%3Dmaps_sv.tactile%26w%3D900%26h%3D600%26pitch%3D5.3831122784881416%26panoid%3DPdO-UHHcdLXeMlWpWiuRiw%26yaw%3D99.20267495045651!7i16384!8i8192?entry=ttu&amp;g_ep=EgoyMDI0MTIxMS4wIKXMDSoASAFQAw%3D%3D</w:t>
      </w:r>
      <w:r>
        <w:t>; accessed 26 April 2024])</w:t>
      </w:r>
    </w:p>
    <w:p w14:paraId="1CABCB83" w14:textId="77777777" w:rsidR="005F1389" w:rsidRDefault="005F1389" w:rsidP="005F1389">
      <w:pPr>
        <w:jc w:val="center"/>
      </w:pPr>
      <w:r>
        <w:rPr>
          <w:noProof/>
        </w:rPr>
        <w:lastRenderedPageBreak/>
        <w:drawing>
          <wp:inline distT="0" distB="0" distL="0" distR="0" wp14:anchorId="6C9FC2CC" wp14:editId="4800ED97">
            <wp:extent cx="5356860" cy="4596122"/>
            <wp:effectExtent l="0" t="0" r="0" b="0"/>
            <wp:docPr id="1691967027" name="Picture 5" descr="A stone building with a green door and a black p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67027" name="Picture 5" descr="A stone building with a green door and a black pipe&#10;&#10;Description automatically generated"/>
                    <pic:cNvPicPr/>
                  </pic:nvPicPr>
                  <pic:blipFill rotWithShape="1">
                    <a:blip r:embed="rId26">
                      <a:extLst>
                        <a:ext uri="{28A0092B-C50C-407E-A947-70E740481C1C}">
                          <a14:useLocalDpi xmlns:a14="http://schemas.microsoft.com/office/drawing/2010/main" val="0"/>
                        </a:ext>
                      </a:extLst>
                    </a:blip>
                    <a:srcRect l="35762" t="48872" r="19301" b="-223"/>
                    <a:stretch/>
                  </pic:blipFill>
                  <pic:spPr bwMode="auto">
                    <a:xfrm>
                      <a:off x="0" y="0"/>
                      <a:ext cx="5365712" cy="4603717"/>
                    </a:xfrm>
                    <a:prstGeom prst="rect">
                      <a:avLst/>
                    </a:prstGeom>
                    <a:ln>
                      <a:noFill/>
                    </a:ln>
                    <a:extLst>
                      <a:ext uri="{53640926-AAD7-44D8-BBD7-CCE9431645EC}">
                        <a14:shadowObscured xmlns:a14="http://schemas.microsoft.com/office/drawing/2010/main"/>
                      </a:ext>
                    </a:extLst>
                  </pic:spPr>
                </pic:pic>
              </a:graphicData>
            </a:graphic>
          </wp:inline>
        </w:drawing>
      </w:r>
    </w:p>
    <w:p w14:paraId="7EB5DAC7" w14:textId="77777777" w:rsidR="007C1412" w:rsidRDefault="005F1389" w:rsidP="005F1389">
      <w:pPr>
        <w:jc w:val="center"/>
      </w:pPr>
      <w:r>
        <w:t xml:space="preserve">Figure 11 - Inscribed lintel at End Cottage, Bolton Holmes, within Bolton-le-Sands parish. </w:t>
      </w:r>
    </w:p>
    <w:p w14:paraId="05AB1040" w14:textId="26F4217F" w:rsidR="005F1389" w:rsidRDefault="005F1389" w:rsidP="005F1389">
      <w:pPr>
        <w:jc w:val="center"/>
      </w:pPr>
      <w:r>
        <w:t>(Image author’s own)</w:t>
      </w:r>
    </w:p>
    <w:p w14:paraId="0E9B0872" w14:textId="77777777" w:rsidR="005F1389" w:rsidRDefault="005F1389" w:rsidP="005F1389">
      <w:r>
        <w:br w:type="page"/>
      </w:r>
    </w:p>
    <w:p w14:paraId="2435E864" w14:textId="77777777" w:rsidR="005F1389" w:rsidRDefault="005F1389" w:rsidP="00A33800">
      <w:pPr>
        <w:sectPr w:rsidR="005F1389">
          <w:pgSz w:w="11906" w:h="16838"/>
          <w:pgMar w:top="1440" w:right="1440" w:bottom="1440" w:left="1440" w:header="720" w:footer="720" w:gutter="0"/>
          <w:cols w:space="720"/>
          <w:docGrid w:linePitch="360"/>
        </w:sectPr>
      </w:pPr>
    </w:p>
    <w:p w14:paraId="096B9660" w14:textId="77777777" w:rsidR="002D757D" w:rsidRDefault="002D757D" w:rsidP="007C1412">
      <w:pPr>
        <w:jc w:val="center"/>
      </w:pPr>
      <w:r>
        <w:rPr>
          <w:b/>
          <w:bCs/>
          <w:noProof/>
        </w:rPr>
        <w:lastRenderedPageBreak/>
        <w:drawing>
          <wp:inline distT="0" distB="0" distL="0" distR="0" wp14:anchorId="2DE3CFA3" wp14:editId="17A15C4F">
            <wp:extent cx="5731510" cy="3211190"/>
            <wp:effectExtent l="0" t="0" r="2540" b="8890"/>
            <wp:docPr id="990320449" name="Picture 14" descr="A stone wall with a black chimne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320449" name="Picture 14" descr="A stone wall with a black chimney&#10;&#10;Description automatically generated with medium confidence"/>
                    <pic:cNvPicPr/>
                  </pic:nvPicPr>
                  <pic:blipFill rotWithShape="1">
                    <a:blip r:embed="rId27">
                      <a:extLst>
                        <a:ext uri="{28A0092B-C50C-407E-A947-70E740481C1C}">
                          <a14:useLocalDpi xmlns:a14="http://schemas.microsoft.com/office/drawing/2010/main" val="0"/>
                        </a:ext>
                      </a:extLst>
                    </a:blip>
                    <a:srcRect t="25380"/>
                    <a:stretch/>
                  </pic:blipFill>
                  <pic:spPr bwMode="auto">
                    <a:xfrm>
                      <a:off x="0" y="0"/>
                      <a:ext cx="5731510" cy="3211190"/>
                    </a:xfrm>
                    <a:prstGeom prst="rect">
                      <a:avLst/>
                    </a:prstGeom>
                    <a:ln>
                      <a:noFill/>
                    </a:ln>
                    <a:extLst>
                      <a:ext uri="{53640926-AAD7-44D8-BBD7-CCE9431645EC}">
                        <a14:shadowObscured xmlns:a14="http://schemas.microsoft.com/office/drawing/2010/main"/>
                      </a:ext>
                    </a:extLst>
                  </pic:spPr>
                </pic:pic>
              </a:graphicData>
            </a:graphic>
          </wp:inline>
        </w:drawing>
      </w:r>
    </w:p>
    <w:p w14:paraId="375E0770" w14:textId="77777777" w:rsidR="007C1412" w:rsidRDefault="002D757D" w:rsidP="007C1412">
      <w:pPr>
        <w:jc w:val="center"/>
      </w:pPr>
      <w:r w:rsidRPr="0041402F">
        <w:t xml:space="preserve">Figure </w:t>
      </w:r>
      <w:r>
        <w:t>12</w:t>
      </w:r>
      <w:r w:rsidRPr="0041402F">
        <w:t xml:space="preserve"> </w:t>
      </w:r>
      <w:r>
        <w:t>–</w:t>
      </w:r>
      <w:r w:rsidRPr="0041402F">
        <w:t xml:space="preserve"> </w:t>
      </w:r>
      <w:r>
        <w:t>I</w:t>
      </w:r>
      <w:r w:rsidRPr="0041402F">
        <w:t>nscri</w:t>
      </w:r>
      <w:r>
        <w:t>bed fireplace with initials</w:t>
      </w:r>
      <w:r w:rsidRPr="0041402F">
        <w:t xml:space="preserve"> W</w:t>
      </w:r>
      <w:r w:rsidRPr="0041402F">
        <w:rPr>
          <w:vertAlign w:val="superscript"/>
        </w:rPr>
        <w:t>W</w:t>
      </w:r>
      <w:r w:rsidRPr="0041402F">
        <w:t xml:space="preserve">E </w:t>
      </w:r>
      <w:r>
        <w:t xml:space="preserve">and year </w:t>
      </w:r>
      <w:r w:rsidRPr="0041402F">
        <w:t>1686 at Cobblers</w:t>
      </w:r>
      <w:r>
        <w:t>’</w:t>
      </w:r>
      <w:r w:rsidRPr="0041402F">
        <w:t xml:space="preserve"> Lodge, Bolton</w:t>
      </w:r>
      <w:r>
        <w:t>-</w:t>
      </w:r>
      <w:r w:rsidRPr="0041402F">
        <w:t>le</w:t>
      </w:r>
      <w:r>
        <w:t>-</w:t>
      </w:r>
      <w:r w:rsidRPr="0041402F">
        <w:t>Sands</w:t>
      </w:r>
      <w:r>
        <w:t xml:space="preserve"> township. </w:t>
      </w:r>
    </w:p>
    <w:p w14:paraId="7F749865" w14:textId="2196F5BD" w:rsidR="002D757D" w:rsidRPr="0041402F" w:rsidRDefault="002D757D" w:rsidP="007C1412">
      <w:pPr>
        <w:jc w:val="center"/>
      </w:pPr>
      <w:r>
        <w:t>(Image author’s own)</w:t>
      </w:r>
    </w:p>
    <w:p w14:paraId="37074B62" w14:textId="77777777" w:rsidR="002D757D" w:rsidRPr="0041402F" w:rsidRDefault="002D757D" w:rsidP="007C1412">
      <w:pPr>
        <w:jc w:val="center"/>
      </w:pPr>
      <w:r w:rsidRPr="0041402F">
        <w:br w:type="page"/>
      </w:r>
    </w:p>
    <w:p w14:paraId="26240F85" w14:textId="4B261B28" w:rsidR="002D757D" w:rsidRDefault="002D757D">
      <w:pPr>
        <w:spacing w:after="0" w:line="240" w:lineRule="auto"/>
      </w:pPr>
    </w:p>
    <w:p w14:paraId="17E00F90" w14:textId="77777777" w:rsidR="00752E33" w:rsidRPr="0041402F" w:rsidRDefault="00752E33" w:rsidP="007C1412">
      <w:pPr>
        <w:jc w:val="center"/>
      </w:pPr>
      <w:r w:rsidRPr="0041402F">
        <w:rPr>
          <w:noProof/>
        </w:rPr>
        <mc:AlternateContent>
          <mc:Choice Requires="wps">
            <w:drawing>
              <wp:anchor distT="0" distB="0" distL="114300" distR="114300" simplePos="0" relativeHeight="251696128" behindDoc="0" locked="0" layoutInCell="1" allowOverlap="1" wp14:anchorId="69ABB798" wp14:editId="7BAF2EB6">
                <wp:simplePos x="0" y="0"/>
                <wp:positionH relativeFrom="margin">
                  <wp:posOffset>476250</wp:posOffset>
                </wp:positionH>
                <wp:positionV relativeFrom="paragraph">
                  <wp:posOffset>308610</wp:posOffset>
                </wp:positionV>
                <wp:extent cx="5360670" cy="636270"/>
                <wp:effectExtent l="19050" t="19050" r="11430" b="11430"/>
                <wp:wrapNone/>
                <wp:docPr id="1646992912" name="Rectangle 6"/>
                <wp:cNvGraphicFramePr/>
                <a:graphic xmlns:a="http://schemas.openxmlformats.org/drawingml/2006/main">
                  <a:graphicData uri="http://schemas.microsoft.com/office/word/2010/wordprocessingShape">
                    <wps:wsp>
                      <wps:cNvSpPr/>
                      <wps:spPr>
                        <a:xfrm>
                          <a:off x="0" y="0"/>
                          <a:ext cx="5360670" cy="636270"/>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113AE1E">
              <v:rect id="Rectangle 6" style="position:absolute;margin-left:37.5pt;margin-top:24.3pt;width:422.1pt;height:50.1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red" strokeweight="2.25pt" w14:anchorId="35194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">
                <w10:wrap anchorx="margin"/>
              </v:rect>
            </w:pict>
          </mc:Fallback>
        </mc:AlternateContent>
      </w:r>
      <w:r w:rsidRPr="0041402F">
        <w:rPr>
          <w:noProof/>
        </w:rPr>
        <w:drawing>
          <wp:inline distT="0" distB="0" distL="0" distR="0" wp14:anchorId="0A9FFCEC" wp14:editId="36B6A681">
            <wp:extent cx="5897880" cy="3535757"/>
            <wp:effectExtent l="0" t="0" r="7620" b="7620"/>
            <wp:docPr id="1185163556" name="Picture 2" descr="A close-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63556" name="Picture 2" descr="A close-up of a book&#10;&#10;Description automatically generated"/>
                    <pic:cNvPicPr/>
                  </pic:nvPicPr>
                  <pic:blipFill rotWithShape="1">
                    <a:blip r:embed="rId28">
                      <a:extLst>
                        <a:ext uri="{28A0092B-C50C-407E-A947-70E740481C1C}">
                          <a14:useLocalDpi xmlns:a14="http://schemas.microsoft.com/office/drawing/2010/main" val="0"/>
                        </a:ext>
                      </a:extLst>
                    </a:blip>
                    <a:srcRect l="3591" r="43627" b="66624"/>
                    <a:stretch/>
                  </pic:blipFill>
                  <pic:spPr bwMode="auto">
                    <a:xfrm>
                      <a:off x="0" y="0"/>
                      <a:ext cx="5915862" cy="3546537"/>
                    </a:xfrm>
                    <a:prstGeom prst="rect">
                      <a:avLst/>
                    </a:prstGeom>
                    <a:ln>
                      <a:noFill/>
                    </a:ln>
                    <a:extLst>
                      <a:ext uri="{53640926-AAD7-44D8-BBD7-CCE9431645EC}">
                        <a14:shadowObscured xmlns:a14="http://schemas.microsoft.com/office/drawing/2010/main"/>
                      </a:ext>
                    </a:extLst>
                  </pic:spPr>
                </pic:pic>
              </a:graphicData>
            </a:graphic>
          </wp:inline>
        </w:drawing>
      </w:r>
    </w:p>
    <w:p w14:paraId="73A0F818" w14:textId="77777777" w:rsidR="007C1412" w:rsidRDefault="00752E33" w:rsidP="007C1412">
      <w:pPr>
        <w:jc w:val="center"/>
      </w:pPr>
      <w:r w:rsidRPr="0041402F">
        <w:t xml:space="preserve">Figure </w:t>
      </w:r>
      <w:r>
        <w:t>13</w:t>
      </w:r>
      <w:r w:rsidRPr="0041402F">
        <w:t xml:space="preserve"> - </w:t>
      </w:r>
      <w:r>
        <w:t>M</w:t>
      </w:r>
      <w:r w:rsidRPr="0041402F">
        <w:t xml:space="preserve">arriage </w:t>
      </w:r>
      <w:r>
        <w:t xml:space="preserve">entry for </w:t>
      </w:r>
      <w:r w:rsidRPr="0041402F">
        <w:t>William and Elizabeth Wilkinson</w:t>
      </w:r>
      <w:r>
        <w:t>, 25</w:t>
      </w:r>
      <w:r w:rsidRPr="00C670FC">
        <w:rPr>
          <w:vertAlign w:val="superscript"/>
        </w:rPr>
        <w:t>th</w:t>
      </w:r>
      <w:r>
        <w:t xml:space="preserve"> April 1687. Text reads ‘</w:t>
      </w:r>
      <w:proofErr w:type="spellStart"/>
      <w:r>
        <w:t>Mariges</w:t>
      </w:r>
      <w:proofErr w:type="spellEnd"/>
      <w:r>
        <w:t xml:space="preserve"> Since March 25</w:t>
      </w:r>
      <w:proofErr w:type="gramStart"/>
      <w:r>
        <w:t xml:space="preserve"> 1687</w:t>
      </w:r>
      <w:proofErr w:type="gramEnd"/>
      <w:r>
        <w:t xml:space="preserve"> William Wilkinson &amp; Eliz: Holme </w:t>
      </w:r>
      <w:proofErr w:type="spellStart"/>
      <w:r>
        <w:t>Maried</w:t>
      </w:r>
      <w:proofErr w:type="spellEnd"/>
      <w:r>
        <w:t xml:space="preserve"> April 25’.</w:t>
      </w:r>
    </w:p>
    <w:p w14:paraId="576F7805" w14:textId="29C1E26C" w:rsidR="00752E33" w:rsidRDefault="00752E33" w:rsidP="007C1412">
      <w:pPr>
        <w:jc w:val="center"/>
        <w:sectPr w:rsidR="00752E33">
          <w:pgSz w:w="11906" w:h="16838"/>
          <w:pgMar w:top="1440" w:right="1440" w:bottom="1440" w:left="1440" w:header="720" w:footer="720" w:gutter="0"/>
          <w:cols w:space="720"/>
          <w:docGrid w:linePitch="360"/>
        </w:sectPr>
      </w:pPr>
      <w:r>
        <w:t xml:space="preserve">(Image from </w:t>
      </w:r>
      <w:proofErr w:type="spellStart"/>
      <w:r>
        <w:rPr>
          <w:i/>
          <w:iCs/>
        </w:rPr>
        <w:t>Findmypast</w:t>
      </w:r>
      <w:proofErr w:type="spellEnd"/>
      <w:r>
        <w:rPr>
          <w:i/>
          <w:iCs/>
        </w:rPr>
        <w:t xml:space="preserve">, </w:t>
      </w:r>
      <w:r>
        <w:t>[</w:t>
      </w:r>
      <w:r w:rsidRPr="001C354A">
        <w:t>https://search.findmypast.co.uk/record?id=S2%2FGBPRS%2FLANCS%2F4360292%2F01019&amp;parentid=GBPRS%2FLANCS%</w:t>
      </w:r>
      <w:r w:rsidR="007C1412">
        <w:t xml:space="preserve">; accessed </w:t>
      </w:r>
      <w:r w:rsidR="002C188E">
        <w:t>20 June 2020])</w:t>
      </w:r>
    </w:p>
    <w:p w14:paraId="6B40D167" w14:textId="77777777" w:rsidR="009F2C2A" w:rsidRPr="0041402F" w:rsidRDefault="009F2C2A" w:rsidP="002C188E">
      <w:pPr>
        <w:jc w:val="center"/>
      </w:pPr>
      <w:r w:rsidRPr="0041402F">
        <w:rPr>
          <w:noProof/>
        </w:rPr>
        <w:lastRenderedPageBreak/>
        <mc:AlternateContent>
          <mc:Choice Requires="wps">
            <w:drawing>
              <wp:anchor distT="0" distB="0" distL="114300" distR="114300" simplePos="0" relativeHeight="251698176" behindDoc="0" locked="0" layoutInCell="1" allowOverlap="1" wp14:anchorId="2B102977" wp14:editId="26137F2B">
                <wp:simplePos x="0" y="0"/>
                <wp:positionH relativeFrom="column">
                  <wp:posOffset>575310</wp:posOffset>
                </wp:positionH>
                <wp:positionV relativeFrom="paragraph">
                  <wp:posOffset>3451860</wp:posOffset>
                </wp:positionV>
                <wp:extent cx="4099560" cy="236220"/>
                <wp:effectExtent l="19050" t="19050" r="15240" b="11430"/>
                <wp:wrapNone/>
                <wp:docPr id="516180612" name="Rectangle 6"/>
                <wp:cNvGraphicFramePr/>
                <a:graphic xmlns:a="http://schemas.openxmlformats.org/drawingml/2006/main">
                  <a:graphicData uri="http://schemas.microsoft.com/office/word/2010/wordprocessingShape">
                    <wps:wsp>
                      <wps:cNvSpPr/>
                      <wps:spPr>
                        <a:xfrm>
                          <a:off x="0" y="0"/>
                          <a:ext cx="4099560" cy="236220"/>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F3ACB72">
              <v:rect id="Rectangle 6" style="position:absolute;margin-left:45.3pt;margin-top:271.8pt;width:322.8pt;height:18.6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red" strokeweight="2.25pt" w14:anchorId="408C1B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"/>
            </w:pict>
          </mc:Fallback>
        </mc:AlternateContent>
      </w:r>
      <w:r w:rsidRPr="0041402F">
        <w:rPr>
          <w:noProof/>
        </w:rPr>
        <w:drawing>
          <wp:inline distT="0" distB="0" distL="0" distR="0" wp14:anchorId="55024C4B" wp14:editId="1F1DF234">
            <wp:extent cx="5731510" cy="5577840"/>
            <wp:effectExtent l="0" t="0" r="2540" b="3810"/>
            <wp:docPr id="1743096342" name="Picture 1" descr="A book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96342" name="Picture 1" descr="A book with text on it&#10;&#10;Description automatically generated"/>
                    <pic:cNvPicPr/>
                  </pic:nvPicPr>
                  <pic:blipFill rotWithShape="1">
                    <a:blip r:embed="rId29" cstate="print">
                      <a:extLst>
                        <a:ext uri="{28A0092B-C50C-407E-A947-70E740481C1C}">
                          <a14:useLocalDpi xmlns:a14="http://schemas.microsoft.com/office/drawing/2010/main" val="0"/>
                        </a:ext>
                      </a:extLst>
                    </a:blip>
                    <a:srcRect t="6582" b="20431"/>
                    <a:stretch/>
                  </pic:blipFill>
                  <pic:spPr bwMode="auto">
                    <a:xfrm>
                      <a:off x="0" y="0"/>
                      <a:ext cx="5731510" cy="5577840"/>
                    </a:xfrm>
                    <a:prstGeom prst="rect">
                      <a:avLst/>
                    </a:prstGeom>
                    <a:ln>
                      <a:noFill/>
                    </a:ln>
                    <a:extLst>
                      <a:ext uri="{53640926-AAD7-44D8-BBD7-CCE9431645EC}">
                        <a14:shadowObscured xmlns:a14="http://schemas.microsoft.com/office/drawing/2010/main"/>
                      </a:ext>
                    </a:extLst>
                  </pic:spPr>
                </pic:pic>
              </a:graphicData>
            </a:graphic>
          </wp:inline>
        </w:drawing>
      </w:r>
    </w:p>
    <w:p w14:paraId="496895BB" w14:textId="77777777" w:rsidR="002C188E" w:rsidRDefault="009F2C2A" w:rsidP="002C188E">
      <w:pPr>
        <w:jc w:val="center"/>
      </w:pPr>
      <w:r w:rsidRPr="0041402F">
        <w:t xml:space="preserve">Figure </w:t>
      </w:r>
      <w:r>
        <w:t>14</w:t>
      </w:r>
      <w:r w:rsidRPr="0041402F">
        <w:t xml:space="preserve"> - Print edition of Bolton</w:t>
      </w:r>
      <w:r>
        <w:t>-</w:t>
      </w:r>
      <w:r w:rsidRPr="0041402F">
        <w:t>le</w:t>
      </w:r>
      <w:r>
        <w:t>-</w:t>
      </w:r>
      <w:r w:rsidRPr="0041402F">
        <w:t xml:space="preserve">Sands parish register citing the Wilkinsons’ marriage </w:t>
      </w:r>
      <w:r>
        <w:t>o</w:t>
      </w:r>
      <w:r w:rsidRPr="0041402F">
        <w:t xml:space="preserve">n </w:t>
      </w:r>
      <w:r>
        <w:t>25</w:t>
      </w:r>
      <w:r w:rsidRPr="000D454E">
        <w:rPr>
          <w:vertAlign w:val="superscript"/>
        </w:rPr>
        <w:t>th</w:t>
      </w:r>
      <w:r>
        <w:t xml:space="preserve"> </w:t>
      </w:r>
      <w:r w:rsidRPr="0041402F">
        <w:t>April 1687</w:t>
      </w:r>
      <w:r>
        <w:t>.</w:t>
      </w:r>
    </w:p>
    <w:p w14:paraId="30AE556E" w14:textId="4B20EE73" w:rsidR="009F2C2A" w:rsidRDefault="009F2C2A" w:rsidP="002C188E">
      <w:pPr>
        <w:jc w:val="center"/>
      </w:pPr>
      <w:r>
        <w:t xml:space="preserve">(Image from Henry Brierley (ed.), </w:t>
      </w:r>
      <w:r>
        <w:rPr>
          <w:i/>
          <w:iCs/>
        </w:rPr>
        <w:t xml:space="preserve">The Registers of the Parish Church of Bolton-le-Sands in the County of Lancaster, 1665-1736, </w:t>
      </w:r>
      <w:r>
        <w:t>(Lancaster, 1911), p.96)</w:t>
      </w:r>
    </w:p>
    <w:p w14:paraId="0ED7C605" w14:textId="77777777" w:rsidR="009F2C2A" w:rsidRDefault="009F2C2A" w:rsidP="00752E33">
      <w:pPr>
        <w:sectPr w:rsidR="009F2C2A">
          <w:pgSz w:w="11906" w:h="16838"/>
          <w:pgMar w:top="1440" w:right="1440" w:bottom="1440" w:left="1440" w:header="720" w:footer="720" w:gutter="0"/>
          <w:cols w:space="720"/>
          <w:docGrid w:linePitch="360"/>
        </w:sectPr>
      </w:pPr>
    </w:p>
    <w:p w14:paraId="6F65AAAC" w14:textId="5D45A9DB" w:rsidR="000A18D5" w:rsidRDefault="000A18D5" w:rsidP="002C188E">
      <w:pPr>
        <w:jc w:val="center"/>
      </w:pPr>
      <w:r>
        <w:rPr>
          <w:i/>
          <w:noProof/>
          <w:szCs w:val="28"/>
          <w:lang w:eastAsia="en-GB"/>
        </w:rPr>
        <w:lastRenderedPageBreak/>
        <w:drawing>
          <wp:anchor distT="0" distB="0" distL="114300" distR="114300" simplePos="0" relativeHeight="251700224" behindDoc="0" locked="0" layoutInCell="1" allowOverlap="1" wp14:anchorId="3DFA9C0E" wp14:editId="02CDDEB3">
            <wp:simplePos x="0" y="0"/>
            <wp:positionH relativeFrom="margin">
              <wp:align>left</wp:align>
            </wp:positionH>
            <wp:positionV relativeFrom="paragraph">
              <wp:posOffset>314325</wp:posOffset>
            </wp:positionV>
            <wp:extent cx="5762625" cy="2996565"/>
            <wp:effectExtent l="0" t="0" r="0" b="0"/>
            <wp:wrapSquare wrapText="bothSides"/>
            <wp:docPr id="419186701" name="Picture 419186701" descr="A page of a book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86701" name="Picture 419186701" descr="A page of a book with text and images&#10;&#10;Description automatically generated"/>
                    <pic:cNvPicPr/>
                  </pic:nvPicPr>
                  <pic:blipFill rotWithShape="1">
                    <a:blip r:embed="rId30" cstate="print">
                      <a:extLst>
                        <a:ext uri="{28A0092B-C50C-407E-A947-70E740481C1C}">
                          <a14:useLocalDpi xmlns:a14="http://schemas.microsoft.com/office/drawing/2010/main" val="0"/>
                        </a:ext>
                      </a:extLst>
                    </a:blip>
                    <a:srcRect l="12062" t="24626" r="14100" b="46573"/>
                    <a:stretch/>
                  </pic:blipFill>
                  <pic:spPr bwMode="auto">
                    <a:xfrm>
                      <a:off x="0" y="0"/>
                      <a:ext cx="5768404" cy="29999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5187B7" w14:textId="77777777" w:rsidR="000A18D5" w:rsidRDefault="000A18D5" w:rsidP="002C188E">
      <w:pPr>
        <w:jc w:val="center"/>
      </w:pPr>
    </w:p>
    <w:p w14:paraId="2C11BFC6" w14:textId="77777777" w:rsidR="002C188E" w:rsidRDefault="000A18D5" w:rsidP="002C188E">
      <w:pPr>
        <w:jc w:val="center"/>
      </w:pPr>
      <w:r>
        <w:t xml:space="preserve">Figure 15 – Illustration of the initials of Walter Cocke inscribed into the lintel at Old Hall Farmhouse, Over Kellet, within Bolton-le-Sands parish. </w:t>
      </w:r>
    </w:p>
    <w:p w14:paraId="13E3F16A" w14:textId="269E9047" w:rsidR="000A18D5" w:rsidRDefault="000A18D5" w:rsidP="002C188E">
      <w:pPr>
        <w:jc w:val="center"/>
        <w:sectPr w:rsidR="000A18D5">
          <w:pgSz w:w="11906" w:h="16838"/>
          <w:pgMar w:top="1440" w:right="1440" w:bottom="1440" w:left="1440" w:header="720" w:footer="720" w:gutter="0"/>
          <w:cols w:space="720"/>
          <w:docGrid w:linePitch="360"/>
        </w:sectPr>
      </w:pPr>
      <w:r>
        <w:t xml:space="preserve">(Image from Emmeline Garnett, </w:t>
      </w:r>
      <w:r>
        <w:rPr>
          <w:i/>
          <w:iCs/>
        </w:rPr>
        <w:t>The</w:t>
      </w:r>
      <w:r>
        <w:t xml:space="preserve"> </w:t>
      </w:r>
      <w:r>
        <w:rPr>
          <w:i/>
          <w:iCs/>
        </w:rPr>
        <w:t xml:space="preserve">Dated Buildings of South Lonsdale, </w:t>
      </w:r>
      <w:r>
        <w:t>(Lancaster, 1994), p.122)</w:t>
      </w:r>
    </w:p>
    <w:p w14:paraId="64976289" w14:textId="77777777" w:rsidR="001A23C1" w:rsidRDefault="001A23C1" w:rsidP="002C188E">
      <w:pPr>
        <w:tabs>
          <w:tab w:val="left" w:pos="7476"/>
        </w:tabs>
        <w:jc w:val="center"/>
      </w:pPr>
      <w:r>
        <w:rPr>
          <w:noProof/>
        </w:rPr>
        <w:lastRenderedPageBreak/>
        <w:drawing>
          <wp:inline distT="0" distB="0" distL="0" distR="0" wp14:anchorId="0CCE5314" wp14:editId="3CEB04A5">
            <wp:extent cx="5731510" cy="7642225"/>
            <wp:effectExtent l="0" t="0" r="2540" b="0"/>
            <wp:docPr id="506006001" name="Picture 7" descr="A brick wall with a sig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06001" name="Picture 7" descr="A brick wall with a sign on i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29C6A146" w14:textId="77777777" w:rsidR="00B9128C" w:rsidRDefault="001A23C1" w:rsidP="002C188E">
      <w:pPr>
        <w:tabs>
          <w:tab w:val="left" w:pos="7476"/>
        </w:tabs>
        <w:jc w:val="center"/>
      </w:pPr>
      <w:r>
        <w:t>Figure 16 – Earliest initials present at Gap House, Kettleshulme, within Prestbury parish</w:t>
      </w:r>
      <w:r w:rsidR="00B9128C">
        <w:t>, reading ‘G B 1662’</w:t>
      </w:r>
      <w:r>
        <w:t xml:space="preserve">. </w:t>
      </w:r>
    </w:p>
    <w:p w14:paraId="1EAC1529" w14:textId="3BFE671D" w:rsidR="001A23C1" w:rsidRDefault="001A23C1" w:rsidP="002C188E">
      <w:pPr>
        <w:tabs>
          <w:tab w:val="left" w:pos="7476"/>
        </w:tabs>
        <w:jc w:val="center"/>
      </w:pPr>
      <w:r>
        <w:t>(Image author’s own)</w:t>
      </w:r>
    </w:p>
    <w:p w14:paraId="4AB4953E" w14:textId="77777777" w:rsidR="001A23C1" w:rsidRDefault="001A23C1" w:rsidP="001A23C1">
      <w:r>
        <w:br w:type="page"/>
      </w:r>
    </w:p>
    <w:p w14:paraId="06792AE0" w14:textId="77777777" w:rsidR="001A23C1" w:rsidRDefault="001A23C1" w:rsidP="000A18D5">
      <w:pPr>
        <w:sectPr w:rsidR="001A23C1">
          <w:pgSz w:w="11906" w:h="16838"/>
          <w:pgMar w:top="1440" w:right="1440" w:bottom="1440" w:left="1440" w:header="720" w:footer="720" w:gutter="0"/>
          <w:cols w:space="720"/>
          <w:docGrid w:linePitch="360"/>
        </w:sectPr>
      </w:pPr>
    </w:p>
    <w:p w14:paraId="24F30794" w14:textId="77777777" w:rsidR="00DB3CAE" w:rsidRDefault="00DB3CAE" w:rsidP="00B9128C">
      <w:pPr>
        <w:tabs>
          <w:tab w:val="left" w:pos="7476"/>
        </w:tabs>
        <w:jc w:val="center"/>
      </w:pPr>
      <w:r>
        <w:rPr>
          <w:noProof/>
        </w:rPr>
        <w:lastRenderedPageBreak/>
        <w:drawing>
          <wp:inline distT="0" distB="0" distL="0" distR="0" wp14:anchorId="60F292F8" wp14:editId="54FD253C">
            <wp:extent cx="5731510" cy="7642225"/>
            <wp:effectExtent l="0" t="0" r="2540" b="0"/>
            <wp:docPr id="1061669641" name="Picture 8" descr="A white door i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669641" name="Picture 8" descr="A white door in a brick building&#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168B661B" w14:textId="77777777" w:rsidR="00B9128C" w:rsidRDefault="00DB3CAE" w:rsidP="00B9128C">
      <w:pPr>
        <w:tabs>
          <w:tab w:val="left" w:pos="7476"/>
        </w:tabs>
        <w:jc w:val="center"/>
      </w:pPr>
      <w:r>
        <w:t>Figure 17 – Later initialled datestone at Gap House, Kettleshulme, within Prestbury parish</w:t>
      </w:r>
      <w:r w:rsidR="00B9128C">
        <w:t>, reading ‘G</w:t>
      </w:r>
      <w:r w:rsidR="00B9128C">
        <w:rPr>
          <w:vertAlign w:val="superscript"/>
        </w:rPr>
        <w:t>B</w:t>
      </w:r>
      <w:r w:rsidR="00B9128C">
        <w:t>A 1773’.</w:t>
      </w:r>
    </w:p>
    <w:p w14:paraId="1A768293" w14:textId="540D1FD7" w:rsidR="00DB3CAE" w:rsidRDefault="00DB3CAE" w:rsidP="00B9128C">
      <w:pPr>
        <w:tabs>
          <w:tab w:val="left" w:pos="7476"/>
        </w:tabs>
        <w:jc w:val="center"/>
      </w:pPr>
      <w:r>
        <w:t>(Image author’s own)</w:t>
      </w:r>
    </w:p>
    <w:p w14:paraId="4F7BF1A8" w14:textId="77777777" w:rsidR="00DB3CAE" w:rsidRDefault="00DB3CAE" w:rsidP="00DB3CAE">
      <w:r>
        <w:br w:type="page"/>
      </w:r>
    </w:p>
    <w:p w14:paraId="3B2CC01A" w14:textId="77777777" w:rsidR="00DB3CAE" w:rsidRDefault="00DB3CAE" w:rsidP="000A18D5">
      <w:pPr>
        <w:sectPr w:rsidR="00DB3CAE">
          <w:pgSz w:w="11906" w:h="16838"/>
          <w:pgMar w:top="1440" w:right="1440" w:bottom="1440" w:left="1440" w:header="720" w:footer="720" w:gutter="0"/>
          <w:cols w:space="720"/>
          <w:docGrid w:linePitch="360"/>
        </w:sectPr>
      </w:pPr>
    </w:p>
    <w:p w14:paraId="3B4522C1" w14:textId="77777777" w:rsidR="002D45CE" w:rsidRDefault="002D45CE" w:rsidP="00B9128C">
      <w:pPr>
        <w:tabs>
          <w:tab w:val="left" w:pos="7476"/>
        </w:tabs>
        <w:jc w:val="center"/>
      </w:pPr>
      <w:r>
        <w:rPr>
          <w:noProof/>
        </w:rPr>
        <w:lastRenderedPageBreak/>
        <w:drawing>
          <wp:inline distT="0" distB="0" distL="0" distR="0" wp14:anchorId="488649D2" wp14:editId="074D560E">
            <wp:extent cx="5731510" cy="7642225"/>
            <wp:effectExtent l="0" t="0" r="2540" b="0"/>
            <wp:docPr id="645556359" name="Picture 9" descr="A stone building with a gu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556359" name="Picture 9" descr="A stone building with a gutter&#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5FC833C3" w14:textId="77777777" w:rsidR="006501E0" w:rsidRDefault="002D45CE" w:rsidP="00B9128C">
      <w:pPr>
        <w:tabs>
          <w:tab w:val="left" w:pos="7476"/>
        </w:tabs>
        <w:jc w:val="center"/>
      </w:pPr>
      <w:r>
        <w:t xml:space="preserve">Figure 18 – Initialled hopper head </w:t>
      </w:r>
      <w:r w:rsidR="006501E0">
        <w:t>with inscription (‘G</w:t>
      </w:r>
      <w:r w:rsidR="006501E0">
        <w:rPr>
          <w:bCs/>
          <w:vertAlign w:val="superscript"/>
        </w:rPr>
        <w:t>B</w:t>
      </w:r>
      <w:r w:rsidR="006501E0">
        <w:rPr>
          <w:bCs/>
        </w:rPr>
        <w:t>A 1773’)</w:t>
      </w:r>
      <w:r w:rsidR="006501E0">
        <w:t xml:space="preserve"> </w:t>
      </w:r>
      <w:r>
        <w:t>matching second datestone at Gap House, Kettleshulme, within Prestbury parish.</w:t>
      </w:r>
    </w:p>
    <w:p w14:paraId="6653135D" w14:textId="5ABEAB8D" w:rsidR="002D45CE" w:rsidRDefault="002D45CE" w:rsidP="00B9128C">
      <w:pPr>
        <w:tabs>
          <w:tab w:val="left" w:pos="7476"/>
        </w:tabs>
        <w:jc w:val="center"/>
      </w:pPr>
      <w:r>
        <w:t>(Image author’s own)</w:t>
      </w:r>
    </w:p>
    <w:p w14:paraId="1C1ABB0B" w14:textId="77777777" w:rsidR="002D45CE" w:rsidRDefault="002D45CE" w:rsidP="00B9128C">
      <w:pPr>
        <w:jc w:val="center"/>
      </w:pPr>
      <w:r>
        <w:br w:type="page"/>
      </w:r>
    </w:p>
    <w:p w14:paraId="70BBEB00" w14:textId="77777777" w:rsidR="002D45CE" w:rsidRDefault="002D45CE" w:rsidP="000A18D5">
      <w:pPr>
        <w:sectPr w:rsidR="002D45CE">
          <w:pgSz w:w="11906" w:h="16838"/>
          <w:pgMar w:top="1440" w:right="1440" w:bottom="1440" w:left="1440" w:header="720" w:footer="720" w:gutter="0"/>
          <w:cols w:space="720"/>
          <w:docGrid w:linePitch="360"/>
        </w:sectPr>
      </w:pPr>
    </w:p>
    <w:p w14:paraId="16DD8AF3" w14:textId="77777777" w:rsidR="00A005C5" w:rsidRDefault="00A005C5" w:rsidP="006501E0">
      <w:pPr>
        <w:tabs>
          <w:tab w:val="left" w:pos="7476"/>
        </w:tabs>
        <w:jc w:val="center"/>
      </w:pPr>
      <w:r>
        <w:rPr>
          <w:noProof/>
        </w:rPr>
        <w:lastRenderedPageBreak/>
        <w:drawing>
          <wp:inline distT="0" distB="0" distL="0" distR="0" wp14:anchorId="4181257F" wp14:editId="12885F58">
            <wp:extent cx="5731510" cy="4298950"/>
            <wp:effectExtent l="0" t="0" r="2540" b="6350"/>
            <wp:docPr id="1610251793" name="Picture 10" descr="A brick house with a white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251793" name="Picture 10" descr="A brick house with a white door&#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099F50B4" w14:textId="77777777" w:rsidR="006501E0" w:rsidRDefault="00A005C5" w:rsidP="006501E0">
      <w:pPr>
        <w:tabs>
          <w:tab w:val="left" w:pos="7476"/>
        </w:tabs>
        <w:jc w:val="center"/>
      </w:pPr>
      <w:r>
        <w:t xml:space="preserve">Figure 19 – Façade at Gap House, Kettleshulme, </w:t>
      </w:r>
      <w:r w:rsidR="006501E0">
        <w:t>featuring</w:t>
      </w:r>
      <w:r>
        <w:t xml:space="preserve"> datestone </w:t>
      </w:r>
      <w:r w:rsidR="006501E0">
        <w:t>above main entryway, readi</w:t>
      </w:r>
      <w:r>
        <w:t>ng ‘G</w:t>
      </w:r>
      <w:r>
        <w:rPr>
          <w:vertAlign w:val="superscript"/>
        </w:rPr>
        <w:t>B</w:t>
      </w:r>
      <w:r>
        <w:t>A 1773’.</w:t>
      </w:r>
    </w:p>
    <w:p w14:paraId="4C284F90" w14:textId="055E318B" w:rsidR="00A005C5" w:rsidRDefault="00A005C5" w:rsidP="006501E0">
      <w:pPr>
        <w:tabs>
          <w:tab w:val="left" w:pos="7476"/>
        </w:tabs>
        <w:jc w:val="center"/>
      </w:pPr>
      <w:r>
        <w:t>(Image author’s own)</w:t>
      </w:r>
    </w:p>
    <w:p w14:paraId="03E0D617" w14:textId="77777777" w:rsidR="00A005C5" w:rsidRDefault="00A005C5" w:rsidP="000A18D5">
      <w:pPr>
        <w:sectPr w:rsidR="00A005C5">
          <w:pgSz w:w="11906" w:h="16838"/>
          <w:pgMar w:top="1440" w:right="1440" w:bottom="1440" w:left="1440" w:header="720" w:footer="720" w:gutter="0"/>
          <w:cols w:space="720"/>
          <w:docGrid w:linePitch="360"/>
        </w:sectPr>
      </w:pPr>
    </w:p>
    <w:p w14:paraId="610051DA" w14:textId="0F4F9A03" w:rsidR="00E219AB" w:rsidRDefault="008B26C1" w:rsidP="006501E0">
      <w:pPr>
        <w:tabs>
          <w:tab w:val="left" w:pos="7476"/>
        </w:tabs>
        <w:jc w:val="center"/>
      </w:pPr>
      <w:r>
        <w:rPr>
          <w:noProof/>
        </w:rPr>
        <w:lastRenderedPageBreak/>
        <mc:AlternateContent>
          <mc:Choice Requires="wps">
            <w:drawing>
              <wp:anchor distT="0" distB="0" distL="114300" distR="114300" simplePos="0" relativeHeight="251718656" behindDoc="0" locked="0" layoutInCell="1" allowOverlap="1" wp14:anchorId="44B5FE49" wp14:editId="0DE03E13">
                <wp:simplePos x="0" y="0"/>
                <wp:positionH relativeFrom="column">
                  <wp:posOffset>2943225</wp:posOffset>
                </wp:positionH>
                <wp:positionV relativeFrom="paragraph">
                  <wp:posOffset>1409700</wp:posOffset>
                </wp:positionV>
                <wp:extent cx="419100" cy="371475"/>
                <wp:effectExtent l="0" t="0" r="19050" b="28575"/>
                <wp:wrapNone/>
                <wp:docPr id="2040542359" name="Oval 2"/>
                <wp:cNvGraphicFramePr/>
                <a:graphic xmlns:a="http://schemas.openxmlformats.org/drawingml/2006/main">
                  <a:graphicData uri="http://schemas.microsoft.com/office/word/2010/wordprocessingShape">
                    <wps:wsp>
                      <wps:cNvSpPr/>
                      <wps:spPr>
                        <a:xfrm>
                          <a:off x="0" y="0"/>
                          <a:ext cx="419100" cy="37147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7AB5138">
              <v:oval id="Oval 2" style="position:absolute;margin-left:231.75pt;margin-top:111pt;width:33pt;height:29.25pt;z-index:2517186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pt" w14:anchorId="396ED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">
                <v:stroke joinstyle="miter"/>
              </v:oval>
            </w:pict>
          </mc:Fallback>
        </mc:AlternateContent>
      </w:r>
      <w:r w:rsidR="5E2445F0">
        <w:t>s</w:t>
      </w:r>
      <w:r w:rsidR="00E219AB">
        <w:rPr>
          <w:noProof/>
        </w:rPr>
        <w:drawing>
          <wp:inline distT="0" distB="0" distL="0" distR="0" wp14:anchorId="117328A9" wp14:editId="09EB868F">
            <wp:extent cx="5731510" cy="4298950"/>
            <wp:effectExtent l="0" t="0" r="2540" b="6350"/>
            <wp:docPr id="1478202088" name="Picture 11" descr="A brick house with a brick wall and a ston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02088" name="Picture 11" descr="A brick house with a brick wall and a stone wall&#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3AC3859C" w14:textId="10E27651" w:rsidR="006501E0" w:rsidRDefault="00E219AB" w:rsidP="006501E0">
      <w:pPr>
        <w:jc w:val="center"/>
      </w:pPr>
      <w:r>
        <w:t>Figure 20 – Rear of Gap House, Kettleshulme featuring earlie</w:t>
      </w:r>
      <w:r w:rsidR="006501E0">
        <w:t>st</w:t>
      </w:r>
      <w:r>
        <w:t xml:space="preserve"> datestone reading ‘GB 1662’</w:t>
      </w:r>
      <w:r w:rsidR="008B26C1">
        <w:t>, with position highlighted</w:t>
      </w:r>
      <w:r>
        <w:t xml:space="preserve">. </w:t>
      </w:r>
    </w:p>
    <w:p w14:paraId="09973C0C" w14:textId="3FE7CD80" w:rsidR="00E219AB" w:rsidRDefault="00E219AB" w:rsidP="006501E0">
      <w:pPr>
        <w:jc w:val="center"/>
        <w:sectPr w:rsidR="00E219AB">
          <w:pgSz w:w="11906" w:h="16838"/>
          <w:pgMar w:top="1440" w:right="1440" w:bottom="1440" w:left="1440" w:header="720" w:footer="720" w:gutter="0"/>
          <w:cols w:space="720"/>
          <w:docGrid w:linePitch="360"/>
        </w:sectPr>
      </w:pPr>
      <w:r>
        <w:t>(Image author’s own)</w:t>
      </w:r>
    </w:p>
    <w:p w14:paraId="17561EA5" w14:textId="77777777" w:rsidR="0076337E" w:rsidRDefault="0076337E" w:rsidP="008B26C1">
      <w:pPr>
        <w:tabs>
          <w:tab w:val="left" w:pos="6900"/>
        </w:tabs>
        <w:jc w:val="center"/>
      </w:pPr>
      <w:r>
        <w:rPr>
          <w:noProof/>
        </w:rPr>
        <w:lastRenderedPageBreak/>
        <w:drawing>
          <wp:inline distT="0" distB="0" distL="0" distR="0" wp14:anchorId="52D4516F" wp14:editId="3644EA37">
            <wp:extent cx="5731510" cy="4296410"/>
            <wp:effectExtent l="0" t="0" r="2540" b="8890"/>
            <wp:docPr id="877860381" name="Picture 13" descr="A large brick house with a la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60381" name="Picture 13" descr="A large brick house with a lawn&#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731510" cy="4296410"/>
                    </a:xfrm>
                    <a:prstGeom prst="rect">
                      <a:avLst/>
                    </a:prstGeom>
                  </pic:spPr>
                </pic:pic>
              </a:graphicData>
            </a:graphic>
          </wp:inline>
        </w:drawing>
      </w:r>
    </w:p>
    <w:p w14:paraId="726B8FE6" w14:textId="77777777" w:rsidR="008B26C1" w:rsidRDefault="0076337E" w:rsidP="008B26C1">
      <w:pPr>
        <w:tabs>
          <w:tab w:val="left" w:pos="6900"/>
        </w:tabs>
        <w:jc w:val="center"/>
      </w:pPr>
      <w:r>
        <w:t xml:space="preserve">Figure 21 – Façade at Langley Hall, Sutton, within Prestbury parish. </w:t>
      </w:r>
    </w:p>
    <w:p w14:paraId="69F815C4" w14:textId="6EBA0C02" w:rsidR="00094676" w:rsidRDefault="0076337E" w:rsidP="008B26C1">
      <w:pPr>
        <w:tabs>
          <w:tab w:val="left" w:pos="6900"/>
        </w:tabs>
        <w:jc w:val="center"/>
        <w:sectPr w:rsidR="00094676">
          <w:pgSz w:w="11906" w:h="16838"/>
          <w:pgMar w:top="1440" w:right="1440" w:bottom="1440" w:left="1440" w:header="720" w:footer="720" w:gutter="0"/>
          <w:cols w:space="720"/>
          <w:docGrid w:linePitch="360"/>
        </w:sectPr>
      </w:pPr>
      <w:r>
        <w:t xml:space="preserve">(Image from </w:t>
      </w:r>
      <w:r w:rsidRPr="00957E18">
        <w:t xml:space="preserve">‘Langley Hall’, Grade II* Listed Building in Sutton, Cheshire East, List Entry No. 1139480 </w:t>
      </w:r>
      <w:r>
        <w:t>[</w:t>
      </w:r>
      <w:r w:rsidRPr="007C589C">
        <w:t>https://historicengland.org.uk/listing/the-list/list-entry/1139480</w:t>
      </w:r>
      <w:r>
        <w:t>; accessed 17 June 2024])</w:t>
      </w:r>
    </w:p>
    <w:p w14:paraId="6D67E0C9" w14:textId="77777777" w:rsidR="00094676" w:rsidRDefault="00094676" w:rsidP="008B26C1">
      <w:pPr>
        <w:tabs>
          <w:tab w:val="left" w:pos="7476"/>
        </w:tabs>
        <w:jc w:val="center"/>
      </w:pPr>
      <w:r>
        <w:rPr>
          <w:noProof/>
        </w:rPr>
        <w:lastRenderedPageBreak/>
        <w:drawing>
          <wp:inline distT="0" distB="0" distL="0" distR="0" wp14:anchorId="7F72480F" wp14:editId="5E4375E3">
            <wp:extent cx="5923280" cy="4442460"/>
            <wp:effectExtent l="0" t="0" r="1270" b="0"/>
            <wp:docPr id="633324499" name="Picture 12" descr="A close-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24499" name="Picture 12" descr="A close-up of a building&#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923280" cy="4442460"/>
                    </a:xfrm>
                    <a:prstGeom prst="rect">
                      <a:avLst/>
                    </a:prstGeom>
                  </pic:spPr>
                </pic:pic>
              </a:graphicData>
            </a:graphic>
          </wp:inline>
        </w:drawing>
      </w:r>
    </w:p>
    <w:p w14:paraId="77CA9E34" w14:textId="77777777" w:rsidR="008B26C1" w:rsidRDefault="00094676" w:rsidP="008B26C1">
      <w:pPr>
        <w:tabs>
          <w:tab w:val="left" w:pos="7476"/>
        </w:tabs>
        <w:jc w:val="center"/>
      </w:pPr>
      <w:r>
        <w:t xml:space="preserve">Figure 22 – Initialled cartouche at Langley Hall, Sutton, within Prestbury parish. </w:t>
      </w:r>
    </w:p>
    <w:p w14:paraId="521E0C2B" w14:textId="237C6F68" w:rsidR="00094676" w:rsidRDefault="00094676" w:rsidP="008B26C1">
      <w:pPr>
        <w:tabs>
          <w:tab w:val="left" w:pos="7476"/>
        </w:tabs>
        <w:jc w:val="center"/>
        <w:sectPr w:rsidR="00094676">
          <w:pgSz w:w="11906" w:h="16838"/>
          <w:pgMar w:top="1440" w:right="1440" w:bottom="1440" w:left="1440" w:header="720" w:footer="720" w:gutter="0"/>
          <w:cols w:space="720"/>
          <w:docGrid w:linePitch="360"/>
        </w:sectPr>
      </w:pPr>
      <w:r>
        <w:t>(Image author’s own)</w:t>
      </w:r>
    </w:p>
    <w:p w14:paraId="45F540CF" w14:textId="7C45D071" w:rsidR="00523EF7" w:rsidRPr="0055132A" w:rsidRDefault="00FB19C7" w:rsidP="008B26C1">
      <w:pPr>
        <w:tabs>
          <w:tab w:val="left" w:pos="7476"/>
        </w:tabs>
        <w:jc w:val="center"/>
      </w:pPr>
      <w:r>
        <w:rPr>
          <w:noProof/>
        </w:rPr>
        <w:lastRenderedPageBreak/>
        <mc:AlternateContent>
          <mc:Choice Requires="wps">
            <w:drawing>
              <wp:anchor distT="0" distB="0" distL="114300" distR="114300" simplePos="0" relativeHeight="251702272" behindDoc="0" locked="0" layoutInCell="1" allowOverlap="1" wp14:anchorId="7E8250C0" wp14:editId="1B84A1D5">
                <wp:simplePos x="0" y="0"/>
                <wp:positionH relativeFrom="column">
                  <wp:posOffset>495300</wp:posOffset>
                </wp:positionH>
                <wp:positionV relativeFrom="paragraph">
                  <wp:posOffset>2587625</wp:posOffset>
                </wp:positionV>
                <wp:extent cx="769620" cy="716280"/>
                <wp:effectExtent l="19050" t="19050" r="30480" b="45720"/>
                <wp:wrapNone/>
                <wp:docPr id="691089704" name="Oval 14"/>
                <wp:cNvGraphicFramePr/>
                <a:graphic xmlns:a="http://schemas.openxmlformats.org/drawingml/2006/main">
                  <a:graphicData uri="http://schemas.microsoft.com/office/word/2010/wordprocessingShape">
                    <wps:wsp>
                      <wps:cNvSpPr/>
                      <wps:spPr>
                        <a:xfrm>
                          <a:off x="0" y="0"/>
                          <a:ext cx="769620" cy="716280"/>
                        </a:xfrm>
                        <a:prstGeom prst="ellipse">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978A309">
              <v:oval id="Oval 14" style="position:absolute;margin-left:39pt;margin-top:203.75pt;width:60.6pt;height:56.4pt;z-index:25170227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4.5pt" w14:anchorId="290416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">
                <v:stroke joinstyle="miter"/>
              </v:oval>
            </w:pict>
          </mc:Fallback>
        </mc:AlternateContent>
      </w:r>
      <w:r>
        <w:rPr>
          <w:noProof/>
        </w:rPr>
        <mc:AlternateContent>
          <mc:Choice Requires="wps">
            <w:drawing>
              <wp:anchor distT="0" distB="0" distL="114300" distR="114300" simplePos="0" relativeHeight="251703296" behindDoc="0" locked="0" layoutInCell="1" allowOverlap="1" wp14:anchorId="66A65BD4" wp14:editId="66E93434">
                <wp:simplePos x="0" y="0"/>
                <wp:positionH relativeFrom="margin">
                  <wp:posOffset>4961890</wp:posOffset>
                </wp:positionH>
                <wp:positionV relativeFrom="paragraph">
                  <wp:posOffset>2583815</wp:posOffset>
                </wp:positionV>
                <wp:extent cx="769620" cy="716280"/>
                <wp:effectExtent l="19050" t="19050" r="30480" b="45720"/>
                <wp:wrapNone/>
                <wp:docPr id="1495509828" name="Oval 14"/>
                <wp:cNvGraphicFramePr/>
                <a:graphic xmlns:a="http://schemas.openxmlformats.org/drawingml/2006/main">
                  <a:graphicData uri="http://schemas.microsoft.com/office/word/2010/wordprocessingShape">
                    <wps:wsp>
                      <wps:cNvSpPr/>
                      <wps:spPr>
                        <a:xfrm>
                          <a:off x="0" y="0"/>
                          <a:ext cx="769620" cy="716280"/>
                        </a:xfrm>
                        <a:prstGeom prst="ellipse">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75912A6">
              <v:oval id="Oval 14" style="position:absolute;margin-left:390.7pt;margin-top:203.45pt;width:60.6pt;height:56.4pt;z-index:251703296;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red" strokeweight="4.5pt" w14:anchorId="1EF2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">
                <v:stroke joinstyle="miter"/>
                <w10:wrap anchorx="margin"/>
              </v:oval>
            </w:pict>
          </mc:Fallback>
        </mc:AlternateContent>
      </w:r>
      <w:r w:rsidR="00523EF7" w:rsidRPr="0055132A">
        <w:rPr>
          <w:noProof/>
        </w:rPr>
        <w:drawing>
          <wp:inline distT="0" distB="0" distL="0" distR="0" wp14:anchorId="3CE17D8B" wp14:editId="0D7329DA">
            <wp:extent cx="5923280" cy="4442460"/>
            <wp:effectExtent l="0" t="0" r="1270" b="0"/>
            <wp:docPr id="757300911" name="Picture 12" descr="A close-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24499" name="Picture 12" descr="A close-up of a building&#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923280" cy="4442460"/>
                    </a:xfrm>
                    <a:prstGeom prst="rect">
                      <a:avLst/>
                    </a:prstGeom>
                  </pic:spPr>
                </pic:pic>
              </a:graphicData>
            </a:graphic>
          </wp:inline>
        </w:drawing>
      </w:r>
    </w:p>
    <w:p w14:paraId="6AE9ED0B" w14:textId="77777777" w:rsidR="008B26C1" w:rsidRDefault="00523EF7" w:rsidP="008B26C1">
      <w:pPr>
        <w:tabs>
          <w:tab w:val="left" w:pos="7476"/>
        </w:tabs>
        <w:jc w:val="center"/>
      </w:pPr>
      <w:r w:rsidRPr="0055132A">
        <w:t xml:space="preserve">Figure </w:t>
      </w:r>
      <w:r>
        <w:t>23</w:t>
      </w:r>
      <w:r w:rsidRPr="0055132A">
        <w:t xml:space="preserve"> – </w:t>
      </w:r>
      <w:r>
        <w:t>I</w:t>
      </w:r>
      <w:r w:rsidRPr="0055132A">
        <w:t>nitialled cartouche at Langley Hall, Sutton</w:t>
      </w:r>
      <w:r>
        <w:t>, with stylised ‘W’ jambs</w:t>
      </w:r>
      <w:r w:rsidR="008B26C1">
        <w:t xml:space="preserve"> highlighted</w:t>
      </w:r>
      <w:r>
        <w:t xml:space="preserve">. </w:t>
      </w:r>
    </w:p>
    <w:p w14:paraId="4A413448" w14:textId="7C2D24CE" w:rsidR="00FB19C7" w:rsidRDefault="00523EF7" w:rsidP="008B26C1">
      <w:pPr>
        <w:tabs>
          <w:tab w:val="left" w:pos="7476"/>
        </w:tabs>
        <w:jc w:val="center"/>
        <w:sectPr w:rsidR="00FB19C7">
          <w:pgSz w:w="11906" w:h="16838"/>
          <w:pgMar w:top="1440" w:right="1440" w:bottom="1440" w:left="1440" w:header="720" w:footer="720" w:gutter="0"/>
          <w:cols w:space="720"/>
          <w:docGrid w:linePitch="360"/>
        </w:sectPr>
      </w:pPr>
      <w:r>
        <w:t>(Image author’s own)</w:t>
      </w:r>
    </w:p>
    <w:p w14:paraId="3C02C65F" w14:textId="77777777" w:rsidR="00F75980" w:rsidRDefault="00F75980" w:rsidP="008B26C1">
      <w:pPr>
        <w:jc w:val="center"/>
      </w:pPr>
      <w:r>
        <w:rPr>
          <w:noProof/>
        </w:rPr>
        <w:lastRenderedPageBreak/>
        <w:drawing>
          <wp:inline distT="0" distB="0" distL="0" distR="0" wp14:anchorId="5EA1D614" wp14:editId="1151B9B0">
            <wp:extent cx="5048250" cy="5612354"/>
            <wp:effectExtent l="0" t="0" r="0" b="7620"/>
            <wp:docPr id="1264418140" name="Picture 1" descr="A stone wall with a gu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18140" name="Picture 1" descr="A stone wall with a gutter&#10;&#10;Description automatically generated"/>
                    <pic:cNvPicPr/>
                  </pic:nvPicPr>
                  <pic:blipFill rotWithShape="1">
                    <a:blip r:embed="rId38" cstate="print">
                      <a:extLst>
                        <a:ext uri="{28A0092B-C50C-407E-A947-70E740481C1C}">
                          <a14:useLocalDpi xmlns:a14="http://schemas.microsoft.com/office/drawing/2010/main" val="0"/>
                        </a:ext>
                      </a:extLst>
                    </a:blip>
                    <a:srcRect l="17118" t="13294" r="24384"/>
                    <a:stretch/>
                  </pic:blipFill>
                  <pic:spPr bwMode="auto">
                    <a:xfrm>
                      <a:off x="0" y="0"/>
                      <a:ext cx="5051419" cy="5615877"/>
                    </a:xfrm>
                    <a:prstGeom prst="rect">
                      <a:avLst/>
                    </a:prstGeom>
                    <a:ln>
                      <a:noFill/>
                    </a:ln>
                    <a:extLst>
                      <a:ext uri="{53640926-AAD7-44D8-BBD7-CCE9431645EC}">
                        <a14:shadowObscured xmlns:a14="http://schemas.microsoft.com/office/drawing/2010/main"/>
                      </a:ext>
                    </a:extLst>
                  </pic:spPr>
                </pic:pic>
              </a:graphicData>
            </a:graphic>
          </wp:inline>
        </w:drawing>
      </w:r>
    </w:p>
    <w:p w14:paraId="106A8A6C" w14:textId="64BE4B4C" w:rsidR="008B26C1" w:rsidRDefault="00F75980" w:rsidP="008B26C1">
      <w:pPr>
        <w:jc w:val="center"/>
      </w:pPr>
      <w:r>
        <w:t>Figure 24 - Inscribed plaque at Brooks Cottage, Butley, within Prestbury parish.</w:t>
      </w:r>
      <w:r w:rsidR="008B26C1">
        <w:t xml:space="preserve"> Inscription reads ‘Rodger Brooks and Ellen his wife Erected this house </w:t>
      </w:r>
      <w:proofErr w:type="gramStart"/>
      <w:r w:rsidR="008B26C1">
        <w:t>In</w:t>
      </w:r>
      <w:proofErr w:type="gramEnd"/>
      <w:r w:rsidR="008B26C1">
        <w:t xml:space="preserve"> the 24 </w:t>
      </w:r>
      <w:proofErr w:type="spellStart"/>
      <w:r w:rsidR="008B26C1">
        <w:t>yeare</w:t>
      </w:r>
      <w:proofErr w:type="spellEnd"/>
      <w:r w:rsidR="008B26C1">
        <w:t xml:space="preserve"> of his Life: A</w:t>
      </w:r>
      <w:r w:rsidR="008B26C1">
        <w:rPr>
          <w:rFonts w:cs="Calibri"/>
        </w:rPr>
        <w:t>ñ</w:t>
      </w:r>
      <w:r w:rsidR="008B26C1">
        <w:t>o: Dom 1686’.</w:t>
      </w:r>
    </w:p>
    <w:p w14:paraId="51810B78" w14:textId="2B37A2BA" w:rsidR="00F75980" w:rsidRDefault="00F75980" w:rsidP="008B26C1">
      <w:pPr>
        <w:jc w:val="center"/>
      </w:pPr>
      <w:r>
        <w:t>(Image author’s own)</w:t>
      </w:r>
    </w:p>
    <w:p w14:paraId="57514E5C" w14:textId="77777777" w:rsidR="00F75980" w:rsidRDefault="00F75980" w:rsidP="00523EF7">
      <w:pPr>
        <w:tabs>
          <w:tab w:val="left" w:pos="7476"/>
        </w:tabs>
        <w:sectPr w:rsidR="00F75980">
          <w:pgSz w:w="11906" w:h="16838"/>
          <w:pgMar w:top="1440" w:right="1440" w:bottom="1440" w:left="1440" w:header="720" w:footer="720" w:gutter="0"/>
          <w:cols w:space="720"/>
          <w:docGrid w:linePitch="360"/>
        </w:sectPr>
      </w:pPr>
    </w:p>
    <w:p w14:paraId="4948261D" w14:textId="77777777" w:rsidR="004F3C2B" w:rsidRDefault="004F3C2B" w:rsidP="008B26C1">
      <w:pPr>
        <w:jc w:val="center"/>
      </w:pPr>
      <w:r>
        <w:rPr>
          <w:noProof/>
        </w:rPr>
        <w:lastRenderedPageBreak/>
        <w:drawing>
          <wp:inline distT="0" distB="0" distL="0" distR="0" wp14:anchorId="329A6B69" wp14:editId="69177CB3">
            <wp:extent cx="5676900" cy="5231774"/>
            <wp:effectExtent l="0" t="0" r="0" b="6985"/>
            <wp:docPr id="564028412" name="Picture 2" descr="A stone slab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028412" name="Picture 2" descr="A stone slab with writing on it&#10;&#10;Description automatically generated"/>
                    <pic:cNvPicPr/>
                  </pic:nvPicPr>
                  <pic:blipFill rotWithShape="1">
                    <a:blip r:embed="rId39" cstate="print">
                      <a:extLst>
                        <a:ext uri="{28A0092B-C50C-407E-A947-70E740481C1C}">
                          <a14:useLocalDpi xmlns:a14="http://schemas.microsoft.com/office/drawing/2010/main" val="0"/>
                        </a:ext>
                      </a:extLst>
                    </a:blip>
                    <a:srcRect l="18613"/>
                    <a:stretch/>
                  </pic:blipFill>
                  <pic:spPr bwMode="auto">
                    <a:xfrm>
                      <a:off x="0" y="0"/>
                      <a:ext cx="5681172" cy="5235711"/>
                    </a:xfrm>
                    <a:prstGeom prst="rect">
                      <a:avLst/>
                    </a:prstGeom>
                    <a:ln>
                      <a:noFill/>
                    </a:ln>
                    <a:extLst>
                      <a:ext uri="{53640926-AAD7-44D8-BBD7-CCE9431645EC}">
                        <a14:shadowObscured xmlns:a14="http://schemas.microsoft.com/office/drawing/2010/main"/>
                      </a:ext>
                    </a:extLst>
                  </pic:spPr>
                </pic:pic>
              </a:graphicData>
            </a:graphic>
          </wp:inline>
        </w:drawing>
      </w:r>
    </w:p>
    <w:p w14:paraId="182C74AB" w14:textId="625757A2" w:rsidR="008B26C1" w:rsidRPr="00DE5BEF" w:rsidRDefault="004F3C2B" w:rsidP="008B26C1">
      <w:pPr>
        <w:jc w:val="center"/>
      </w:pPr>
      <w:r>
        <w:t xml:space="preserve">Figure 25 - Inscription on the lychgate at St Peter’s Church, Prestbury, dated 1715. </w:t>
      </w:r>
      <w:r w:rsidR="00102AE1">
        <w:t xml:space="preserve">Inscription reads This Building </w:t>
      </w:r>
      <w:proofErr w:type="gramStart"/>
      <w:r w:rsidR="00102AE1">
        <w:t>was</w:t>
      </w:r>
      <w:proofErr w:type="gramEnd"/>
      <w:r w:rsidR="00102AE1">
        <w:t xml:space="preserve"> Erected Ano Dom 1715 Robert Brough Richard Sandbach G</w:t>
      </w:r>
      <w:r w:rsidR="00DE5BEF">
        <w:t>e</w:t>
      </w:r>
      <w:r w:rsidR="00DE5BEF">
        <w:rPr>
          <w:vertAlign w:val="superscript"/>
        </w:rPr>
        <w:t>o</w:t>
      </w:r>
      <w:r w:rsidR="00DE5BEF">
        <w:t>rge Taylor Nathaniel Bennet Church Wardens’.</w:t>
      </w:r>
    </w:p>
    <w:p w14:paraId="6FEB0BE9" w14:textId="735B7F38" w:rsidR="004F3C2B" w:rsidRDefault="004F3C2B" w:rsidP="008B26C1">
      <w:pPr>
        <w:jc w:val="center"/>
      </w:pPr>
      <w:r>
        <w:t>(Image author’s own)</w:t>
      </w:r>
    </w:p>
    <w:p w14:paraId="2734E0A2" w14:textId="77777777" w:rsidR="004F3C2B" w:rsidRDefault="004F3C2B" w:rsidP="008B26C1">
      <w:pPr>
        <w:jc w:val="center"/>
      </w:pPr>
      <w:r>
        <w:br w:type="page"/>
      </w:r>
    </w:p>
    <w:p w14:paraId="6F6087F6" w14:textId="77777777" w:rsidR="004F3C2B" w:rsidRDefault="004F3C2B" w:rsidP="00523EF7">
      <w:pPr>
        <w:tabs>
          <w:tab w:val="left" w:pos="7476"/>
        </w:tabs>
        <w:sectPr w:rsidR="004F3C2B">
          <w:pgSz w:w="11906" w:h="16838"/>
          <w:pgMar w:top="1440" w:right="1440" w:bottom="1440" w:left="1440" w:header="720" w:footer="720" w:gutter="0"/>
          <w:cols w:space="720"/>
          <w:docGrid w:linePitch="360"/>
        </w:sectPr>
      </w:pPr>
    </w:p>
    <w:p w14:paraId="6A1CBF52" w14:textId="77777777" w:rsidR="00121CFA" w:rsidRDefault="00121CFA" w:rsidP="00DE5BEF">
      <w:pPr>
        <w:jc w:val="center"/>
      </w:pPr>
      <w:r>
        <w:rPr>
          <w:noProof/>
        </w:rPr>
        <w:lastRenderedPageBreak/>
        <w:drawing>
          <wp:inline distT="0" distB="0" distL="0" distR="0" wp14:anchorId="3BD0C059" wp14:editId="16BCAA9D">
            <wp:extent cx="5846982" cy="4686300"/>
            <wp:effectExtent l="0" t="0" r="1905" b="0"/>
            <wp:docPr id="745808908" name="Picture 3" descr="A stone floor with a metal g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08908" name="Picture 3" descr="A stone floor with a metal grate&#10;&#10;Description automatically generated"/>
                    <pic:cNvPicPr/>
                  </pic:nvPicPr>
                  <pic:blipFill rotWithShape="1">
                    <a:blip r:embed="rId40" cstate="print">
                      <a:extLst>
                        <a:ext uri="{28A0092B-C50C-407E-A947-70E740481C1C}">
                          <a14:useLocalDpi xmlns:a14="http://schemas.microsoft.com/office/drawing/2010/main" val="0"/>
                        </a:ext>
                      </a:extLst>
                    </a:blip>
                    <a:srcRect l="3988" t="12629" r="14247"/>
                    <a:stretch/>
                  </pic:blipFill>
                  <pic:spPr bwMode="auto">
                    <a:xfrm>
                      <a:off x="0" y="0"/>
                      <a:ext cx="5866331" cy="4701808"/>
                    </a:xfrm>
                    <a:prstGeom prst="rect">
                      <a:avLst/>
                    </a:prstGeom>
                    <a:ln>
                      <a:noFill/>
                    </a:ln>
                    <a:extLst>
                      <a:ext uri="{53640926-AAD7-44D8-BBD7-CCE9431645EC}">
                        <a14:shadowObscured xmlns:a14="http://schemas.microsoft.com/office/drawing/2010/main"/>
                      </a:ext>
                    </a:extLst>
                  </pic:spPr>
                </pic:pic>
              </a:graphicData>
            </a:graphic>
          </wp:inline>
        </w:drawing>
      </w:r>
    </w:p>
    <w:p w14:paraId="171AF0FD" w14:textId="1A240BA3" w:rsidR="00DE5BEF" w:rsidRPr="003F1355" w:rsidRDefault="00121CFA" w:rsidP="00DE5BEF">
      <w:pPr>
        <w:jc w:val="center"/>
      </w:pPr>
      <w:r>
        <w:t xml:space="preserve">Figure 26 – Second inscription on the lychgate at </w:t>
      </w:r>
      <w:r w:rsidRPr="00BB5AEC">
        <w:t>St Peter’s Church, Prestbury</w:t>
      </w:r>
      <w:r>
        <w:t xml:space="preserve">. </w:t>
      </w:r>
      <w:r w:rsidR="00DE5BEF">
        <w:t xml:space="preserve">Inscription reads ‘This Portal was </w:t>
      </w:r>
      <w:proofErr w:type="spellStart"/>
      <w:r w:rsidR="00DE5BEF">
        <w:t>removd</w:t>
      </w:r>
      <w:proofErr w:type="spellEnd"/>
      <w:r w:rsidR="00DE5BEF">
        <w:t xml:space="preserve"> &amp; newly Erected </w:t>
      </w:r>
      <w:r w:rsidR="003F1355">
        <w:t>&amp; the stone Walk adjoin-</w:t>
      </w:r>
      <w:proofErr w:type="spellStart"/>
      <w:r w:rsidR="003F1355">
        <w:t>ing</w:t>
      </w:r>
      <w:proofErr w:type="spellEnd"/>
      <w:r w:rsidR="003F1355">
        <w:t xml:space="preserve"> </w:t>
      </w:r>
      <w:proofErr w:type="spellStart"/>
      <w:r w:rsidR="003F1355">
        <w:t>layd</w:t>
      </w:r>
      <w:proofErr w:type="spellEnd"/>
      <w:r w:rsidR="003F1355">
        <w:t xml:space="preserve"> &amp; the Hearse House Built Anno Dom 1728 </w:t>
      </w:r>
      <w:proofErr w:type="spellStart"/>
      <w:r w:rsidR="003F1355">
        <w:t>Sam</w:t>
      </w:r>
      <w:r w:rsidR="003F1355">
        <w:rPr>
          <w:vertAlign w:val="superscript"/>
        </w:rPr>
        <w:t>l</w:t>
      </w:r>
      <w:proofErr w:type="spellEnd"/>
      <w:r w:rsidR="003F1355">
        <w:t xml:space="preserve"> Harryman Tho</w:t>
      </w:r>
      <w:r w:rsidR="003F1355">
        <w:rPr>
          <w:vertAlign w:val="superscript"/>
        </w:rPr>
        <w:t>s</w:t>
      </w:r>
      <w:r w:rsidR="003F1355">
        <w:t xml:space="preserve"> Mottershead Adam Slack Edmund Massey Church Wardens’.</w:t>
      </w:r>
    </w:p>
    <w:p w14:paraId="6BE4990F" w14:textId="4BC9C86E" w:rsidR="00121CFA" w:rsidRPr="00BB5AEC" w:rsidRDefault="00121CFA" w:rsidP="00DE5BEF">
      <w:pPr>
        <w:jc w:val="center"/>
      </w:pPr>
      <w:r w:rsidRPr="00BB5AEC">
        <w:t>(Image author’s own)</w:t>
      </w:r>
    </w:p>
    <w:p w14:paraId="309E616F" w14:textId="77777777" w:rsidR="00121CFA" w:rsidRDefault="00121CFA" w:rsidP="00523EF7">
      <w:pPr>
        <w:tabs>
          <w:tab w:val="left" w:pos="7476"/>
        </w:tabs>
        <w:sectPr w:rsidR="00121CFA">
          <w:pgSz w:w="11906" w:h="16838"/>
          <w:pgMar w:top="1440" w:right="1440" w:bottom="1440" w:left="1440" w:header="720" w:footer="720" w:gutter="0"/>
          <w:cols w:space="720"/>
          <w:docGrid w:linePitch="360"/>
        </w:sectPr>
      </w:pPr>
    </w:p>
    <w:p w14:paraId="1477DCD3" w14:textId="77777777" w:rsidR="009379A5" w:rsidRDefault="009379A5" w:rsidP="003F1355">
      <w:pPr>
        <w:jc w:val="center"/>
      </w:pPr>
      <w:r>
        <w:rPr>
          <w:noProof/>
        </w:rPr>
        <w:lastRenderedPageBreak/>
        <w:drawing>
          <wp:inline distT="0" distB="0" distL="0" distR="0" wp14:anchorId="430FFBF4" wp14:editId="42780EB8">
            <wp:extent cx="5758402" cy="5191125"/>
            <wp:effectExtent l="0" t="0" r="0" b="0"/>
            <wp:docPr id="1608823474" name="Picture 4" descr="A stone plaque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823474" name="Picture 4" descr="A stone plaque with writing on it&#10;&#10;Description automatically generated"/>
                    <pic:cNvPicPr/>
                  </pic:nvPicPr>
                  <pic:blipFill rotWithShape="1">
                    <a:blip r:embed="rId41" cstate="print">
                      <a:extLst>
                        <a:ext uri="{28A0092B-C50C-407E-A947-70E740481C1C}">
                          <a14:useLocalDpi xmlns:a14="http://schemas.microsoft.com/office/drawing/2010/main" val="0"/>
                        </a:ext>
                      </a:extLst>
                    </a:blip>
                    <a:srcRect t="18820" r="10591" b="20731"/>
                    <a:stretch/>
                  </pic:blipFill>
                  <pic:spPr bwMode="auto">
                    <a:xfrm>
                      <a:off x="0" y="0"/>
                      <a:ext cx="5771973" cy="5203359"/>
                    </a:xfrm>
                    <a:prstGeom prst="rect">
                      <a:avLst/>
                    </a:prstGeom>
                    <a:ln>
                      <a:noFill/>
                    </a:ln>
                    <a:extLst>
                      <a:ext uri="{53640926-AAD7-44D8-BBD7-CCE9431645EC}">
                        <a14:shadowObscured xmlns:a14="http://schemas.microsoft.com/office/drawing/2010/main"/>
                      </a:ext>
                    </a:extLst>
                  </pic:spPr>
                </pic:pic>
              </a:graphicData>
            </a:graphic>
          </wp:inline>
        </w:drawing>
      </w:r>
    </w:p>
    <w:p w14:paraId="517C3EB9" w14:textId="5C35DFC4" w:rsidR="003F1355" w:rsidRPr="000435D6" w:rsidRDefault="009379A5" w:rsidP="003F1355">
      <w:pPr>
        <w:jc w:val="center"/>
      </w:pPr>
      <w:r>
        <w:t xml:space="preserve">Figure 27 – Inscription still extant </w:t>
      </w:r>
      <w:r w:rsidR="008379E8">
        <w:t xml:space="preserve">in centre of </w:t>
      </w:r>
      <w:r>
        <w:t>Prestbury</w:t>
      </w:r>
      <w:r w:rsidR="008379E8">
        <w:t xml:space="preserve"> village</w:t>
      </w:r>
      <w:r>
        <w:t>, dated 1721.</w:t>
      </w:r>
      <w:r w:rsidR="003F1355">
        <w:t xml:space="preserve"> Inscription reads </w:t>
      </w:r>
      <w:r w:rsidR="00E5599D">
        <w:t>‘</w:t>
      </w:r>
      <w:r w:rsidR="000435D6">
        <w:t xml:space="preserve">This School was Erected </w:t>
      </w:r>
      <w:r w:rsidR="00E5599D">
        <w:t>in ye year of our Lord 1721 and Endow-ed by Ann Whitakers La</w:t>
      </w:r>
      <w:r w:rsidR="000435D6">
        <w:t>re of Prestbury who left 100</w:t>
      </w:r>
      <w:r w:rsidR="000435D6">
        <w:rPr>
          <w:vertAlign w:val="superscript"/>
        </w:rPr>
        <w:t xml:space="preserve">li </w:t>
      </w:r>
      <w:r w:rsidR="000435D6">
        <w:t>y</w:t>
      </w:r>
      <w:r w:rsidR="000435D6">
        <w:rPr>
          <w:vertAlign w:val="superscript"/>
        </w:rPr>
        <w:t>e</w:t>
      </w:r>
      <w:r w:rsidR="000435D6">
        <w:t xml:space="preserve"> Interest thereof for the Promotion of a Schoolmaster to teach ten of the poorest Children in the Township of Prestbury from the Primer to y</w:t>
      </w:r>
      <w:r w:rsidR="000435D6">
        <w:rPr>
          <w:vertAlign w:val="superscript"/>
        </w:rPr>
        <w:t xml:space="preserve">e </w:t>
      </w:r>
      <w:r w:rsidR="000435D6">
        <w:t>Bible at y</w:t>
      </w:r>
      <w:r w:rsidR="000435D6">
        <w:rPr>
          <w:vertAlign w:val="superscript"/>
        </w:rPr>
        <w:t>e</w:t>
      </w:r>
      <w:r w:rsidR="000435D6">
        <w:t xml:space="preserve"> Discretion of the Executors and y</w:t>
      </w:r>
      <w:r w:rsidR="000435D6">
        <w:rPr>
          <w:vertAlign w:val="superscript"/>
        </w:rPr>
        <w:t xml:space="preserve">e </w:t>
      </w:r>
      <w:r w:rsidR="000435D6">
        <w:t>Overseers of the Poor of y</w:t>
      </w:r>
      <w:r w:rsidR="000435D6">
        <w:rPr>
          <w:vertAlign w:val="superscript"/>
        </w:rPr>
        <w:t xml:space="preserve">e </w:t>
      </w:r>
      <w:r w:rsidR="000435D6">
        <w:t>said Township’.</w:t>
      </w:r>
    </w:p>
    <w:p w14:paraId="555F4612" w14:textId="73DF1D84" w:rsidR="009379A5" w:rsidRDefault="009379A5" w:rsidP="003F1355">
      <w:pPr>
        <w:jc w:val="center"/>
      </w:pPr>
      <w:r>
        <w:t xml:space="preserve"> (Image author’s own)</w:t>
      </w:r>
    </w:p>
    <w:p w14:paraId="5D3E571C" w14:textId="77777777" w:rsidR="009379A5" w:rsidRDefault="009379A5" w:rsidP="00523EF7">
      <w:pPr>
        <w:tabs>
          <w:tab w:val="left" w:pos="7476"/>
        </w:tabs>
        <w:sectPr w:rsidR="009379A5">
          <w:pgSz w:w="11906" w:h="16838"/>
          <w:pgMar w:top="1440" w:right="1440" w:bottom="1440" w:left="1440" w:header="720" w:footer="720" w:gutter="0"/>
          <w:cols w:space="720"/>
          <w:docGrid w:linePitch="360"/>
        </w:sectPr>
      </w:pPr>
    </w:p>
    <w:p w14:paraId="61A68947" w14:textId="77777777" w:rsidR="00AA38E8" w:rsidRDefault="00AA38E8" w:rsidP="000435D6">
      <w:pPr>
        <w:jc w:val="center"/>
      </w:pPr>
      <w:r>
        <w:rPr>
          <w:noProof/>
        </w:rPr>
        <w:lastRenderedPageBreak/>
        <w:drawing>
          <wp:inline distT="0" distB="0" distL="0" distR="0" wp14:anchorId="4A7D34D6" wp14:editId="793EF1AE">
            <wp:extent cx="5172075" cy="4502009"/>
            <wp:effectExtent l="0" t="0" r="0" b="0"/>
            <wp:docPr id="672622737" name="Picture 5" descr="A white brick building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22737" name="Picture 5" descr="A white brick building with a window&#10;&#10;Description automatically generated"/>
                    <pic:cNvPicPr/>
                  </pic:nvPicPr>
                  <pic:blipFill rotWithShape="1">
                    <a:blip r:embed="rId42" cstate="print">
                      <a:extLst>
                        <a:ext uri="{28A0092B-C50C-407E-A947-70E740481C1C}">
                          <a14:useLocalDpi xmlns:a14="http://schemas.microsoft.com/office/drawing/2010/main" val="0"/>
                        </a:ext>
                      </a:extLst>
                    </a:blip>
                    <a:srcRect l="29249" t="53095" r="29703" b="20108"/>
                    <a:stretch/>
                  </pic:blipFill>
                  <pic:spPr bwMode="auto">
                    <a:xfrm>
                      <a:off x="0" y="0"/>
                      <a:ext cx="5187673" cy="4515586"/>
                    </a:xfrm>
                    <a:prstGeom prst="rect">
                      <a:avLst/>
                    </a:prstGeom>
                    <a:ln>
                      <a:noFill/>
                    </a:ln>
                    <a:extLst>
                      <a:ext uri="{53640926-AAD7-44D8-BBD7-CCE9431645EC}">
                        <a14:shadowObscured xmlns:a14="http://schemas.microsoft.com/office/drawing/2010/main"/>
                      </a:ext>
                    </a:extLst>
                  </pic:spPr>
                </pic:pic>
              </a:graphicData>
            </a:graphic>
          </wp:inline>
        </w:drawing>
      </w:r>
    </w:p>
    <w:p w14:paraId="055BF19E" w14:textId="7EE0398D" w:rsidR="000435D6" w:rsidRPr="000435D6" w:rsidRDefault="00AA38E8" w:rsidP="000435D6">
      <w:pPr>
        <w:jc w:val="center"/>
      </w:pPr>
      <w:r>
        <w:t xml:space="preserve">Figure 28 – Second inscription </w:t>
      </w:r>
      <w:r w:rsidR="00383909">
        <w:t>in centre of Prestbury village</w:t>
      </w:r>
      <w:r>
        <w:t xml:space="preserve">, dated 1751. </w:t>
      </w:r>
      <w:r w:rsidR="000435D6">
        <w:t>Inscription reads ‘The Gift of Charles Legh of Adling-ton Esq to y</w:t>
      </w:r>
      <w:r w:rsidR="000435D6">
        <w:rPr>
          <w:vertAlign w:val="superscript"/>
        </w:rPr>
        <w:t xml:space="preserve">e </w:t>
      </w:r>
      <w:r w:rsidR="000435D6">
        <w:t>Master for y</w:t>
      </w:r>
      <w:r w:rsidR="000435D6">
        <w:rPr>
          <w:vertAlign w:val="superscript"/>
        </w:rPr>
        <w:t xml:space="preserve">e </w:t>
      </w:r>
      <w:r w:rsidR="000435D6">
        <w:t>Time being of y</w:t>
      </w:r>
      <w:r w:rsidR="000435D6">
        <w:rPr>
          <w:vertAlign w:val="superscript"/>
        </w:rPr>
        <w:t xml:space="preserve">e </w:t>
      </w:r>
      <w:r w:rsidR="000435D6">
        <w:t>adjoining Free School of Prestbury A:D: 1751’.</w:t>
      </w:r>
    </w:p>
    <w:p w14:paraId="4CED665F" w14:textId="02BF70ED" w:rsidR="00AA38E8" w:rsidRDefault="00AA38E8" w:rsidP="000435D6">
      <w:pPr>
        <w:jc w:val="center"/>
      </w:pPr>
      <w:r>
        <w:t>(Image author’s own)</w:t>
      </w:r>
    </w:p>
    <w:p w14:paraId="6CC42C39" w14:textId="56687E51" w:rsidR="00523EF7" w:rsidRPr="0055132A" w:rsidRDefault="00523EF7" w:rsidP="00523EF7">
      <w:pPr>
        <w:tabs>
          <w:tab w:val="left" w:pos="7476"/>
        </w:tabs>
      </w:pPr>
    </w:p>
    <w:p w14:paraId="45275E07" w14:textId="24904BEA" w:rsidR="00094676" w:rsidRDefault="00094676" w:rsidP="00094676">
      <w:pPr>
        <w:tabs>
          <w:tab w:val="left" w:pos="7476"/>
        </w:tabs>
      </w:pPr>
    </w:p>
    <w:p w14:paraId="124F18AC" w14:textId="77777777" w:rsidR="00094676" w:rsidRDefault="00094676" w:rsidP="00094676">
      <w:r>
        <w:br w:type="page"/>
      </w:r>
    </w:p>
    <w:p w14:paraId="49A5BE1E" w14:textId="410FBC7D" w:rsidR="00440C51" w:rsidRDefault="000435D6" w:rsidP="000435D6">
      <w:pPr>
        <w:jc w:val="center"/>
      </w:pPr>
      <w:r>
        <w:rPr>
          <w:noProof/>
        </w:rPr>
        <w:lastRenderedPageBreak/>
        <mc:AlternateContent>
          <mc:Choice Requires="wps">
            <w:drawing>
              <wp:anchor distT="0" distB="0" distL="114300" distR="114300" simplePos="0" relativeHeight="251705344" behindDoc="0" locked="0" layoutInCell="1" allowOverlap="1" wp14:anchorId="0BCE39A2" wp14:editId="13BED530">
                <wp:simplePos x="0" y="0"/>
                <wp:positionH relativeFrom="margin">
                  <wp:align>center</wp:align>
                </wp:positionH>
                <wp:positionV relativeFrom="paragraph">
                  <wp:posOffset>2717165</wp:posOffset>
                </wp:positionV>
                <wp:extent cx="666750" cy="683260"/>
                <wp:effectExtent l="19050" t="19050" r="38100" b="40640"/>
                <wp:wrapNone/>
                <wp:docPr id="356900605" name="Oval 14"/>
                <wp:cNvGraphicFramePr/>
                <a:graphic xmlns:a="http://schemas.openxmlformats.org/drawingml/2006/main">
                  <a:graphicData uri="http://schemas.microsoft.com/office/word/2010/wordprocessingShape">
                    <wps:wsp>
                      <wps:cNvSpPr/>
                      <wps:spPr>
                        <a:xfrm>
                          <a:off x="0" y="0"/>
                          <a:ext cx="666750" cy="683260"/>
                        </a:xfrm>
                        <a:prstGeom prst="ellipse">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4F81BBA">
              <v:oval id="Oval 14" style="position:absolute;margin-left:0;margin-top:213.95pt;width:52.5pt;height:53.8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ed="f" strokecolor="red" strokeweight="4.5pt" w14:anchorId="5A7C61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">
                <v:stroke joinstyle="miter"/>
                <w10:wrap anchorx="margin"/>
              </v:oval>
            </w:pict>
          </mc:Fallback>
        </mc:AlternateContent>
      </w:r>
      <w:r w:rsidR="006B5C40">
        <w:rPr>
          <w:noProof/>
        </w:rPr>
        <mc:AlternateContent>
          <mc:Choice Requires="wps">
            <w:drawing>
              <wp:anchor distT="0" distB="0" distL="114300" distR="114300" simplePos="0" relativeHeight="251706368" behindDoc="0" locked="0" layoutInCell="1" allowOverlap="1" wp14:anchorId="0327DE39" wp14:editId="245C1469">
                <wp:simplePos x="0" y="0"/>
                <wp:positionH relativeFrom="column">
                  <wp:posOffset>4557395</wp:posOffset>
                </wp:positionH>
                <wp:positionV relativeFrom="paragraph">
                  <wp:posOffset>3209925</wp:posOffset>
                </wp:positionV>
                <wp:extent cx="666750" cy="683260"/>
                <wp:effectExtent l="19050" t="19050" r="38100" b="40640"/>
                <wp:wrapNone/>
                <wp:docPr id="932689801" name="Oval 14"/>
                <wp:cNvGraphicFramePr/>
                <a:graphic xmlns:a="http://schemas.openxmlformats.org/drawingml/2006/main">
                  <a:graphicData uri="http://schemas.microsoft.com/office/word/2010/wordprocessingShape">
                    <wps:wsp>
                      <wps:cNvSpPr/>
                      <wps:spPr>
                        <a:xfrm>
                          <a:off x="0" y="0"/>
                          <a:ext cx="666750" cy="683260"/>
                        </a:xfrm>
                        <a:prstGeom prst="ellipse">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07B7DA2">
              <v:oval id="Oval 14" style="position:absolute;margin-left:358.85pt;margin-top:252.75pt;width:52.5pt;height:5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4.5pt" w14:anchorId="45020C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">
                <v:stroke joinstyle="miter"/>
              </v:oval>
            </w:pict>
          </mc:Fallback>
        </mc:AlternateContent>
      </w:r>
      <w:r w:rsidR="00D95250">
        <w:rPr>
          <w:noProof/>
        </w:rPr>
        <mc:AlternateContent>
          <mc:Choice Requires="wps">
            <w:drawing>
              <wp:inline distT="0" distB="0" distL="0" distR="0" wp14:anchorId="07525FC8" wp14:editId="3D741E3F">
                <wp:extent cx="304800" cy="304800"/>
                <wp:effectExtent l="0" t="0" r="0" b="0"/>
                <wp:docPr id="344087809"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1678F1EF">
              <v:rect id="Rectangle 7"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FDE0C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r w:rsidR="00D95250">
        <w:rPr>
          <w:noProof/>
        </w:rPr>
        <w:drawing>
          <wp:inline distT="0" distB="0" distL="0" distR="0" wp14:anchorId="3EED0868" wp14:editId="16B35C4F">
            <wp:extent cx="6090587" cy="7010400"/>
            <wp:effectExtent l="0" t="0" r="5715" b="0"/>
            <wp:docPr id="1226649042" name="Picture 8" descr="A brick house with a drive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49042" name="Picture 8" descr="A brick house with a driveway&#10;&#10;Description automatically generated"/>
                    <pic:cNvPicPr/>
                  </pic:nvPicPr>
                  <pic:blipFill rotWithShape="1">
                    <a:blip r:embed="rId43" cstate="print">
                      <a:extLst>
                        <a:ext uri="{28A0092B-C50C-407E-A947-70E740481C1C}">
                          <a14:useLocalDpi xmlns:a14="http://schemas.microsoft.com/office/drawing/2010/main" val="0"/>
                        </a:ext>
                      </a:extLst>
                    </a:blip>
                    <a:srcRect l="44168" t="5121" b="9201"/>
                    <a:stretch/>
                  </pic:blipFill>
                  <pic:spPr bwMode="auto">
                    <a:xfrm>
                      <a:off x="0" y="0"/>
                      <a:ext cx="6108253" cy="7030734"/>
                    </a:xfrm>
                    <a:prstGeom prst="rect">
                      <a:avLst/>
                    </a:prstGeom>
                    <a:ln>
                      <a:noFill/>
                    </a:ln>
                    <a:extLst>
                      <a:ext uri="{53640926-AAD7-44D8-BBD7-CCE9431645EC}">
                        <a14:shadowObscured xmlns:a14="http://schemas.microsoft.com/office/drawing/2010/main"/>
                      </a:ext>
                    </a:extLst>
                  </pic:spPr>
                </pic:pic>
              </a:graphicData>
            </a:graphic>
          </wp:inline>
        </w:drawing>
      </w:r>
    </w:p>
    <w:p w14:paraId="73AC8453" w14:textId="77777777" w:rsidR="00440C51" w:rsidRDefault="00440C51" w:rsidP="000435D6">
      <w:pPr>
        <w:jc w:val="center"/>
      </w:pPr>
    </w:p>
    <w:p w14:paraId="6DA33134" w14:textId="77777777" w:rsidR="000435D6" w:rsidRDefault="00440C51" w:rsidP="000435D6">
      <w:pPr>
        <w:jc w:val="center"/>
      </w:pPr>
      <w:r w:rsidRPr="00440C51">
        <w:t>Figure 29 – Two inscriptions on the façade of Heybridge Farmhouse, Butley, within Prestbury parish.</w:t>
      </w:r>
    </w:p>
    <w:p w14:paraId="6378A47B" w14:textId="37770FBA" w:rsidR="00440C51" w:rsidRDefault="00440C51" w:rsidP="000435D6">
      <w:pPr>
        <w:jc w:val="center"/>
      </w:pPr>
      <w:r w:rsidRPr="00440C51">
        <w:t>(Image author’s own)</w:t>
      </w:r>
    </w:p>
    <w:p w14:paraId="32C79AEA" w14:textId="19B82D12" w:rsidR="00812495" w:rsidRDefault="00812495" w:rsidP="00313B9C">
      <w:pPr>
        <w:jc w:val="center"/>
      </w:pPr>
      <w:r>
        <w:rPr>
          <w:noProof/>
        </w:rPr>
        <w:lastRenderedPageBreak/>
        <w:drawing>
          <wp:inline distT="0" distB="0" distL="0" distR="0" wp14:anchorId="7B5DA331" wp14:editId="524A7873">
            <wp:extent cx="5731510" cy="7642225"/>
            <wp:effectExtent l="0" t="0" r="2540" b="0"/>
            <wp:docPr id="483218435" name="Picture 15" descr="A stone building with a sign on the 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218435" name="Picture 15" descr="A stone building with a sign on the side&#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75BB8260" w14:textId="77777777" w:rsidR="00313B9C" w:rsidRDefault="00812495" w:rsidP="00313B9C">
      <w:pPr>
        <w:jc w:val="center"/>
      </w:pPr>
      <w:r>
        <w:t xml:space="preserve">Figure 30 – </w:t>
      </w:r>
      <w:r w:rsidR="000435D6">
        <w:t xml:space="preserve">Detail of </w:t>
      </w:r>
      <w:r w:rsidR="00313B9C">
        <w:t>earlie</w:t>
      </w:r>
      <w:r>
        <w:t>st inscription at Heybridge Farmhouse, Butley, within Prestbury parish</w:t>
      </w:r>
      <w:r w:rsidR="00313B9C">
        <w:t>, dated 1682.</w:t>
      </w:r>
      <w:r>
        <w:t xml:space="preserve"> </w:t>
      </w:r>
    </w:p>
    <w:p w14:paraId="20AE42E8" w14:textId="34D1F547" w:rsidR="00812495" w:rsidRDefault="00812495" w:rsidP="00313B9C">
      <w:pPr>
        <w:jc w:val="center"/>
        <w:sectPr w:rsidR="00812495">
          <w:pgSz w:w="11906" w:h="16838"/>
          <w:pgMar w:top="1440" w:right="1440" w:bottom="1440" w:left="1440" w:header="720" w:footer="720" w:gutter="0"/>
          <w:cols w:space="720"/>
          <w:docGrid w:linePitch="360"/>
        </w:sectPr>
      </w:pPr>
      <w:r>
        <w:t>(Image author’s own)</w:t>
      </w:r>
    </w:p>
    <w:p w14:paraId="33623D5E" w14:textId="77777777" w:rsidR="005A2316" w:rsidRDefault="005A2316" w:rsidP="00313B9C">
      <w:pPr>
        <w:jc w:val="center"/>
      </w:pPr>
      <w:r>
        <w:rPr>
          <w:noProof/>
        </w:rPr>
        <w:lastRenderedPageBreak/>
        <w:drawing>
          <wp:inline distT="0" distB="0" distL="0" distR="0" wp14:anchorId="5536185E" wp14:editId="62AC915E">
            <wp:extent cx="5731510" cy="7642225"/>
            <wp:effectExtent l="0" t="0" r="2540" b="0"/>
            <wp:docPr id="1178407520" name="Picture 16" descr="A close-up of a gu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07520" name="Picture 16" descr="A close-up of a gutter&#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6127429A" w14:textId="77777777" w:rsidR="00313B9C" w:rsidRDefault="005A2316" w:rsidP="00313B9C">
      <w:pPr>
        <w:jc w:val="center"/>
      </w:pPr>
      <w:r>
        <w:t xml:space="preserve">Figure 31 – Inscribed hopper head at Heybridge Farmhouse, Butley, dated 1771. </w:t>
      </w:r>
    </w:p>
    <w:p w14:paraId="5AD91637" w14:textId="3585980F" w:rsidR="005A2316" w:rsidRDefault="005A2316" w:rsidP="00313B9C">
      <w:pPr>
        <w:jc w:val="center"/>
      </w:pPr>
      <w:r>
        <w:t>(Image author’s own)</w:t>
      </w:r>
    </w:p>
    <w:p w14:paraId="0E281D0E" w14:textId="64724CCE" w:rsidR="00DD5764" w:rsidRDefault="00DD5764">
      <w:pPr>
        <w:spacing w:after="0" w:line="240" w:lineRule="auto"/>
      </w:pPr>
      <w:r>
        <w:br w:type="page"/>
      </w:r>
    </w:p>
    <w:p w14:paraId="0FF9635D" w14:textId="1080A1F6" w:rsidR="00DD5764" w:rsidRDefault="00DD5764">
      <w:pPr>
        <w:spacing w:after="0" w:line="240" w:lineRule="auto"/>
      </w:pPr>
    </w:p>
    <w:p w14:paraId="53B28E76" w14:textId="77777777" w:rsidR="00D279E4" w:rsidRDefault="00D279E4" w:rsidP="00D279E4">
      <w:r>
        <w:rPr>
          <w:noProof/>
        </w:rPr>
        <w:drawing>
          <wp:inline distT="0" distB="0" distL="0" distR="0" wp14:anchorId="7BC13D0A" wp14:editId="3011E8A1">
            <wp:extent cx="5673751" cy="5076825"/>
            <wp:effectExtent l="0" t="0" r="3175" b="0"/>
            <wp:docPr id="427327216" name="Picture 17" descr="A stone cross with numbers on the 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327216" name="Picture 17" descr="A stone cross with numbers on the side of a building&#10;&#10;Description automatically generated"/>
                    <pic:cNvPicPr/>
                  </pic:nvPicPr>
                  <pic:blipFill rotWithShape="1">
                    <a:blip r:embed="rId46">
                      <a:extLst>
                        <a:ext uri="{28A0092B-C50C-407E-A947-70E740481C1C}">
                          <a14:useLocalDpi xmlns:a14="http://schemas.microsoft.com/office/drawing/2010/main" val="0"/>
                        </a:ext>
                      </a:extLst>
                    </a:blip>
                    <a:srcRect l="15123" r="10425"/>
                    <a:stretch/>
                  </pic:blipFill>
                  <pic:spPr bwMode="auto">
                    <a:xfrm>
                      <a:off x="0" y="0"/>
                      <a:ext cx="5685659" cy="5087480"/>
                    </a:xfrm>
                    <a:prstGeom prst="rect">
                      <a:avLst/>
                    </a:prstGeom>
                    <a:ln>
                      <a:noFill/>
                    </a:ln>
                    <a:extLst>
                      <a:ext uri="{53640926-AAD7-44D8-BBD7-CCE9431645EC}">
                        <a14:shadowObscured xmlns:a14="http://schemas.microsoft.com/office/drawing/2010/main"/>
                      </a:ext>
                    </a:extLst>
                  </pic:spPr>
                </pic:pic>
              </a:graphicData>
            </a:graphic>
          </wp:inline>
        </w:drawing>
      </w:r>
    </w:p>
    <w:p w14:paraId="04102DFF" w14:textId="77777777" w:rsidR="00D279E4" w:rsidRDefault="00D279E4" w:rsidP="00D279E4">
      <w:pPr>
        <w:jc w:val="center"/>
      </w:pPr>
      <w:r>
        <w:t>Figure 32 – Initialled and dated hopper head at Eyam Hall, Derbyshire, commemorating John and Elizabeth Wright. (Image author’s own)</w:t>
      </w:r>
    </w:p>
    <w:p w14:paraId="7017D446" w14:textId="77777777" w:rsidR="005A2316" w:rsidRDefault="005A2316" w:rsidP="00812495">
      <w:pPr>
        <w:sectPr w:rsidR="005A2316">
          <w:pgSz w:w="11906" w:h="16838"/>
          <w:pgMar w:top="1440" w:right="1440" w:bottom="1440" w:left="1440" w:header="720" w:footer="720" w:gutter="0"/>
          <w:cols w:space="720"/>
          <w:docGrid w:linePitch="360"/>
        </w:sectPr>
      </w:pPr>
    </w:p>
    <w:p w14:paraId="222C7DD9" w14:textId="77777777" w:rsidR="00B91EFA" w:rsidRDefault="00B91EFA" w:rsidP="00313B9C">
      <w:pPr>
        <w:jc w:val="center"/>
      </w:pPr>
      <w:r>
        <w:rPr>
          <w:noProof/>
        </w:rPr>
        <w:lastRenderedPageBreak/>
        <w:drawing>
          <wp:inline distT="0" distB="0" distL="0" distR="0" wp14:anchorId="2429618D" wp14:editId="148C3A7D">
            <wp:extent cx="4922520" cy="6289112"/>
            <wp:effectExtent l="0" t="0" r="0" b="0"/>
            <wp:docPr id="1699562236" name="Picture 19" descr="A white pipe on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562236" name="Picture 19" descr="A white pipe on a building&#10;&#10;Description automatically generated"/>
                    <pic:cNvPicPr/>
                  </pic:nvPicPr>
                  <pic:blipFill rotWithShape="1">
                    <a:blip r:embed="rId47" cstate="print">
                      <a:extLst>
                        <a:ext uri="{28A0092B-C50C-407E-A947-70E740481C1C}">
                          <a14:useLocalDpi xmlns:a14="http://schemas.microsoft.com/office/drawing/2010/main" val="0"/>
                        </a:ext>
                      </a:extLst>
                    </a:blip>
                    <a:srcRect l="48526" r="4543" b="20059"/>
                    <a:stretch/>
                  </pic:blipFill>
                  <pic:spPr bwMode="auto">
                    <a:xfrm>
                      <a:off x="0" y="0"/>
                      <a:ext cx="4924777" cy="6291996"/>
                    </a:xfrm>
                    <a:prstGeom prst="rect">
                      <a:avLst/>
                    </a:prstGeom>
                    <a:ln>
                      <a:noFill/>
                    </a:ln>
                    <a:extLst>
                      <a:ext uri="{53640926-AAD7-44D8-BBD7-CCE9431645EC}">
                        <a14:shadowObscured xmlns:a14="http://schemas.microsoft.com/office/drawing/2010/main"/>
                      </a:ext>
                    </a:extLst>
                  </pic:spPr>
                </pic:pic>
              </a:graphicData>
            </a:graphic>
          </wp:inline>
        </w:drawing>
      </w:r>
    </w:p>
    <w:p w14:paraId="4F03EF68" w14:textId="65043A4D" w:rsidR="00313B9C" w:rsidRDefault="00B91EFA" w:rsidP="00313B9C">
      <w:pPr>
        <w:jc w:val="center"/>
      </w:pPr>
      <w:r>
        <w:t>Figure 33 – Initialled hopper head at Parliament Street, York.</w:t>
      </w:r>
    </w:p>
    <w:p w14:paraId="1FE4B611" w14:textId="3A32EEE7" w:rsidR="00B91EFA" w:rsidRDefault="00B91EFA" w:rsidP="00313B9C">
      <w:pPr>
        <w:jc w:val="center"/>
      </w:pPr>
      <w:r>
        <w:t>(Image author’s own)</w:t>
      </w:r>
    </w:p>
    <w:p w14:paraId="696CE879" w14:textId="77777777" w:rsidR="00B91EFA" w:rsidRDefault="00B91EFA" w:rsidP="00812495">
      <w:pPr>
        <w:sectPr w:rsidR="00B91EFA">
          <w:pgSz w:w="11906" w:h="16838"/>
          <w:pgMar w:top="1440" w:right="1440" w:bottom="1440" w:left="1440" w:header="720" w:footer="720" w:gutter="0"/>
          <w:cols w:space="720"/>
          <w:docGrid w:linePitch="360"/>
        </w:sectPr>
      </w:pPr>
    </w:p>
    <w:p w14:paraId="257209BD" w14:textId="77777777" w:rsidR="00440C51" w:rsidRDefault="00440C51" w:rsidP="00313B9C">
      <w:pPr>
        <w:jc w:val="center"/>
      </w:pPr>
      <w:r>
        <w:rPr>
          <w:noProof/>
        </w:rPr>
        <w:lastRenderedPageBreak/>
        <w:drawing>
          <wp:inline distT="0" distB="0" distL="0" distR="0" wp14:anchorId="5F58C062" wp14:editId="6AD95DAB">
            <wp:extent cx="5731510" cy="7642225"/>
            <wp:effectExtent l="0" t="0" r="2540" b="0"/>
            <wp:docPr id="1981154682" name="Picture 20" descr="A stone wall with a squar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54682" name="Picture 20" descr="A stone wall with a square sign&#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04954FD8" w14:textId="77777777" w:rsidR="00313B9C" w:rsidRDefault="00440C51" w:rsidP="00313B9C">
      <w:pPr>
        <w:jc w:val="center"/>
      </w:pPr>
      <w:r>
        <w:t xml:space="preserve">Figure 34 – Initialled datestone at Yew Tree House, Butley, within Prestbury parish. </w:t>
      </w:r>
      <w:r w:rsidR="00313B9C">
        <w:t>Inscription reads ‘T</w:t>
      </w:r>
      <w:r w:rsidR="00313B9C">
        <w:rPr>
          <w:vertAlign w:val="superscript"/>
        </w:rPr>
        <w:t>D</w:t>
      </w:r>
      <w:r w:rsidR="00313B9C">
        <w:t xml:space="preserve">H 1711’. </w:t>
      </w:r>
    </w:p>
    <w:p w14:paraId="49B3AD09" w14:textId="417A1C1D" w:rsidR="00830513" w:rsidRDefault="00440C51" w:rsidP="00313B9C">
      <w:pPr>
        <w:jc w:val="center"/>
        <w:sectPr w:rsidR="00830513">
          <w:pgSz w:w="11906" w:h="16838"/>
          <w:pgMar w:top="1440" w:right="1440" w:bottom="1440" w:left="1440" w:header="720" w:footer="720" w:gutter="0"/>
          <w:cols w:space="720"/>
          <w:docGrid w:linePitch="360"/>
        </w:sectPr>
      </w:pPr>
      <w:r>
        <w:t>(Image author’s own)</w:t>
      </w:r>
    </w:p>
    <w:p w14:paraId="0D02193A" w14:textId="77777777" w:rsidR="00830513" w:rsidRDefault="00830513" w:rsidP="00313B9C">
      <w:pPr>
        <w:jc w:val="center"/>
      </w:pPr>
      <w:r>
        <w:rPr>
          <w:noProof/>
        </w:rPr>
        <w:lastRenderedPageBreak/>
        <w:drawing>
          <wp:inline distT="0" distB="0" distL="0" distR="0" wp14:anchorId="250174E8" wp14:editId="7E2E8B9E">
            <wp:extent cx="5724137" cy="5267325"/>
            <wp:effectExtent l="0" t="0" r="0" b="0"/>
            <wp:docPr id="87269677"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9677" name="Picture 1" descr="A close-up of a document&#10;&#10;Description automatically generated"/>
                    <pic:cNvPicPr/>
                  </pic:nvPicPr>
                  <pic:blipFill rotWithShape="1">
                    <a:blip r:embed="rId49" cstate="print">
                      <a:extLst>
                        <a:ext uri="{28A0092B-C50C-407E-A947-70E740481C1C}">
                          <a14:useLocalDpi xmlns:a14="http://schemas.microsoft.com/office/drawing/2010/main" val="0"/>
                        </a:ext>
                      </a:extLst>
                    </a:blip>
                    <a:srcRect l="63480" t="40407" r="3704" b="19332"/>
                    <a:stretch/>
                  </pic:blipFill>
                  <pic:spPr bwMode="auto">
                    <a:xfrm>
                      <a:off x="0" y="0"/>
                      <a:ext cx="5734499" cy="5276860"/>
                    </a:xfrm>
                    <a:prstGeom prst="rect">
                      <a:avLst/>
                    </a:prstGeom>
                    <a:ln>
                      <a:noFill/>
                    </a:ln>
                    <a:extLst>
                      <a:ext uri="{53640926-AAD7-44D8-BBD7-CCE9431645EC}">
                        <a14:shadowObscured xmlns:a14="http://schemas.microsoft.com/office/drawing/2010/main"/>
                      </a:ext>
                    </a:extLst>
                  </pic:spPr>
                </pic:pic>
              </a:graphicData>
            </a:graphic>
          </wp:inline>
        </w:drawing>
      </w:r>
    </w:p>
    <w:p w14:paraId="0F7F688D" w14:textId="77777777" w:rsidR="00313B9C" w:rsidRDefault="00830513" w:rsidP="00313B9C">
      <w:pPr>
        <w:jc w:val="center"/>
      </w:pPr>
      <w:r>
        <w:t>Figure</w:t>
      </w:r>
      <w:r w:rsidRPr="00830513">
        <w:t xml:space="preserve"> 35</w:t>
      </w:r>
      <w:r>
        <w:t xml:space="preserve"> – Signature of Elizabeth Wales of Bolton-le-Sands, widow, within her will, 1702.</w:t>
      </w:r>
    </w:p>
    <w:p w14:paraId="248E74AD" w14:textId="01357EF0" w:rsidR="00830513" w:rsidRDefault="00830513" w:rsidP="00313B9C">
      <w:pPr>
        <w:jc w:val="center"/>
        <w:rPr>
          <w:b/>
          <w:bCs/>
        </w:rPr>
      </w:pPr>
      <w:r>
        <w:t xml:space="preserve"> (LA: </w:t>
      </w:r>
      <w:r w:rsidRPr="00324C91">
        <w:t>WRW/K/R490A/10, Will of Elizabeth Wales of Bolton-le-Sands, widow, 1702</w:t>
      </w:r>
      <w:r w:rsidR="00313B9C">
        <w:t>;</w:t>
      </w:r>
      <w:r>
        <w:t xml:space="preserve"> image author’s own)</w:t>
      </w:r>
    </w:p>
    <w:p w14:paraId="081EE9F1" w14:textId="77777777" w:rsidR="00830513" w:rsidRDefault="00830513" w:rsidP="00313B9C">
      <w:pPr>
        <w:jc w:val="center"/>
        <w:rPr>
          <w:b/>
          <w:bCs/>
        </w:rPr>
      </w:pPr>
      <w:r>
        <w:rPr>
          <w:b/>
          <w:bCs/>
        </w:rPr>
        <w:br w:type="page"/>
      </w:r>
    </w:p>
    <w:p w14:paraId="32E8BFD6" w14:textId="77777777" w:rsidR="00905175" w:rsidRPr="001A6292" w:rsidRDefault="00905175" w:rsidP="00313B9C">
      <w:pPr>
        <w:jc w:val="center"/>
        <w:rPr>
          <w:b/>
          <w:bCs/>
        </w:rPr>
      </w:pPr>
      <w:r>
        <w:rPr>
          <w:b/>
          <w:bCs/>
          <w:noProof/>
        </w:rPr>
        <w:lastRenderedPageBreak/>
        <w:drawing>
          <wp:inline distT="0" distB="0" distL="0" distR="0" wp14:anchorId="5DA7BE8C" wp14:editId="4DBA2A71">
            <wp:extent cx="3505200" cy="4396982"/>
            <wp:effectExtent l="0" t="0" r="0" b="3810"/>
            <wp:docPr id="1992696878" name="Picture 4" descr="A drawing of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696878" name="Picture 4" descr="A drawing of a door&#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3511032" cy="4404297"/>
                    </a:xfrm>
                    <a:prstGeom prst="rect">
                      <a:avLst/>
                    </a:prstGeom>
                  </pic:spPr>
                </pic:pic>
              </a:graphicData>
            </a:graphic>
          </wp:inline>
        </w:drawing>
      </w:r>
    </w:p>
    <w:p w14:paraId="31953F34" w14:textId="77777777" w:rsidR="00313B9C" w:rsidRDefault="00905175" w:rsidP="00313B9C">
      <w:pPr>
        <w:jc w:val="center"/>
      </w:pPr>
      <w:r w:rsidRPr="00AA00A0">
        <w:t xml:space="preserve">Figure </w:t>
      </w:r>
      <w:r w:rsidRPr="00A2247F">
        <w:t>36</w:t>
      </w:r>
      <w:r w:rsidRPr="00AA00A0">
        <w:t xml:space="preserve"> – </w:t>
      </w:r>
      <w:r>
        <w:t>S</w:t>
      </w:r>
      <w:r w:rsidRPr="00AA00A0">
        <w:t>pice cupboard</w:t>
      </w:r>
      <w:r>
        <w:t>, Gloucester</w:t>
      </w:r>
      <w:r>
        <w:rPr>
          <w:b/>
          <w:bCs/>
        </w:rPr>
        <w:t>s</w:t>
      </w:r>
      <w:r>
        <w:t xml:space="preserve">hire. </w:t>
      </w:r>
    </w:p>
    <w:p w14:paraId="26144AB0" w14:textId="79FB1D05" w:rsidR="00905175" w:rsidRDefault="00905175" w:rsidP="00313B9C">
      <w:pPr>
        <w:jc w:val="center"/>
        <w:rPr>
          <w:b/>
          <w:bCs/>
        </w:rPr>
      </w:pPr>
      <w:r>
        <w:t xml:space="preserve">(Image from </w:t>
      </w:r>
      <w:r w:rsidRPr="007C5197">
        <w:t xml:space="preserve">Nat Alcock and Linda Hall, </w:t>
      </w:r>
      <w:r w:rsidRPr="007C5197">
        <w:rPr>
          <w:i/>
          <w:iCs/>
        </w:rPr>
        <w:t xml:space="preserve">Fixtures and Fittings in Dated Houses 1567-1763, </w:t>
      </w:r>
      <w:r w:rsidRPr="007C5197">
        <w:t>(York, 1994), p.46</w:t>
      </w:r>
      <w:r>
        <w:t>)</w:t>
      </w:r>
    </w:p>
    <w:p w14:paraId="73820286" w14:textId="77777777" w:rsidR="00905175" w:rsidRDefault="00905175" w:rsidP="00313B9C">
      <w:pPr>
        <w:jc w:val="center"/>
        <w:rPr>
          <w:b/>
          <w:bCs/>
        </w:rPr>
      </w:pPr>
      <w:r>
        <w:rPr>
          <w:b/>
          <w:bCs/>
        </w:rPr>
        <w:br w:type="page"/>
      </w:r>
    </w:p>
    <w:p w14:paraId="557E96B2" w14:textId="77777777" w:rsidR="00A2247F" w:rsidRDefault="00A2247F" w:rsidP="00313B9C">
      <w:pPr>
        <w:jc w:val="center"/>
      </w:pPr>
      <w:r>
        <w:rPr>
          <w:b/>
          <w:bCs/>
          <w:noProof/>
        </w:rPr>
        <w:lastRenderedPageBreak/>
        <w:drawing>
          <wp:inline distT="0" distB="0" distL="0" distR="0" wp14:anchorId="57B7E10F" wp14:editId="41B1184B">
            <wp:extent cx="3914775" cy="4183964"/>
            <wp:effectExtent l="0" t="0" r="0" b="7620"/>
            <wp:docPr id="1118829793" name="Picture 5" descr="A drawing of a woode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829793" name="Picture 5" descr="A drawing of a wooden box&#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3930741" cy="4201028"/>
                    </a:xfrm>
                    <a:prstGeom prst="rect">
                      <a:avLst/>
                    </a:prstGeom>
                  </pic:spPr>
                </pic:pic>
              </a:graphicData>
            </a:graphic>
          </wp:inline>
        </w:drawing>
      </w:r>
    </w:p>
    <w:p w14:paraId="42124440" w14:textId="77777777" w:rsidR="00313B9C" w:rsidRDefault="00A2247F" w:rsidP="00313B9C">
      <w:pPr>
        <w:jc w:val="center"/>
      </w:pPr>
      <w:r w:rsidRPr="00063509">
        <w:t>Figu</w:t>
      </w:r>
      <w:r w:rsidRPr="00A2247F">
        <w:t>re 37</w:t>
      </w:r>
      <w:r w:rsidRPr="00063509">
        <w:t xml:space="preserve"> – </w:t>
      </w:r>
      <w:r>
        <w:t>I</w:t>
      </w:r>
      <w:r w:rsidRPr="00063509">
        <w:t>nscribed spice cupboard, dated 1681, Westmoreland</w:t>
      </w:r>
      <w:r>
        <w:t xml:space="preserve">. </w:t>
      </w:r>
    </w:p>
    <w:p w14:paraId="74681343" w14:textId="41FDD647" w:rsidR="008F13AE" w:rsidRDefault="00A2247F" w:rsidP="00313B9C">
      <w:pPr>
        <w:jc w:val="center"/>
      </w:pPr>
      <w:r>
        <w:t xml:space="preserve">(Image from </w:t>
      </w:r>
      <w:r w:rsidRPr="007C5197">
        <w:t xml:space="preserve">Nat Alcock and Linda Hall, </w:t>
      </w:r>
      <w:r w:rsidRPr="007C5197">
        <w:rPr>
          <w:i/>
          <w:iCs/>
        </w:rPr>
        <w:t xml:space="preserve">Fixtures and Fittings in Dated Houses 1567-1763, </w:t>
      </w:r>
      <w:r w:rsidRPr="007C5197">
        <w:t>(York, 1994), pp.4</w:t>
      </w:r>
      <w:r>
        <w:t>8)</w:t>
      </w:r>
    </w:p>
    <w:p w14:paraId="47ABB580" w14:textId="77777777" w:rsidR="008F13AE" w:rsidRDefault="008F13AE" w:rsidP="00313B9C">
      <w:pPr>
        <w:spacing w:after="0" w:line="240" w:lineRule="auto"/>
        <w:jc w:val="center"/>
      </w:pPr>
      <w:r>
        <w:br w:type="page"/>
      </w:r>
    </w:p>
    <w:p w14:paraId="215EC226" w14:textId="77777777" w:rsidR="008F13AE" w:rsidRDefault="008F13AE" w:rsidP="00313B9C">
      <w:pPr>
        <w:jc w:val="center"/>
      </w:pPr>
      <w:r>
        <w:rPr>
          <w:noProof/>
        </w:rPr>
        <w:lastRenderedPageBreak/>
        <w:drawing>
          <wp:inline distT="0" distB="0" distL="0" distR="0" wp14:anchorId="146727AF" wp14:editId="2092833A">
            <wp:extent cx="3528628" cy="3552825"/>
            <wp:effectExtent l="0" t="0" r="0" b="0"/>
            <wp:docPr id="2004566544" name="Picture 6" descr="A page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566544" name="Picture 6" descr="A page of a book&#10;&#10;Description automatically generated"/>
                    <pic:cNvPicPr/>
                  </pic:nvPicPr>
                  <pic:blipFill rotWithShape="1">
                    <a:blip r:embed="rId52" cstate="print">
                      <a:extLst>
                        <a:ext uri="{28A0092B-C50C-407E-A947-70E740481C1C}">
                          <a14:useLocalDpi xmlns:a14="http://schemas.microsoft.com/office/drawing/2010/main" val="0"/>
                        </a:ext>
                      </a:extLst>
                    </a:blip>
                    <a:srcRect l="28955" t="44267" r="26873" b="22247"/>
                    <a:stretch/>
                  </pic:blipFill>
                  <pic:spPr bwMode="auto">
                    <a:xfrm>
                      <a:off x="0" y="0"/>
                      <a:ext cx="3536307" cy="3560557"/>
                    </a:xfrm>
                    <a:prstGeom prst="rect">
                      <a:avLst/>
                    </a:prstGeom>
                    <a:ln>
                      <a:noFill/>
                    </a:ln>
                    <a:extLst>
                      <a:ext uri="{53640926-AAD7-44D8-BBD7-CCE9431645EC}">
                        <a14:shadowObscured xmlns:a14="http://schemas.microsoft.com/office/drawing/2010/main"/>
                      </a:ext>
                    </a:extLst>
                  </pic:spPr>
                </pic:pic>
              </a:graphicData>
            </a:graphic>
          </wp:inline>
        </w:drawing>
      </w:r>
    </w:p>
    <w:p w14:paraId="5DAB8A7E" w14:textId="77777777" w:rsidR="00313B9C" w:rsidRDefault="008F13AE" w:rsidP="00313B9C">
      <w:pPr>
        <w:jc w:val="center"/>
      </w:pPr>
      <w:r>
        <w:t xml:space="preserve">Figure </w:t>
      </w:r>
      <w:r w:rsidRPr="008F13AE">
        <w:t>38</w:t>
      </w:r>
      <w:r>
        <w:t xml:space="preserve"> – Spice cupboard surviving at Church Cottage, Bolton-le-Sands, inscribed with the initials of Edmund and Grace </w:t>
      </w:r>
      <w:proofErr w:type="spellStart"/>
      <w:r>
        <w:t>Freare</w:t>
      </w:r>
      <w:proofErr w:type="spellEnd"/>
      <w:r>
        <w:t xml:space="preserve"> and the year 1683. </w:t>
      </w:r>
    </w:p>
    <w:p w14:paraId="4B4AECB1" w14:textId="51D118A6" w:rsidR="008F13AE" w:rsidRDefault="008F13AE" w:rsidP="00313B9C">
      <w:pPr>
        <w:jc w:val="center"/>
      </w:pPr>
      <w:r>
        <w:t xml:space="preserve">(Image from </w:t>
      </w:r>
      <w:r w:rsidRPr="00B27D09">
        <w:t xml:space="preserve">Emmeline Garnett, </w:t>
      </w:r>
      <w:r w:rsidRPr="00B27D09">
        <w:rPr>
          <w:i/>
          <w:iCs/>
        </w:rPr>
        <w:t xml:space="preserve">The Dated Buildings of South Lonsdale, </w:t>
      </w:r>
      <w:r w:rsidRPr="00B27D09">
        <w:t xml:space="preserve">(Lancaster, 1994), </w:t>
      </w:r>
      <w:r>
        <w:t>p.20)</w:t>
      </w:r>
    </w:p>
    <w:p w14:paraId="615AB5C1" w14:textId="77777777" w:rsidR="008F13AE" w:rsidRDefault="008F13AE" w:rsidP="00313B9C">
      <w:pPr>
        <w:spacing w:after="0" w:line="240" w:lineRule="auto"/>
        <w:jc w:val="center"/>
      </w:pPr>
      <w:r>
        <w:br w:type="page"/>
      </w:r>
    </w:p>
    <w:p w14:paraId="0A1B1406" w14:textId="77777777" w:rsidR="00BB0DD0" w:rsidRDefault="00BB0DD0" w:rsidP="00313B9C">
      <w:pPr>
        <w:jc w:val="center"/>
      </w:pPr>
      <w:r>
        <w:rPr>
          <w:noProof/>
        </w:rPr>
        <w:lastRenderedPageBreak/>
        <mc:AlternateContent>
          <mc:Choice Requires="wps">
            <w:drawing>
              <wp:anchor distT="0" distB="0" distL="114300" distR="114300" simplePos="0" relativeHeight="251708416" behindDoc="0" locked="0" layoutInCell="1" allowOverlap="1" wp14:anchorId="4B6ED7BD" wp14:editId="78F92E69">
                <wp:simplePos x="0" y="0"/>
                <wp:positionH relativeFrom="column">
                  <wp:posOffset>4075430</wp:posOffset>
                </wp:positionH>
                <wp:positionV relativeFrom="paragraph">
                  <wp:posOffset>2903855</wp:posOffset>
                </wp:positionV>
                <wp:extent cx="685800" cy="588010"/>
                <wp:effectExtent l="0" t="8255" r="0" b="0"/>
                <wp:wrapNone/>
                <wp:docPr id="2133919652" name="Rectangle: Rounded Corners 10"/>
                <wp:cNvGraphicFramePr/>
                <a:graphic xmlns:a="http://schemas.openxmlformats.org/drawingml/2006/main">
                  <a:graphicData uri="http://schemas.microsoft.com/office/word/2010/wordprocessingShape">
                    <wps:wsp>
                      <wps:cNvSpPr/>
                      <wps:spPr>
                        <a:xfrm rot="5400000">
                          <a:off x="0" y="0"/>
                          <a:ext cx="685800" cy="588010"/>
                        </a:xfrm>
                        <a:prstGeom prst="round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293AFC5">
              <v:roundrect id="Rectangle: Rounded Corners 10" style="position:absolute;margin-left:320.9pt;margin-top:228.65pt;width:54pt;height:46.3pt;rotation:9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f9ed5 [3207]" stroked="f" strokeweight="1pt" arcsize="10923f" w14:anchorId="534F7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">
                <v:stroke joinstyle="miter"/>
              </v:roundrect>
            </w:pict>
          </mc:Fallback>
        </mc:AlternateContent>
      </w:r>
      <w:r>
        <w:rPr>
          <w:noProof/>
        </w:rPr>
        <w:drawing>
          <wp:inline distT="0" distB="0" distL="0" distR="0" wp14:anchorId="0F24F6BE" wp14:editId="7D03FDF2">
            <wp:extent cx="5300341" cy="4848225"/>
            <wp:effectExtent l="0" t="0" r="0" b="0"/>
            <wp:docPr id="1524912474" name="Picture 9" descr="A wooden cabinet with a shelf and vases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12474" name="Picture 9" descr="A wooden cabinet with a shelf and vases on top&#10;&#10;Description automatically generated"/>
                    <pic:cNvPicPr/>
                  </pic:nvPicPr>
                  <pic:blipFill rotWithShape="1">
                    <a:blip r:embed="rId53" cstate="print">
                      <a:extLst>
                        <a:ext uri="{28A0092B-C50C-407E-A947-70E740481C1C}">
                          <a14:useLocalDpi xmlns:a14="http://schemas.microsoft.com/office/drawing/2010/main" val="0"/>
                        </a:ext>
                      </a:extLst>
                    </a:blip>
                    <a:srcRect l="5466" r="13140" b="739"/>
                    <a:stretch/>
                  </pic:blipFill>
                  <pic:spPr bwMode="auto">
                    <a:xfrm>
                      <a:off x="0" y="0"/>
                      <a:ext cx="5307862" cy="4855104"/>
                    </a:xfrm>
                    <a:prstGeom prst="rect">
                      <a:avLst/>
                    </a:prstGeom>
                    <a:ln>
                      <a:noFill/>
                    </a:ln>
                    <a:extLst>
                      <a:ext uri="{53640926-AAD7-44D8-BBD7-CCE9431645EC}">
                        <a14:shadowObscured xmlns:a14="http://schemas.microsoft.com/office/drawing/2010/main"/>
                      </a:ext>
                    </a:extLst>
                  </pic:spPr>
                </pic:pic>
              </a:graphicData>
            </a:graphic>
          </wp:inline>
        </w:drawing>
      </w:r>
    </w:p>
    <w:p w14:paraId="56B5EB64" w14:textId="4736259B" w:rsidR="00313B9C" w:rsidRDefault="00BB0DD0" w:rsidP="00313B9C">
      <w:pPr>
        <w:jc w:val="center"/>
      </w:pPr>
      <w:r w:rsidRPr="003A6579">
        <w:t>Figure</w:t>
      </w:r>
      <w:r w:rsidRPr="00BB0DD0">
        <w:t xml:space="preserve"> 39</w:t>
      </w:r>
      <w:r w:rsidRPr="003A6579">
        <w:t xml:space="preserve"> – </w:t>
      </w:r>
      <w:r>
        <w:t>I</w:t>
      </w:r>
      <w:r w:rsidRPr="003A6579">
        <w:t xml:space="preserve">nitialled cupboard at the Manor House, Slyne, </w:t>
      </w:r>
      <w:r w:rsidRPr="00B27D09">
        <w:t>within Bolton-le-Sands parish</w:t>
      </w:r>
      <w:r>
        <w:t>.</w:t>
      </w:r>
      <w:r w:rsidR="00313B9C">
        <w:t xml:space="preserve"> Inscribed with the initials of Cornelius Greene – detail given in Figure 40.</w:t>
      </w:r>
      <w:r>
        <w:t xml:space="preserve"> </w:t>
      </w:r>
    </w:p>
    <w:p w14:paraId="352B35EF" w14:textId="18ECFD16" w:rsidR="00365D06" w:rsidRDefault="00BB0DD0" w:rsidP="00313B9C">
      <w:pPr>
        <w:jc w:val="center"/>
        <w:rPr>
          <w:b/>
          <w:bCs/>
        </w:rPr>
      </w:pPr>
      <w:r w:rsidRPr="00B7493F">
        <w:t>(</w:t>
      </w:r>
      <w:r>
        <w:t>I</w:t>
      </w:r>
      <w:r w:rsidRPr="00B7493F">
        <w:t>mage author’s own)</w:t>
      </w:r>
    </w:p>
    <w:p w14:paraId="74BF1A47" w14:textId="77777777" w:rsidR="00365D06" w:rsidRDefault="00365D06" w:rsidP="00313B9C">
      <w:pPr>
        <w:spacing w:after="0" w:line="240" w:lineRule="auto"/>
        <w:jc w:val="center"/>
        <w:rPr>
          <w:b/>
          <w:bCs/>
        </w:rPr>
      </w:pPr>
      <w:r>
        <w:rPr>
          <w:b/>
          <w:bCs/>
        </w:rPr>
        <w:br w:type="page"/>
      </w:r>
    </w:p>
    <w:p w14:paraId="78DCB502" w14:textId="77777777" w:rsidR="005A3438" w:rsidRDefault="005A3438" w:rsidP="00313B9C">
      <w:pPr>
        <w:jc w:val="center"/>
      </w:pPr>
      <w:r>
        <w:rPr>
          <w:noProof/>
        </w:rPr>
        <w:lastRenderedPageBreak/>
        <w:drawing>
          <wp:inline distT="0" distB="0" distL="0" distR="0" wp14:anchorId="49FBD800" wp14:editId="645BDB85">
            <wp:extent cx="5271000" cy="3305175"/>
            <wp:effectExtent l="0" t="0" r="6350" b="0"/>
            <wp:docPr id="1800337243" name="Picture 8" descr="A close-up of a wood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37243" name="Picture 8" descr="A close-up of a wood door&#10;&#10;Description automatically generated"/>
                    <pic:cNvPicPr/>
                  </pic:nvPicPr>
                  <pic:blipFill rotWithShape="1">
                    <a:blip r:embed="rId54" cstate="print">
                      <a:extLst>
                        <a:ext uri="{28A0092B-C50C-407E-A947-70E740481C1C}">
                          <a14:useLocalDpi xmlns:a14="http://schemas.microsoft.com/office/drawing/2010/main" val="0"/>
                        </a:ext>
                      </a:extLst>
                    </a:blip>
                    <a:srcRect l="21713" t="12019" r="3822" b="25729"/>
                    <a:stretch/>
                  </pic:blipFill>
                  <pic:spPr bwMode="auto">
                    <a:xfrm>
                      <a:off x="0" y="0"/>
                      <a:ext cx="5280956" cy="3311418"/>
                    </a:xfrm>
                    <a:prstGeom prst="rect">
                      <a:avLst/>
                    </a:prstGeom>
                    <a:ln>
                      <a:noFill/>
                    </a:ln>
                    <a:extLst>
                      <a:ext uri="{53640926-AAD7-44D8-BBD7-CCE9431645EC}">
                        <a14:shadowObscured xmlns:a14="http://schemas.microsoft.com/office/drawing/2010/main"/>
                      </a:ext>
                    </a:extLst>
                  </pic:spPr>
                </pic:pic>
              </a:graphicData>
            </a:graphic>
          </wp:inline>
        </w:drawing>
      </w:r>
    </w:p>
    <w:p w14:paraId="59F4579A" w14:textId="77777777" w:rsidR="00313B9C" w:rsidRDefault="005A3438" w:rsidP="00313B9C">
      <w:pPr>
        <w:jc w:val="center"/>
      </w:pPr>
      <w:r w:rsidRPr="003A6579">
        <w:t>Figu</w:t>
      </w:r>
      <w:r w:rsidRPr="005A3438">
        <w:t>re 40</w:t>
      </w:r>
      <w:r>
        <w:t xml:space="preserve"> – Detail of initials on the cupboard at the Manor House, Slyne, </w:t>
      </w:r>
      <w:r w:rsidRPr="00B27D09">
        <w:t>within Bolton-le-Sands parish</w:t>
      </w:r>
      <w:r>
        <w:t xml:space="preserve">. </w:t>
      </w:r>
    </w:p>
    <w:p w14:paraId="122C283F" w14:textId="3301750E" w:rsidR="005A3438" w:rsidRDefault="005A3438" w:rsidP="00313B9C">
      <w:pPr>
        <w:jc w:val="center"/>
      </w:pPr>
      <w:r w:rsidRPr="00B7493F">
        <w:t>(</w:t>
      </w:r>
      <w:r>
        <w:t>I</w:t>
      </w:r>
      <w:r w:rsidRPr="00B7493F">
        <w:t>mage author’s own)</w:t>
      </w:r>
    </w:p>
    <w:p w14:paraId="4AFBA7E2" w14:textId="77777777" w:rsidR="005A3438" w:rsidRDefault="005A3438">
      <w:pPr>
        <w:spacing w:after="0" w:line="240" w:lineRule="auto"/>
      </w:pPr>
      <w:r>
        <w:br w:type="page"/>
      </w:r>
    </w:p>
    <w:p w14:paraId="6F3F1925" w14:textId="77777777" w:rsidR="00D70261" w:rsidRPr="005D3B10" w:rsidRDefault="00D70261" w:rsidP="00313B9C">
      <w:pPr>
        <w:jc w:val="center"/>
        <w:rPr>
          <w:b/>
          <w:bCs/>
        </w:rPr>
      </w:pPr>
      <w:r w:rsidRPr="005D3B10">
        <w:rPr>
          <w:b/>
          <w:bCs/>
          <w:noProof/>
        </w:rPr>
        <w:lastRenderedPageBreak/>
        <w:drawing>
          <wp:inline distT="0" distB="0" distL="0" distR="0" wp14:anchorId="427EB0EA" wp14:editId="1155E2DE">
            <wp:extent cx="5257800" cy="7280881"/>
            <wp:effectExtent l="0" t="0" r="0" b="0"/>
            <wp:docPr id="396999253" name="Picture 12" descr="A close-up of a wooden cabin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99253" name="Picture 12" descr="A close-up of a wooden cabinet&#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5267333" cy="7294082"/>
                    </a:xfrm>
                    <a:prstGeom prst="rect">
                      <a:avLst/>
                    </a:prstGeom>
                  </pic:spPr>
                </pic:pic>
              </a:graphicData>
            </a:graphic>
          </wp:inline>
        </w:drawing>
      </w:r>
    </w:p>
    <w:p w14:paraId="3B343049" w14:textId="2A965E87" w:rsidR="00313B9C" w:rsidRDefault="00D70261" w:rsidP="00313B9C">
      <w:pPr>
        <w:jc w:val="center"/>
      </w:pPr>
      <w:r w:rsidRPr="005D3B10">
        <w:t>Figur</w:t>
      </w:r>
      <w:r w:rsidRPr="00D70261">
        <w:t>e 41</w:t>
      </w:r>
      <w:r>
        <w:t xml:space="preserve"> – Initialled press cupboard from north Lancashire, with carvings comparable with that surviving in the Manor House, Slyne, within Bolton-le-Sands parish</w:t>
      </w:r>
      <w:r w:rsidR="00313B9C">
        <w:t>, seen in Figures 39 and 40</w:t>
      </w:r>
      <w:r>
        <w:t xml:space="preserve">. </w:t>
      </w:r>
    </w:p>
    <w:p w14:paraId="6A6AE2B4" w14:textId="21481A35" w:rsidR="00D70261" w:rsidRDefault="00D70261" w:rsidP="00313B9C">
      <w:pPr>
        <w:jc w:val="center"/>
      </w:pPr>
      <w:r>
        <w:t xml:space="preserve">(Image from </w:t>
      </w:r>
      <w:r w:rsidRPr="00F312B2">
        <w:t xml:space="preserve">Victor Chinnery, </w:t>
      </w:r>
      <w:r w:rsidRPr="00F312B2">
        <w:rPr>
          <w:i/>
          <w:iCs/>
        </w:rPr>
        <w:t xml:space="preserve">Oak Furniture, The British Tradition: A History of Early Furniture in the British Isles and New England, </w:t>
      </w:r>
      <w:r w:rsidRPr="00F312B2">
        <w:t>(Woodbridge, 1979),</w:t>
      </w:r>
      <w:r w:rsidRPr="00F312B2">
        <w:rPr>
          <w:i/>
          <w:iCs/>
        </w:rPr>
        <w:t xml:space="preserve"> </w:t>
      </w:r>
      <w:r w:rsidRPr="00017531">
        <w:t>p.227</w:t>
      </w:r>
      <w:r>
        <w:t>)</w:t>
      </w:r>
      <w:r>
        <w:br w:type="page"/>
      </w:r>
    </w:p>
    <w:p w14:paraId="4596EBAB" w14:textId="77777777" w:rsidR="000959C9" w:rsidRDefault="000959C9" w:rsidP="00313B9C">
      <w:pPr>
        <w:jc w:val="center"/>
        <w:rPr>
          <w:b/>
          <w:bCs/>
        </w:rPr>
      </w:pPr>
      <w:r>
        <w:rPr>
          <w:b/>
          <w:bCs/>
          <w:noProof/>
        </w:rPr>
        <w:lastRenderedPageBreak/>
        <w:drawing>
          <wp:inline distT="0" distB="0" distL="0" distR="0" wp14:anchorId="14750C24" wp14:editId="695F8D47">
            <wp:extent cx="5528733" cy="1735455"/>
            <wp:effectExtent l="0" t="0" r="0" b="0"/>
            <wp:docPr id="533670992" name="Picture 13" descr="A page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70992" name="Picture 13" descr="A page of a book&#10;&#10;Description automatically generated"/>
                    <pic:cNvPicPr/>
                  </pic:nvPicPr>
                  <pic:blipFill rotWithShape="1">
                    <a:blip r:embed="rId56">
                      <a:extLst>
                        <a:ext uri="{28A0092B-C50C-407E-A947-70E740481C1C}">
                          <a14:useLocalDpi xmlns:a14="http://schemas.microsoft.com/office/drawing/2010/main" val="0"/>
                        </a:ext>
                      </a:extLst>
                    </a:blip>
                    <a:srcRect t="3509" r="3527" b="54173"/>
                    <a:stretch/>
                  </pic:blipFill>
                  <pic:spPr bwMode="auto">
                    <a:xfrm>
                      <a:off x="0" y="0"/>
                      <a:ext cx="5529408" cy="1735667"/>
                    </a:xfrm>
                    <a:prstGeom prst="rect">
                      <a:avLst/>
                    </a:prstGeom>
                    <a:ln>
                      <a:noFill/>
                    </a:ln>
                    <a:extLst>
                      <a:ext uri="{53640926-AAD7-44D8-BBD7-CCE9431645EC}">
                        <a14:shadowObscured xmlns:a14="http://schemas.microsoft.com/office/drawing/2010/main"/>
                      </a:ext>
                    </a:extLst>
                  </pic:spPr>
                </pic:pic>
              </a:graphicData>
            </a:graphic>
          </wp:inline>
        </w:drawing>
      </w:r>
    </w:p>
    <w:p w14:paraId="76CF12E4" w14:textId="43B3C9E6" w:rsidR="00313B9C" w:rsidRDefault="000959C9" w:rsidP="00313B9C">
      <w:pPr>
        <w:jc w:val="center"/>
      </w:pPr>
      <w:r>
        <w:t xml:space="preserve">Figure </w:t>
      </w:r>
      <w:r w:rsidRPr="000959C9">
        <w:t>42 – Partially-completed frieze on a seventeenth-century cupboard</w:t>
      </w:r>
      <w:r w:rsidR="00313B9C">
        <w:t xml:space="preserve">, with </w:t>
      </w:r>
      <w:r w:rsidR="004F7E2E">
        <w:t>space left for marriage initials and final date numeral in date ‘165-’</w:t>
      </w:r>
      <w:r w:rsidRPr="000959C9">
        <w:t>.</w:t>
      </w:r>
    </w:p>
    <w:p w14:paraId="49DBE88C" w14:textId="47753716" w:rsidR="000959C9" w:rsidRDefault="000959C9" w:rsidP="00313B9C">
      <w:pPr>
        <w:jc w:val="center"/>
      </w:pPr>
      <w:r w:rsidRPr="000959C9">
        <w:t>(Image from Victor Chinnery</w:t>
      </w:r>
      <w:r w:rsidRPr="007F00CC">
        <w:t xml:space="preserve">, </w:t>
      </w:r>
      <w:r w:rsidRPr="007F00CC">
        <w:rPr>
          <w:i/>
          <w:iCs/>
        </w:rPr>
        <w:t xml:space="preserve">Oak Furniture, The British Tradition: A History of Early Furniture in the British Isles and New England, </w:t>
      </w:r>
      <w:r w:rsidRPr="007F00CC">
        <w:t>(Woodbridge, 1979),</w:t>
      </w:r>
      <w:r>
        <w:t xml:space="preserve"> p.49)</w:t>
      </w:r>
    </w:p>
    <w:p w14:paraId="67D9EFB3" w14:textId="77777777" w:rsidR="000959C9" w:rsidRDefault="000959C9" w:rsidP="00313B9C">
      <w:pPr>
        <w:spacing w:after="0" w:line="240" w:lineRule="auto"/>
        <w:jc w:val="center"/>
      </w:pPr>
      <w:r>
        <w:br w:type="page"/>
      </w:r>
    </w:p>
    <w:p w14:paraId="3B5910E5" w14:textId="77777777" w:rsidR="00E66DB3" w:rsidRDefault="00E66DB3" w:rsidP="004F7E2E">
      <w:pPr>
        <w:jc w:val="center"/>
        <w:rPr>
          <w:b/>
          <w:bCs/>
        </w:rPr>
      </w:pPr>
      <w:r>
        <w:rPr>
          <w:b/>
          <w:bCs/>
          <w:noProof/>
        </w:rPr>
        <w:lastRenderedPageBreak/>
        <w:drawing>
          <wp:inline distT="0" distB="0" distL="0" distR="0" wp14:anchorId="445EBE71" wp14:editId="01BCCF58">
            <wp:extent cx="5731510" cy="3886200"/>
            <wp:effectExtent l="0" t="0" r="2540" b="0"/>
            <wp:docPr id="545002570" name="Picture 15" descr="A stone slab with a crack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002570" name="Picture 15" descr="A stone slab with a crack in it&#10;&#10;Description automatically generated"/>
                    <pic:cNvPicPr/>
                  </pic:nvPicPr>
                  <pic:blipFill rotWithShape="1">
                    <a:blip r:embed="rId57" cstate="print">
                      <a:extLst>
                        <a:ext uri="{28A0092B-C50C-407E-A947-70E740481C1C}">
                          <a14:useLocalDpi xmlns:a14="http://schemas.microsoft.com/office/drawing/2010/main" val="0"/>
                        </a:ext>
                      </a:extLst>
                    </a:blip>
                    <a:srcRect b="9601"/>
                    <a:stretch/>
                  </pic:blipFill>
                  <pic:spPr bwMode="auto">
                    <a:xfrm>
                      <a:off x="0" y="0"/>
                      <a:ext cx="5731510" cy="3886200"/>
                    </a:xfrm>
                    <a:prstGeom prst="rect">
                      <a:avLst/>
                    </a:prstGeom>
                    <a:ln>
                      <a:noFill/>
                    </a:ln>
                    <a:extLst>
                      <a:ext uri="{53640926-AAD7-44D8-BBD7-CCE9431645EC}">
                        <a14:shadowObscured xmlns:a14="http://schemas.microsoft.com/office/drawing/2010/main"/>
                      </a:ext>
                    </a:extLst>
                  </pic:spPr>
                </pic:pic>
              </a:graphicData>
            </a:graphic>
          </wp:inline>
        </w:drawing>
      </w:r>
    </w:p>
    <w:p w14:paraId="5D923ED5" w14:textId="1272A4F9" w:rsidR="004F7E2E" w:rsidRDefault="00E66DB3" w:rsidP="004F7E2E">
      <w:pPr>
        <w:jc w:val="center"/>
      </w:pPr>
      <w:r>
        <w:t xml:space="preserve">Figure </w:t>
      </w:r>
      <w:r w:rsidRPr="00E66DB3">
        <w:t xml:space="preserve">43 </w:t>
      </w:r>
      <w:r>
        <w:t>– Close-up of the</w:t>
      </w:r>
      <w:r w:rsidR="004F7E2E">
        <w:t xml:space="preserve"> inscribed</w:t>
      </w:r>
      <w:r>
        <w:t xml:space="preserve"> fireplace </w:t>
      </w:r>
      <w:r w:rsidR="004F7E2E">
        <w:t xml:space="preserve">lintel </w:t>
      </w:r>
      <w:r>
        <w:t>at Cobblers’ Lodge, Bolton-le-Sands</w:t>
      </w:r>
      <w:r w:rsidR="004F7E2E">
        <w:t>, carved with the date 1686 and initials W</w:t>
      </w:r>
      <w:r w:rsidR="004F7E2E">
        <w:rPr>
          <w:vertAlign w:val="superscript"/>
        </w:rPr>
        <w:t>W</w:t>
      </w:r>
      <w:r w:rsidR="004F7E2E">
        <w:t>E</w:t>
      </w:r>
      <w:r>
        <w:t xml:space="preserve">. </w:t>
      </w:r>
    </w:p>
    <w:p w14:paraId="620992EF" w14:textId="635561B5" w:rsidR="00E66DB3" w:rsidRDefault="00E66DB3" w:rsidP="004F7E2E">
      <w:pPr>
        <w:jc w:val="center"/>
        <w:sectPr w:rsidR="00E66DB3">
          <w:pgSz w:w="11906" w:h="16838"/>
          <w:pgMar w:top="1440" w:right="1440" w:bottom="1440" w:left="1440" w:header="720" w:footer="720" w:gutter="0"/>
          <w:cols w:space="720"/>
          <w:docGrid w:linePitch="360"/>
        </w:sectPr>
      </w:pPr>
      <w:r w:rsidRPr="00B7493F">
        <w:t>(</w:t>
      </w:r>
      <w:r>
        <w:t>I</w:t>
      </w:r>
      <w:r w:rsidRPr="00B7493F">
        <w:t>mage author’s own)</w:t>
      </w:r>
    </w:p>
    <w:p w14:paraId="1E74A746" w14:textId="77777777" w:rsidR="00251772" w:rsidRDefault="00251772" w:rsidP="005B4421">
      <w:pPr>
        <w:jc w:val="center"/>
      </w:pPr>
      <w:r>
        <w:rPr>
          <w:noProof/>
        </w:rPr>
        <w:lastRenderedPageBreak/>
        <w:drawing>
          <wp:inline distT="0" distB="0" distL="0" distR="0" wp14:anchorId="08082927" wp14:editId="5390874C">
            <wp:extent cx="5868587" cy="3486150"/>
            <wp:effectExtent l="0" t="0" r="0" b="0"/>
            <wp:docPr id="317015051" name="Picture 8" descr="A close-up of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015051" name="Picture 8" descr="A close-up of a window&#10;&#10;Description automatically generated"/>
                    <pic:cNvPicPr/>
                  </pic:nvPicPr>
                  <pic:blipFill rotWithShape="1">
                    <a:blip r:embed="rId58">
                      <a:extLst>
                        <a:ext uri="{28A0092B-C50C-407E-A947-70E740481C1C}">
                          <a14:useLocalDpi xmlns:a14="http://schemas.microsoft.com/office/drawing/2010/main" val="0"/>
                        </a:ext>
                      </a:extLst>
                    </a:blip>
                    <a:srcRect l="-548" t="27539" r="8768" b="31541"/>
                    <a:stretch/>
                  </pic:blipFill>
                  <pic:spPr bwMode="auto">
                    <a:xfrm>
                      <a:off x="0" y="0"/>
                      <a:ext cx="5895022" cy="3501854"/>
                    </a:xfrm>
                    <a:prstGeom prst="rect">
                      <a:avLst/>
                    </a:prstGeom>
                    <a:ln>
                      <a:noFill/>
                    </a:ln>
                    <a:extLst>
                      <a:ext uri="{53640926-AAD7-44D8-BBD7-CCE9431645EC}">
                        <a14:shadowObscured xmlns:a14="http://schemas.microsoft.com/office/drawing/2010/main"/>
                      </a:ext>
                    </a:extLst>
                  </pic:spPr>
                </pic:pic>
              </a:graphicData>
            </a:graphic>
          </wp:inline>
        </w:drawing>
      </w:r>
    </w:p>
    <w:p w14:paraId="2911AF4D" w14:textId="77777777" w:rsidR="005B4421" w:rsidRDefault="00251772" w:rsidP="005B4421">
      <w:pPr>
        <w:jc w:val="center"/>
      </w:pPr>
      <w:r w:rsidRPr="00F05475">
        <w:t>Figur</w:t>
      </w:r>
      <w:r>
        <w:t xml:space="preserve">e </w:t>
      </w:r>
      <w:r w:rsidRPr="00251772">
        <w:t>44</w:t>
      </w:r>
      <w:r>
        <w:t xml:space="preserve"> – Close-up of lintel initials at </w:t>
      </w:r>
      <w:proofErr w:type="spellStart"/>
      <w:r>
        <w:t>McGaffigans</w:t>
      </w:r>
      <w:proofErr w:type="spellEnd"/>
      <w:r>
        <w:t xml:space="preserve"> Yard, Bolton-le-Sands. Lintel partially not included because obscured by large advertisement for iron merchant’s business now occupying the property</w:t>
      </w:r>
      <w:r w:rsidR="005B4421">
        <w:t>, as seen in Figure 45</w:t>
      </w:r>
      <w:r>
        <w:t>.</w:t>
      </w:r>
      <w:r w:rsidRPr="00C85CCD">
        <w:t xml:space="preserve"> </w:t>
      </w:r>
    </w:p>
    <w:p w14:paraId="62E9F4BC" w14:textId="6952D065" w:rsidR="00E66DB3" w:rsidRDefault="00251772" w:rsidP="005B4421">
      <w:pPr>
        <w:jc w:val="center"/>
        <w:rPr>
          <w:b/>
          <w:bCs/>
        </w:rPr>
      </w:pPr>
      <w:r w:rsidRPr="00C85CCD">
        <w:t>(</w:t>
      </w:r>
      <w:r>
        <w:t>I</w:t>
      </w:r>
      <w:r w:rsidRPr="00C85CCD">
        <w:t>mage author’s own)</w:t>
      </w:r>
    </w:p>
    <w:p w14:paraId="3D5A6524" w14:textId="1B469D23" w:rsidR="00251772" w:rsidRDefault="00251772" w:rsidP="005B4421">
      <w:pPr>
        <w:spacing w:after="0" w:line="240" w:lineRule="auto"/>
        <w:jc w:val="center"/>
        <w:rPr>
          <w:b/>
          <w:bCs/>
        </w:rPr>
      </w:pPr>
      <w:r>
        <w:rPr>
          <w:b/>
          <w:bCs/>
        </w:rPr>
        <w:br w:type="page"/>
      </w:r>
    </w:p>
    <w:p w14:paraId="4B8302A5" w14:textId="77777777" w:rsidR="00A4068F" w:rsidRDefault="00A4068F" w:rsidP="005B4421">
      <w:pPr>
        <w:jc w:val="center"/>
        <w:rPr>
          <w:noProof/>
        </w:rPr>
      </w:pPr>
      <w:r>
        <w:rPr>
          <w:noProof/>
        </w:rPr>
        <w:lastRenderedPageBreak/>
        <w:drawing>
          <wp:inline distT="0" distB="0" distL="0" distR="0" wp14:anchorId="0AA0D2DA" wp14:editId="24C95A88">
            <wp:extent cx="5391150" cy="6290116"/>
            <wp:effectExtent l="0" t="0" r="0" b="0"/>
            <wp:docPr id="504291104" name="Picture 9" descr="A building with signs on the 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291104" name="Picture 9" descr="A building with signs on the side&#10;&#10;Description automatically generated"/>
                    <pic:cNvPicPr/>
                  </pic:nvPicPr>
                  <pic:blipFill rotWithShape="1">
                    <a:blip r:embed="rId59">
                      <a:extLst>
                        <a:ext uri="{28A0092B-C50C-407E-A947-70E740481C1C}">
                          <a14:useLocalDpi xmlns:a14="http://schemas.microsoft.com/office/drawing/2010/main" val="0"/>
                        </a:ext>
                      </a:extLst>
                    </a:blip>
                    <a:srcRect l="12114" r="23629"/>
                    <a:stretch/>
                  </pic:blipFill>
                  <pic:spPr bwMode="auto">
                    <a:xfrm>
                      <a:off x="0" y="0"/>
                      <a:ext cx="5412887" cy="6315478"/>
                    </a:xfrm>
                    <a:prstGeom prst="rect">
                      <a:avLst/>
                    </a:prstGeom>
                    <a:ln>
                      <a:noFill/>
                    </a:ln>
                    <a:extLst>
                      <a:ext uri="{53640926-AAD7-44D8-BBD7-CCE9431645EC}">
                        <a14:shadowObscured xmlns:a14="http://schemas.microsoft.com/office/drawing/2010/main"/>
                      </a:ext>
                    </a:extLst>
                  </pic:spPr>
                </pic:pic>
              </a:graphicData>
            </a:graphic>
          </wp:inline>
        </w:drawing>
      </w:r>
    </w:p>
    <w:p w14:paraId="121B9697" w14:textId="663D27D5" w:rsidR="005B4421" w:rsidRDefault="00A4068F" w:rsidP="005B4421">
      <w:pPr>
        <w:jc w:val="center"/>
        <w:rPr>
          <w:noProof/>
        </w:rPr>
      </w:pPr>
      <w:r w:rsidRPr="00F55FD0">
        <w:rPr>
          <w:noProof/>
        </w:rPr>
        <w:t>Figur</w:t>
      </w:r>
      <w:r w:rsidRPr="00A4068F">
        <w:rPr>
          <w:noProof/>
        </w:rPr>
        <w:t>e 45</w:t>
      </w:r>
      <w:r w:rsidRPr="00F55FD0">
        <w:rPr>
          <w:noProof/>
        </w:rPr>
        <w:t xml:space="preserve"> </w:t>
      </w:r>
      <w:r w:rsidR="00495FB8">
        <w:rPr>
          <w:noProof/>
        </w:rPr>
        <w:t>–</w:t>
      </w:r>
      <w:r w:rsidRPr="00F55FD0">
        <w:rPr>
          <w:noProof/>
        </w:rPr>
        <w:t xml:space="preserve"> </w:t>
      </w:r>
      <w:r>
        <w:rPr>
          <w:noProof/>
        </w:rPr>
        <w:t>F</w:t>
      </w:r>
      <w:r w:rsidRPr="00F55FD0">
        <w:rPr>
          <w:noProof/>
        </w:rPr>
        <w:t xml:space="preserve">açade at McGaffigans Yard, </w:t>
      </w:r>
      <w:r>
        <w:rPr>
          <w:noProof/>
        </w:rPr>
        <w:t>Bolton-le-Sands</w:t>
      </w:r>
      <w:r w:rsidRPr="00F55FD0">
        <w:rPr>
          <w:noProof/>
        </w:rPr>
        <w:t>, featuring a seventeenth-century inscribed doorway</w:t>
      </w:r>
      <w:r w:rsidR="005B4421">
        <w:rPr>
          <w:noProof/>
        </w:rPr>
        <w:t xml:space="preserve"> inscribed </w:t>
      </w:r>
      <w:r w:rsidR="00086903">
        <w:rPr>
          <w:noProof/>
        </w:rPr>
        <w:t>‘</w:t>
      </w:r>
      <w:r w:rsidR="005B4421">
        <w:rPr>
          <w:noProof/>
        </w:rPr>
        <w:t>G</w:t>
      </w:r>
      <w:r w:rsidR="005B4421">
        <w:rPr>
          <w:noProof/>
          <w:vertAlign w:val="superscript"/>
        </w:rPr>
        <w:t>P</w:t>
      </w:r>
      <w:r w:rsidR="005B4421">
        <w:rPr>
          <w:noProof/>
        </w:rPr>
        <w:t>A 1</w:t>
      </w:r>
      <w:r w:rsidR="00086903">
        <w:rPr>
          <w:noProof/>
        </w:rPr>
        <w:t>694’</w:t>
      </w:r>
      <w:r w:rsidRPr="00F55FD0">
        <w:rPr>
          <w:noProof/>
        </w:rPr>
        <w:t xml:space="preserve"> and mullioned window above</w:t>
      </w:r>
      <w:r>
        <w:rPr>
          <w:noProof/>
        </w:rPr>
        <w:t xml:space="preserve">. </w:t>
      </w:r>
    </w:p>
    <w:p w14:paraId="7C0944C9" w14:textId="5BA2DD95" w:rsidR="00A4068F" w:rsidRDefault="00A4068F" w:rsidP="005B4421">
      <w:pPr>
        <w:jc w:val="center"/>
        <w:rPr>
          <w:noProof/>
        </w:rPr>
      </w:pPr>
      <w:r>
        <w:rPr>
          <w:noProof/>
        </w:rPr>
        <w:t>(Image author’s own)</w:t>
      </w:r>
    </w:p>
    <w:p w14:paraId="2BE1E8A2" w14:textId="77777777" w:rsidR="00A4068F" w:rsidRDefault="00A4068F" w:rsidP="005B4421">
      <w:pPr>
        <w:spacing w:after="0" w:line="240" w:lineRule="auto"/>
        <w:jc w:val="center"/>
        <w:rPr>
          <w:noProof/>
        </w:rPr>
      </w:pPr>
      <w:r>
        <w:rPr>
          <w:noProof/>
        </w:rPr>
        <w:br w:type="page"/>
      </w:r>
    </w:p>
    <w:p w14:paraId="605FA01E" w14:textId="77777777" w:rsidR="00516823" w:rsidRPr="0060540D" w:rsidRDefault="00516823" w:rsidP="00086903">
      <w:pPr>
        <w:jc w:val="center"/>
        <w:rPr>
          <w:noProof/>
        </w:rPr>
      </w:pPr>
      <w:r w:rsidRPr="0060540D">
        <w:rPr>
          <w:noProof/>
        </w:rPr>
        <w:lastRenderedPageBreak/>
        <w:drawing>
          <wp:inline distT="0" distB="0" distL="0" distR="0" wp14:anchorId="2910CCF2" wp14:editId="0587968E">
            <wp:extent cx="5968027" cy="4467225"/>
            <wp:effectExtent l="0" t="0" r="0" b="0"/>
            <wp:docPr id="656615261" name="Picture 656615261" descr="A close-up of a ston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15261" name="Picture 656615261" descr="A close-up of a stone building&#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5975830" cy="4473066"/>
                    </a:xfrm>
                    <a:prstGeom prst="rect">
                      <a:avLst/>
                    </a:prstGeom>
                  </pic:spPr>
                </pic:pic>
              </a:graphicData>
            </a:graphic>
          </wp:inline>
        </w:drawing>
      </w:r>
    </w:p>
    <w:p w14:paraId="51CD4DA1" w14:textId="77777777" w:rsidR="00086903" w:rsidRDefault="00516823" w:rsidP="00086903">
      <w:pPr>
        <w:jc w:val="center"/>
      </w:pPr>
      <w:r w:rsidRPr="00176406">
        <w:t xml:space="preserve">Figure </w:t>
      </w:r>
      <w:r w:rsidRPr="00086903">
        <w:t>46 – Initialled</w:t>
      </w:r>
      <w:r>
        <w:t xml:space="preserve"> plaque in gable at </w:t>
      </w:r>
      <w:r w:rsidRPr="00176406">
        <w:t>Arnold House, Corsham, Wiltshire. The house incorporates two dormer gables with inscribed plaques: the inscription ‘W</w:t>
      </w:r>
      <w:r w:rsidRPr="00176406">
        <w:rPr>
          <w:vertAlign w:val="superscript"/>
        </w:rPr>
        <w:t>A</w:t>
      </w:r>
      <w:r w:rsidRPr="00176406">
        <w:t>I’ on the left gable commemorates William and Jane Arnold, and the right gable</w:t>
      </w:r>
      <w:r w:rsidR="00086903">
        <w:t xml:space="preserve"> (not pictured here)</w:t>
      </w:r>
      <w:r w:rsidRPr="00176406">
        <w:t xml:space="preserve"> is inscribed with the year 1703</w:t>
      </w:r>
      <w:r>
        <w:t xml:space="preserve">. </w:t>
      </w:r>
    </w:p>
    <w:p w14:paraId="4F8E81A7" w14:textId="39F6F2CC" w:rsidR="00516823" w:rsidRDefault="00516823" w:rsidP="00086903">
      <w:pPr>
        <w:jc w:val="center"/>
      </w:pPr>
      <w:r>
        <w:t>(Image author’s own)</w:t>
      </w:r>
    </w:p>
    <w:p w14:paraId="30FC76F9" w14:textId="77777777" w:rsidR="00516823" w:rsidRDefault="00516823" w:rsidP="00086903">
      <w:pPr>
        <w:spacing w:after="0" w:line="240" w:lineRule="auto"/>
        <w:jc w:val="center"/>
      </w:pPr>
      <w:r>
        <w:br w:type="page"/>
      </w:r>
    </w:p>
    <w:p w14:paraId="43B78834" w14:textId="77777777" w:rsidR="00585958" w:rsidRDefault="00585958" w:rsidP="00086903">
      <w:pPr>
        <w:jc w:val="center"/>
      </w:pPr>
      <w:r>
        <w:rPr>
          <w:noProof/>
        </w:rPr>
        <w:lastRenderedPageBreak/>
        <w:drawing>
          <wp:inline distT="0" distB="0" distL="0" distR="0" wp14:anchorId="0918FCA8" wp14:editId="004126DE">
            <wp:extent cx="6010275" cy="4506041"/>
            <wp:effectExtent l="0" t="0" r="0" b="8890"/>
            <wp:docPr id="175277538" name="Picture 5" descr="A close-up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7538" name="Picture 5" descr="A close-up of a brick building&#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33597" cy="4523526"/>
                    </a:xfrm>
                    <a:prstGeom prst="rect">
                      <a:avLst/>
                    </a:prstGeom>
                    <a:noFill/>
                    <a:ln>
                      <a:noFill/>
                    </a:ln>
                  </pic:spPr>
                </pic:pic>
              </a:graphicData>
            </a:graphic>
          </wp:inline>
        </w:drawing>
      </w:r>
    </w:p>
    <w:p w14:paraId="753C5A9D" w14:textId="77777777" w:rsidR="00086903" w:rsidRDefault="00585958" w:rsidP="00086903">
      <w:pPr>
        <w:jc w:val="center"/>
      </w:pPr>
      <w:r w:rsidRPr="00DD2495">
        <w:t xml:space="preserve">Figure </w:t>
      </w:r>
      <w:r w:rsidRPr="00585958">
        <w:t>47</w:t>
      </w:r>
      <w:r w:rsidRPr="00DD2495">
        <w:t xml:space="preserve"> </w:t>
      </w:r>
      <w:r>
        <w:t>–</w:t>
      </w:r>
      <w:r w:rsidRPr="00DD2495">
        <w:t xml:space="preserve"> </w:t>
      </w:r>
      <w:r>
        <w:t xml:space="preserve">Initialled and dated hopper head at the </w:t>
      </w:r>
      <w:r w:rsidRPr="00DD2495">
        <w:t xml:space="preserve">Manor House, </w:t>
      </w:r>
      <w:proofErr w:type="spellStart"/>
      <w:r w:rsidRPr="00DD2495">
        <w:t>Bracondale</w:t>
      </w:r>
      <w:proofErr w:type="spellEnd"/>
      <w:r w:rsidRPr="00DD2495">
        <w:t>, Nor</w:t>
      </w:r>
      <w:r>
        <w:t>wich</w:t>
      </w:r>
      <w:r w:rsidRPr="00DD2495">
        <w:t xml:space="preserve">. The initials on </w:t>
      </w:r>
      <w:r>
        <w:t>the hopper head (and on a second datestone not pictured here)</w:t>
      </w:r>
      <w:r w:rsidRPr="00DD2495">
        <w:t xml:space="preserve"> read ‘A</w:t>
      </w:r>
      <w:r w:rsidRPr="00DD2495">
        <w:rPr>
          <w:vertAlign w:val="superscript"/>
        </w:rPr>
        <w:t>R</w:t>
      </w:r>
      <w:r w:rsidRPr="00DD2495">
        <w:t>E’ and commemorate Augustus and Elizabeth Reeve</w:t>
      </w:r>
      <w:r>
        <w:t xml:space="preserve">. </w:t>
      </w:r>
    </w:p>
    <w:p w14:paraId="72F0FB0B" w14:textId="5E7CCFCA" w:rsidR="00585958" w:rsidRDefault="00585958" w:rsidP="00086903">
      <w:pPr>
        <w:jc w:val="center"/>
      </w:pPr>
      <w:r>
        <w:t>(Image author’s own)</w:t>
      </w:r>
    </w:p>
    <w:p w14:paraId="244961C1" w14:textId="77777777" w:rsidR="00585958" w:rsidRDefault="00585958" w:rsidP="00086903">
      <w:pPr>
        <w:spacing w:after="0" w:line="240" w:lineRule="auto"/>
        <w:jc w:val="center"/>
      </w:pPr>
      <w:r>
        <w:br w:type="page"/>
      </w:r>
    </w:p>
    <w:p w14:paraId="2BF56D03" w14:textId="77777777" w:rsidR="00C62E26" w:rsidRPr="002701D3" w:rsidRDefault="00C62E26" w:rsidP="00086903">
      <w:pPr>
        <w:jc w:val="center"/>
      </w:pPr>
      <w:r>
        <w:rPr>
          <w:noProof/>
        </w:rPr>
        <w:lastRenderedPageBreak/>
        <w:drawing>
          <wp:anchor distT="0" distB="0" distL="114300" distR="114300" simplePos="0" relativeHeight="251719680" behindDoc="0" locked="0" layoutInCell="1" allowOverlap="1" wp14:anchorId="70C6D41B" wp14:editId="30920E25">
            <wp:simplePos x="0" y="0"/>
            <wp:positionH relativeFrom="margin">
              <wp:posOffset>-38100</wp:posOffset>
            </wp:positionH>
            <wp:positionV relativeFrom="paragraph">
              <wp:posOffset>0</wp:posOffset>
            </wp:positionV>
            <wp:extent cx="6161405" cy="3133090"/>
            <wp:effectExtent l="0" t="0" r="0" b="0"/>
            <wp:wrapSquare wrapText="bothSides"/>
            <wp:docPr id="112381477" name="Picture 7" descr="A sign on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81477" name="Picture 7" descr="A sign on a building&#10;&#10;Description automatically generated"/>
                    <pic:cNvPicPr/>
                  </pic:nvPicPr>
                  <pic:blipFill rotWithShape="1">
                    <a:blip r:embed="rId62">
                      <a:extLst>
                        <a:ext uri="{28A0092B-C50C-407E-A947-70E740481C1C}">
                          <a14:useLocalDpi xmlns:a14="http://schemas.microsoft.com/office/drawing/2010/main" val="0"/>
                        </a:ext>
                      </a:extLst>
                    </a:blip>
                    <a:srcRect l="14834" t="23796" r="22115" b="52071"/>
                    <a:stretch/>
                  </pic:blipFill>
                  <pic:spPr bwMode="auto">
                    <a:xfrm>
                      <a:off x="0" y="0"/>
                      <a:ext cx="6161405" cy="3133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626BB4" w14:textId="45034D23" w:rsidR="00086903" w:rsidRDefault="00C62E26" w:rsidP="00086903">
      <w:pPr>
        <w:jc w:val="center"/>
      </w:pPr>
      <w:r w:rsidRPr="005F2FC0">
        <w:t xml:space="preserve">Figure </w:t>
      </w:r>
      <w:r w:rsidRPr="00C62E26">
        <w:t xml:space="preserve">48 </w:t>
      </w:r>
      <w:r>
        <w:t>–</w:t>
      </w:r>
      <w:r w:rsidRPr="005F2FC0">
        <w:t xml:space="preserve"> </w:t>
      </w:r>
      <w:r>
        <w:t xml:space="preserve">Inscribed datestone </w:t>
      </w:r>
      <w:r w:rsidR="00086903">
        <w:t xml:space="preserve">placed directly above a doorway </w:t>
      </w:r>
      <w:r>
        <w:t xml:space="preserve">at </w:t>
      </w:r>
      <w:r w:rsidRPr="005F2FC0">
        <w:t xml:space="preserve">12 High Street, Galway city, Republic of Ireland. The </w:t>
      </w:r>
      <w:proofErr w:type="gramStart"/>
      <w:r w:rsidRPr="005F2FC0">
        <w:t>left hand</w:t>
      </w:r>
      <w:proofErr w:type="gramEnd"/>
      <w:r w:rsidRPr="005F2FC0">
        <w:t xml:space="preserve"> side of the crest belongs to the Ffrench family, one of the tribes of Galway, and the inscription and two pairs of initials likely commemorate a marriage</w:t>
      </w:r>
      <w:r>
        <w:t xml:space="preserve">. </w:t>
      </w:r>
    </w:p>
    <w:p w14:paraId="0163D48D" w14:textId="276D2648" w:rsidR="00C62E26" w:rsidRDefault="00C62E26" w:rsidP="00086903">
      <w:pPr>
        <w:jc w:val="center"/>
        <w:rPr>
          <w:b/>
          <w:bCs/>
        </w:rPr>
      </w:pPr>
      <w:r>
        <w:t>(Image author’s own)</w:t>
      </w:r>
    </w:p>
    <w:p w14:paraId="6DDDCB22" w14:textId="77777777" w:rsidR="00C62E26" w:rsidRDefault="00C62E26" w:rsidP="00086903">
      <w:pPr>
        <w:jc w:val="center"/>
        <w:rPr>
          <w:b/>
          <w:bCs/>
        </w:rPr>
      </w:pPr>
      <w:r>
        <w:rPr>
          <w:b/>
          <w:bCs/>
        </w:rPr>
        <w:br w:type="page"/>
      </w:r>
    </w:p>
    <w:p w14:paraId="5B9BC8CC" w14:textId="52EFAA8A" w:rsidR="0037354F" w:rsidRPr="0086114D" w:rsidRDefault="0037354F" w:rsidP="00086903">
      <w:pPr>
        <w:jc w:val="center"/>
        <w:rPr>
          <w:b/>
          <w:bCs/>
        </w:rPr>
      </w:pPr>
      <w:r w:rsidRPr="0086114D">
        <w:rPr>
          <w:b/>
          <w:bCs/>
          <w:noProof/>
        </w:rPr>
        <w:lastRenderedPageBreak/>
        <w:drawing>
          <wp:inline distT="0" distB="0" distL="0" distR="0" wp14:anchorId="146FF482" wp14:editId="3280FCB4">
            <wp:extent cx="5991225" cy="3807041"/>
            <wp:effectExtent l="0" t="0" r="0" b="3175"/>
            <wp:docPr id="2039203903" name="Picture 10" descr="A white door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03903" name="Picture 10" descr="A white door with a black border&#10;&#10;Description automatically generated"/>
                    <pic:cNvPicPr/>
                  </pic:nvPicPr>
                  <pic:blipFill rotWithShape="1">
                    <a:blip r:embed="rId63">
                      <a:extLst>
                        <a:ext uri="{28A0092B-C50C-407E-A947-70E740481C1C}">
                          <a14:useLocalDpi xmlns:a14="http://schemas.microsoft.com/office/drawing/2010/main" val="0"/>
                        </a:ext>
                      </a:extLst>
                    </a:blip>
                    <a:srcRect l="9455" t="15635" r="12670" b="47226"/>
                    <a:stretch/>
                  </pic:blipFill>
                  <pic:spPr bwMode="auto">
                    <a:xfrm>
                      <a:off x="0" y="0"/>
                      <a:ext cx="6016178" cy="3822897"/>
                    </a:xfrm>
                    <a:prstGeom prst="rect">
                      <a:avLst/>
                    </a:prstGeom>
                    <a:ln>
                      <a:noFill/>
                    </a:ln>
                    <a:extLst>
                      <a:ext uri="{53640926-AAD7-44D8-BBD7-CCE9431645EC}">
                        <a14:shadowObscured xmlns:a14="http://schemas.microsoft.com/office/drawing/2010/main"/>
                      </a:ext>
                    </a:extLst>
                  </pic:spPr>
                </pic:pic>
              </a:graphicData>
            </a:graphic>
          </wp:inline>
        </w:drawing>
      </w:r>
    </w:p>
    <w:p w14:paraId="449C09DA" w14:textId="450C1DD1" w:rsidR="00086903" w:rsidRDefault="0037354F" w:rsidP="00086903">
      <w:pPr>
        <w:jc w:val="center"/>
      </w:pPr>
      <w:r w:rsidRPr="0086114D">
        <w:t xml:space="preserve">Figure </w:t>
      </w:r>
      <w:r w:rsidRPr="0037354F">
        <w:t>49</w:t>
      </w:r>
      <w:r w:rsidRPr="0086114D">
        <w:t xml:space="preserve"> </w:t>
      </w:r>
      <w:r>
        <w:t>–</w:t>
      </w:r>
      <w:r w:rsidRPr="0086114D">
        <w:t xml:space="preserve"> </w:t>
      </w:r>
      <w:r>
        <w:t xml:space="preserve">Inscribed lintel at </w:t>
      </w:r>
      <w:r w:rsidRPr="0086114D">
        <w:t xml:space="preserve">New Capernwray Farmhouse, Capernwray, </w:t>
      </w:r>
      <w:r>
        <w:t>within Bolton-le-Sands parish</w:t>
      </w:r>
      <w:r w:rsidRPr="0086114D">
        <w:t xml:space="preserve">. </w:t>
      </w:r>
      <w:r w:rsidR="00086903">
        <w:t>The z</w:t>
      </w:r>
      <w:r w:rsidRPr="0086114D">
        <w:t xml:space="preserve">odiac sign for Cancer </w:t>
      </w:r>
      <w:r w:rsidR="00086903">
        <w:t xml:space="preserve">is </w:t>
      </w:r>
      <w:r w:rsidRPr="0086114D">
        <w:t xml:space="preserve">visible </w:t>
      </w:r>
      <w:r w:rsidR="00086903">
        <w:t xml:space="preserve">in the </w:t>
      </w:r>
      <w:r w:rsidR="00BB6A22">
        <w:t>centre of the numerals (reading 1697) positioned beneath</w:t>
      </w:r>
      <w:r w:rsidRPr="0086114D">
        <w:t xml:space="preserve"> the initials of Thomas and Eling Greenwood.</w:t>
      </w:r>
      <w:r>
        <w:t xml:space="preserve"> </w:t>
      </w:r>
    </w:p>
    <w:p w14:paraId="02732DE1" w14:textId="196B4E00" w:rsidR="0037354F" w:rsidRDefault="0037354F" w:rsidP="00086903">
      <w:pPr>
        <w:jc w:val="center"/>
        <w:rPr>
          <w:b/>
          <w:bCs/>
        </w:rPr>
      </w:pPr>
      <w:r>
        <w:t>(Image author’s own)</w:t>
      </w:r>
    </w:p>
    <w:p w14:paraId="17B3B635" w14:textId="77777777" w:rsidR="0037354F" w:rsidRDefault="0037354F" w:rsidP="00BB6A22">
      <w:pPr>
        <w:jc w:val="center"/>
        <w:rPr>
          <w:b/>
          <w:bCs/>
        </w:rPr>
      </w:pPr>
      <w:r>
        <w:br w:type="page"/>
      </w:r>
    </w:p>
    <w:p w14:paraId="5DD05070" w14:textId="417AEAD8" w:rsidR="00E662F3" w:rsidRDefault="00BB6A22" w:rsidP="00BB6A22">
      <w:pPr>
        <w:jc w:val="center"/>
        <w:rPr>
          <w:b/>
          <w:bCs/>
        </w:rPr>
      </w:pPr>
      <w:r>
        <w:rPr>
          <w:b/>
          <w:bCs/>
          <w:noProof/>
        </w:rPr>
        <w:lastRenderedPageBreak/>
        <mc:AlternateContent>
          <mc:Choice Requires="wpg">
            <w:drawing>
              <wp:anchor distT="0" distB="0" distL="114300" distR="114300" simplePos="0" relativeHeight="251710464" behindDoc="0" locked="0" layoutInCell="1" allowOverlap="1" wp14:anchorId="3D51B441" wp14:editId="2B48130E">
                <wp:simplePos x="0" y="0"/>
                <wp:positionH relativeFrom="margin">
                  <wp:align>left</wp:align>
                </wp:positionH>
                <wp:positionV relativeFrom="paragraph">
                  <wp:posOffset>38735</wp:posOffset>
                </wp:positionV>
                <wp:extent cx="6038850" cy="5095875"/>
                <wp:effectExtent l="0" t="0" r="0" b="9525"/>
                <wp:wrapNone/>
                <wp:docPr id="1508568676" name="Group 19"/>
                <wp:cNvGraphicFramePr/>
                <a:graphic xmlns:a="http://schemas.openxmlformats.org/drawingml/2006/main">
                  <a:graphicData uri="http://schemas.microsoft.com/office/word/2010/wordprocessingGroup">
                    <wpg:wgp>
                      <wpg:cNvGrpSpPr/>
                      <wpg:grpSpPr>
                        <a:xfrm>
                          <a:off x="0" y="0"/>
                          <a:ext cx="6038850" cy="5095875"/>
                          <a:chOff x="0" y="0"/>
                          <a:chExt cx="5731510" cy="4967605"/>
                        </a:xfrm>
                      </wpg:grpSpPr>
                      <pic:pic xmlns:pic="http://schemas.openxmlformats.org/drawingml/2006/picture">
                        <pic:nvPicPr>
                          <pic:cNvPr id="1840647740" name="Picture 17" descr="A diagram of a square with numbers and a square in the center&#10;&#10;Description automatically generated"/>
                          <pic:cNvPicPr>
                            <a:picLocks noChangeAspect="1"/>
                          </pic:cNvPicPr>
                        </pic:nvPicPr>
                        <pic:blipFill>
                          <a:blip r:embed="rId64">
                            <a:extLst>
                              <a:ext uri="{28A0092B-C50C-407E-A947-70E740481C1C}">
                                <a14:useLocalDpi xmlns:a14="http://schemas.microsoft.com/office/drawing/2010/main" val="0"/>
                              </a:ext>
                            </a:extLst>
                          </a:blip>
                          <a:stretch>
                            <a:fillRect/>
                          </a:stretch>
                        </pic:blipFill>
                        <pic:spPr>
                          <a:xfrm>
                            <a:off x="0" y="0"/>
                            <a:ext cx="5731510" cy="4967605"/>
                          </a:xfrm>
                          <a:prstGeom prst="rect">
                            <a:avLst/>
                          </a:prstGeom>
                        </pic:spPr>
                      </pic:pic>
                      <wps:wsp>
                        <wps:cNvPr id="784533829" name="Oval 18"/>
                        <wps:cNvSpPr/>
                        <wps:spPr>
                          <a:xfrm>
                            <a:off x="4514850" y="2330450"/>
                            <a:ext cx="404283" cy="446617"/>
                          </a:xfrm>
                          <a:prstGeom prst="ellipse">
                            <a:avLst/>
                          </a:prstGeom>
                          <a:noFill/>
                          <a:ln w="571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71591E1">
              <v:group id="Group 19" style="position:absolute;margin-left:0;margin-top:3.05pt;width:475.5pt;height:401.25pt;z-index:251710464;mso-position-horizontal:left;mso-position-horizontal-relative:margin;mso-width-relative:margin;mso-height-relative:margin" coordsize="57315,49676" o:spid="_x0000_s1026" w14:anchorId="396679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7" style="position:absolute;width:57315;height:49676;visibility:visible;mso-wrap-style:square" alt="A diagram of a square with numbers and a square in the center&#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">
                  <v:imagedata o:title="A diagram of a square with numbers and a square in the center&#10;&#10;Description automatically generated" r:id="rId65"/>
                </v:shape>
                <v:oval id="Oval 18" style="position:absolute;left:45148;top:23304;width:4043;height:4466;visibility:visible;mso-wrap-style:square;v-text-anchor:middle" o:spid="_x0000_s1028" filled="f" strokecolor="#e97132 [3205]" strokeweight="4.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">
                  <v:stroke joinstyle="miter"/>
                </v:oval>
                <w10:wrap anchorx="margin"/>
              </v:group>
            </w:pict>
          </mc:Fallback>
        </mc:AlternateContent>
      </w:r>
    </w:p>
    <w:p w14:paraId="1BAACCAE" w14:textId="1D46D58B" w:rsidR="00E662F3" w:rsidRDefault="00E662F3" w:rsidP="00BB6A22">
      <w:pPr>
        <w:jc w:val="center"/>
        <w:rPr>
          <w:b/>
          <w:bCs/>
        </w:rPr>
      </w:pPr>
    </w:p>
    <w:p w14:paraId="027AE996" w14:textId="77777777" w:rsidR="00E662F3" w:rsidRDefault="00E662F3" w:rsidP="00BB6A22">
      <w:pPr>
        <w:jc w:val="center"/>
        <w:rPr>
          <w:b/>
          <w:bCs/>
        </w:rPr>
      </w:pPr>
    </w:p>
    <w:p w14:paraId="405FBFB6" w14:textId="77777777" w:rsidR="00E662F3" w:rsidRDefault="00E662F3" w:rsidP="00BB6A22">
      <w:pPr>
        <w:jc w:val="center"/>
        <w:rPr>
          <w:b/>
          <w:bCs/>
        </w:rPr>
      </w:pPr>
    </w:p>
    <w:p w14:paraId="344A8701" w14:textId="77777777" w:rsidR="00E662F3" w:rsidRDefault="00E662F3" w:rsidP="00BB6A22">
      <w:pPr>
        <w:jc w:val="center"/>
        <w:rPr>
          <w:b/>
          <w:bCs/>
        </w:rPr>
      </w:pPr>
    </w:p>
    <w:p w14:paraId="2A2A12B2" w14:textId="77777777" w:rsidR="00E662F3" w:rsidRDefault="00E662F3" w:rsidP="00BB6A22">
      <w:pPr>
        <w:jc w:val="center"/>
        <w:rPr>
          <w:b/>
          <w:bCs/>
        </w:rPr>
      </w:pPr>
    </w:p>
    <w:p w14:paraId="2B1C0EA2" w14:textId="77777777" w:rsidR="00E662F3" w:rsidRDefault="00E662F3" w:rsidP="00BB6A22">
      <w:pPr>
        <w:jc w:val="center"/>
        <w:rPr>
          <w:b/>
          <w:bCs/>
        </w:rPr>
      </w:pPr>
    </w:p>
    <w:p w14:paraId="6E6A19C4" w14:textId="77777777" w:rsidR="00E662F3" w:rsidRDefault="00E662F3" w:rsidP="00BB6A22">
      <w:pPr>
        <w:jc w:val="center"/>
        <w:rPr>
          <w:b/>
          <w:bCs/>
        </w:rPr>
      </w:pPr>
    </w:p>
    <w:p w14:paraId="776B67E4" w14:textId="77777777" w:rsidR="00E662F3" w:rsidRDefault="00E662F3" w:rsidP="00BB6A22">
      <w:pPr>
        <w:jc w:val="center"/>
        <w:rPr>
          <w:b/>
          <w:bCs/>
        </w:rPr>
      </w:pPr>
    </w:p>
    <w:p w14:paraId="6E7D810C" w14:textId="77777777" w:rsidR="00E662F3" w:rsidRDefault="00E662F3" w:rsidP="00BB6A22">
      <w:pPr>
        <w:jc w:val="center"/>
        <w:rPr>
          <w:b/>
          <w:bCs/>
        </w:rPr>
      </w:pPr>
    </w:p>
    <w:p w14:paraId="5FCCA6DD" w14:textId="77777777" w:rsidR="00E662F3" w:rsidRDefault="00E662F3" w:rsidP="00BB6A22">
      <w:pPr>
        <w:jc w:val="center"/>
        <w:rPr>
          <w:b/>
          <w:bCs/>
        </w:rPr>
      </w:pPr>
    </w:p>
    <w:p w14:paraId="7740FABD" w14:textId="77777777" w:rsidR="00E662F3" w:rsidRDefault="00E662F3" w:rsidP="00BB6A22">
      <w:pPr>
        <w:jc w:val="center"/>
        <w:rPr>
          <w:b/>
          <w:bCs/>
        </w:rPr>
      </w:pPr>
    </w:p>
    <w:p w14:paraId="2099CDBF" w14:textId="77777777" w:rsidR="00BB6A22" w:rsidRDefault="00BB6A22" w:rsidP="00BB6A22">
      <w:pPr>
        <w:jc w:val="center"/>
        <w:rPr>
          <w:b/>
          <w:bCs/>
        </w:rPr>
      </w:pPr>
    </w:p>
    <w:p w14:paraId="37EFBB7C" w14:textId="77777777" w:rsidR="00BB6A22" w:rsidRDefault="00BB6A22" w:rsidP="00BB6A22">
      <w:pPr>
        <w:jc w:val="center"/>
        <w:rPr>
          <w:b/>
          <w:bCs/>
        </w:rPr>
      </w:pPr>
    </w:p>
    <w:p w14:paraId="0E8F8F9F" w14:textId="77777777" w:rsidR="00BB6A22" w:rsidRDefault="00BB6A22" w:rsidP="00BB6A22">
      <w:pPr>
        <w:jc w:val="center"/>
        <w:rPr>
          <w:b/>
          <w:bCs/>
        </w:rPr>
      </w:pPr>
    </w:p>
    <w:p w14:paraId="003F185F" w14:textId="77777777" w:rsidR="00BB6A22" w:rsidRDefault="00BB6A22" w:rsidP="00BB6A22">
      <w:pPr>
        <w:jc w:val="center"/>
        <w:rPr>
          <w:b/>
          <w:bCs/>
        </w:rPr>
      </w:pPr>
    </w:p>
    <w:p w14:paraId="23E7ED5E" w14:textId="77777777" w:rsidR="00BB6A22" w:rsidRDefault="00BB6A22" w:rsidP="00BB6A22">
      <w:pPr>
        <w:jc w:val="center"/>
        <w:rPr>
          <w:b/>
          <w:bCs/>
        </w:rPr>
      </w:pPr>
    </w:p>
    <w:p w14:paraId="12E02E02" w14:textId="77777777" w:rsidR="00E662F3" w:rsidRDefault="00E662F3" w:rsidP="00BB6A22">
      <w:pPr>
        <w:jc w:val="center"/>
        <w:rPr>
          <w:b/>
          <w:bCs/>
        </w:rPr>
      </w:pPr>
      <w:r w:rsidRPr="00E662F3">
        <w:t>Figure 50</w:t>
      </w:r>
      <w:r>
        <w:t xml:space="preserve"> – Contemporary styling of astrological symbol for cancer, highlighted within an illustration from Joseph Moxon, </w:t>
      </w:r>
      <w:r w:rsidRPr="009A3375">
        <w:rPr>
          <w:i/>
          <w:iCs/>
        </w:rPr>
        <w:t>A tutor to astronomy and geography</w:t>
      </w:r>
      <w:r>
        <w:rPr>
          <w:i/>
          <w:iCs/>
        </w:rPr>
        <w:t xml:space="preserve">, </w:t>
      </w:r>
      <w:r>
        <w:t>(London, 1698), p.127</w:t>
      </w:r>
    </w:p>
    <w:p w14:paraId="21DBD221" w14:textId="6461BBD6" w:rsidR="00585958" w:rsidRDefault="00585958" w:rsidP="00585958"/>
    <w:p w14:paraId="556F1BB6" w14:textId="77777777" w:rsidR="00516823" w:rsidRDefault="00516823" w:rsidP="00516823">
      <w:pPr>
        <w:rPr>
          <w:b/>
          <w:bCs/>
        </w:rPr>
      </w:pPr>
    </w:p>
    <w:p w14:paraId="5FE23D16" w14:textId="77777777" w:rsidR="00A4068F" w:rsidRPr="00F55FD0" w:rsidRDefault="00A4068F" w:rsidP="00A4068F">
      <w:pPr>
        <w:rPr>
          <w:b/>
          <w:bCs/>
          <w:noProof/>
        </w:rPr>
      </w:pPr>
    </w:p>
    <w:p w14:paraId="7F070108" w14:textId="77777777" w:rsidR="000959C9" w:rsidRPr="002D5C0B" w:rsidRDefault="000959C9" w:rsidP="000959C9">
      <w:pPr>
        <w:rPr>
          <w:b/>
          <w:bCs/>
        </w:rPr>
      </w:pPr>
    </w:p>
    <w:p w14:paraId="2E324B79" w14:textId="77777777" w:rsidR="00D70261" w:rsidRDefault="00D70261" w:rsidP="00D70261">
      <w:pPr>
        <w:rPr>
          <w:b/>
          <w:bCs/>
        </w:rPr>
      </w:pPr>
    </w:p>
    <w:p w14:paraId="2CFC9675" w14:textId="06EB3D14" w:rsidR="008E4433" w:rsidRDefault="00440C51" w:rsidP="00203E23">
      <w:pPr>
        <w:jc w:val="center"/>
        <w:rPr>
          <w:b/>
          <w:bCs/>
        </w:rPr>
      </w:pPr>
      <w:r>
        <w:br w:type="column"/>
      </w:r>
      <w:r w:rsidR="008E4433">
        <w:rPr>
          <w:b/>
          <w:bCs/>
          <w:noProof/>
        </w:rPr>
        <w:lastRenderedPageBreak/>
        <w:drawing>
          <wp:inline distT="0" distB="0" distL="0" distR="0" wp14:anchorId="2C64A1E7" wp14:editId="2BA3E9BE">
            <wp:extent cx="5731510" cy="4303395"/>
            <wp:effectExtent l="0" t="0" r="2540" b="1905"/>
            <wp:docPr id="337947964" name="Picture 20" descr="A stone carved doorway with a white doo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47964" name="Picture 20" descr="A stone carved doorway with a white door&#10;&#10;Description automatically generated with medium confidence"/>
                    <pic:cNvPicPr/>
                  </pic:nvPicPr>
                  <pic:blipFill>
                    <a:blip r:embed="rId66">
                      <a:extLst>
                        <a:ext uri="{28A0092B-C50C-407E-A947-70E740481C1C}">
                          <a14:useLocalDpi xmlns:a14="http://schemas.microsoft.com/office/drawing/2010/main" val="0"/>
                        </a:ext>
                      </a:extLst>
                    </a:blip>
                    <a:stretch>
                      <a:fillRect/>
                    </a:stretch>
                  </pic:blipFill>
                  <pic:spPr>
                    <a:xfrm>
                      <a:off x="0" y="0"/>
                      <a:ext cx="5731510" cy="4303395"/>
                    </a:xfrm>
                    <a:prstGeom prst="rect">
                      <a:avLst/>
                    </a:prstGeom>
                  </pic:spPr>
                </pic:pic>
              </a:graphicData>
            </a:graphic>
          </wp:inline>
        </w:drawing>
      </w:r>
    </w:p>
    <w:p w14:paraId="569A8B7C" w14:textId="2A9D4157" w:rsidR="00203E23" w:rsidRDefault="008E4433" w:rsidP="00203E23">
      <w:pPr>
        <w:jc w:val="center"/>
      </w:pPr>
      <w:r w:rsidRPr="008E4433">
        <w:t>Figure 51</w:t>
      </w:r>
      <w:r>
        <w:t xml:space="preserve"> – Inscribed lintel at Hawkshead Farmhouse, Bolton-le-Sands</w:t>
      </w:r>
      <w:r w:rsidR="00203E23">
        <w:t xml:space="preserve"> village with </w:t>
      </w:r>
      <w:r w:rsidR="00884C1D">
        <w:t>cross styling visible on first numeral</w:t>
      </w:r>
      <w:r>
        <w:t>.</w:t>
      </w:r>
    </w:p>
    <w:p w14:paraId="7124DF11" w14:textId="01E5FFF3" w:rsidR="008E4433" w:rsidRDefault="008E4433" w:rsidP="00203E23">
      <w:pPr>
        <w:jc w:val="center"/>
      </w:pPr>
      <w:r>
        <w:t>(Image author’s own)</w:t>
      </w:r>
    </w:p>
    <w:p w14:paraId="1C46AB04" w14:textId="77777777" w:rsidR="008E4433" w:rsidRDefault="008E4433">
      <w:pPr>
        <w:spacing w:after="0" w:line="240" w:lineRule="auto"/>
      </w:pPr>
      <w:r>
        <w:br w:type="page"/>
      </w:r>
    </w:p>
    <w:p w14:paraId="16D3C67F" w14:textId="77777777" w:rsidR="00CA1826" w:rsidRDefault="00CA1826" w:rsidP="00884C1D">
      <w:pPr>
        <w:jc w:val="center"/>
      </w:pPr>
      <w:r>
        <w:rPr>
          <w:noProof/>
        </w:rPr>
        <w:lastRenderedPageBreak/>
        <w:drawing>
          <wp:inline distT="0" distB="0" distL="0" distR="0" wp14:anchorId="2C2C4ED6" wp14:editId="3AD93392">
            <wp:extent cx="5802270" cy="4555067"/>
            <wp:effectExtent l="0" t="0" r="8255" b="0"/>
            <wp:docPr id="1421606207" name="Picture 21" descr="A door with a glass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606207" name="Picture 21" descr="A door with a glass panel&#10;&#10;Description automatically generated"/>
                    <pic:cNvPicPr/>
                  </pic:nvPicPr>
                  <pic:blipFill rotWithShape="1">
                    <a:blip r:embed="rId67" cstate="print">
                      <a:extLst>
                        <a:ext uri="{28A0092B-C50C-407E-A947-70E740481C1C}">
                          <a14:useLocalDpi xmlns:a14="http://schemas.microsoft.com/office/drawing/2010/main" val="0"/>
                        </a:ext>
                      </a:extLst>
                    </a:blip>
                    <a:srcRect t="1773" r="436" b="39607"/>
                    <a:stretch/>
                  </pic:blipFill>
                  <pic:spPr bwMode="auto">
                    <a:xfrm>
                      <a:off x="0" y="0"/>
                      <a:ext cx="5814613" cy="4564757"/>
                    </a:xfrm>
                    <a:prstGeom prst="rect">
                      <a:avLst/>
                    </a:prstGeom>
                    <a:ln>
                      <a:noFill/>
                    </a:ln>
                    <a:extLst>
                      <a:ext uri="{53640926-AAD7-44D8-BBD7-CCE9431645EC}">
                        <a14:shadowObscured xmlns:a14="http://schemas.microsoft.com/office/drawing/2010/main"/>
                      </a:ext>
                    </a:extLst>
                  </pic:spPr>
                </pic:pic>
              </a:graphicData>
            </a:graphic>
          </wp:inline>
        </w:drawing>
      </w:r>
    </w:p>
    <w:p w14:paraId="4968ED74" w14:textId="77777777" w:rsidR="00884C1D" w:rsidRDefault="00CA1826" w:rsidP="00884C1D">
      <w:pPr>
        <w:jc w:val="center"/>
      </w:pPr>
      <w:r>
        <w:t xml:space="preserve">Figure </w:t>
      </w:r>
      <w:r w:rsidRPr="00CA1826">
        <w:t>52</w:t>
      </w:r>
      <w:r>
        <w:t xml:space="preserve"> – Inscribed lintel at Hall Farmhouse, Over Kellet, within Bolton-le-Sands parish. </w:t>
      </w:r>
      <w:r w:rsidR="00884C1D">
        <w:t>Cross styling visible in first numeral, as in Figure 51.</w:t>
      </w:r>
    </w:p>
    <w:p w14:paraId="5572B23A" w14:textId="57A0A864" w:rsidR="00CA1826" w:rsidRDefault="00CA1826" w:rsidP="00884C1D">
      <w:pPr>
        <w:jc w:val="center"/>
      </w:pPr>
      <w:r w:rsidRPr="00AB4CF5">
        <w:t>(Image author’s own)</w:t>
      </w:r>
    </w:p>
    <w:p w14:paraId="0753C5E8" w14:textId="77777777" w:rsidR="00CA1826" w:rsidRDefault="00CA1826">
      <w:pPr>
        <w:spacing w:after="0" w:line="240" w:lineRule="auto"/>
      </w:pPr>
      <w:r>
        <w:br w:type="page"/>
      </w:r>
    </w:p>
    <w:p w14:paraId="7EF2884E" w14:textId="77777777" w:rsidR="004944E0" w:rsidRDefault="004944E0" w:rsidP="00884C1D">
      <w:pPr>
        <w:jc w:val="center"/>
      </w:pPr>
      <w:r>
        <w:rPr>
          <w:noProof/>
        </w:rPr>
        <w:lastRenderedPageBreak/>
        <w:drawing>
          <wp:inline distT="0" distB="0" distL="0" distR="0" wp14:anchorId="50E2EE4F" wp14:editId="2CDD2F02">
            <wp:extent cx="5960533" cy="4124936"/>
            <wp:effectExtent l="0" t="0" r="2540" b="9525"/>
            <wp:docPr id="854160997" name="Picture 4" descr="A stone archway with carve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60997" name="Picture 4" descr="A stone archway with carved letters&#10;&#10;Description automatically generated"/>
                    <pic:cNvPicPr/>
                  </pic:nvPicPr>
                  <pic:blipFill rotWithShape="1">
                    <a:blip r:embed="rId68">
                      <a:extLst>
                        <a:ext uri="{28A0092B-C50C-407E-A947-70E740481C1C}">
                          <a14:useLocalDpi xmlns:a14="http://schemas.microsoft.com/office/drawing/2010/main" val="0"/>
                        </a:ext>
                      </a:extLst>
                    </a:blip>
                    <a:srcRect l="3398" t="3149" r="26139" b="10209"/>
                    <a:stretch/>
                  </pic:blipFill>
                  <pic:spPr bwMode="auto">
                    <a:xfrm>
                      <a:off x="0" y="0"/>
                      <a:ext cx="5980244" cy="4138577"/>
                    </a:xfrm>
                    <a:prstGeom prst="rect">
                      <a:avLst/>
                    </a:prstGeom>
                    <a:ln>
                      <a:noFill/>
                    </a:ln>
                    <a:extLst>
                      <a:ext uri="{53640926-AAD7-44D8-BBD7-CCE9431645EC}">
                        <a14:shadowObscured xmlns:a14="http://schemas.microsoft.com/office/drawing/2010/main"/>
                      </a:ext>
                    </a:extLst>
                  </pic:spPr>
                </pic:pic>
              </a:graphicData>
            </a:graphic>
          </wp:inline>
        </w:drawing>
      </w:r>
    </w:p>
    <w:p w14:paraId="5E621D54" w14:textId="6F4CA6F8" w:rsidR="00884C1D" w:rsidRDefault="004944E0" w:rsidP="00884C1D">
      <w:pPr>
        <w:jc w:val="center"/>
      </w:pPr>
      <w:r w:rsidRPr="00046121">
        <w:t xml:space="preserve">Figure </w:t>
      </w:r>
      <w:r w:rsidRPr="004944E0">
        <w:t>53</w:t>
      </w:r>
      <w:r>
        <w:t xml:space="preserve"> – Inscription placed by Thomas Greenwood at Old Edge near Heptonstall, West Yorkshire. </w:t>
      </w:r>
      <w:r w:rsidR="00884C1D">
        <w:t>Inscription reads ‘PEACE BE WITHIN THY GATE</w:t>
      </w:r>
      <w:r w:rsidR="006562A5">
        <w:t>S’ with the initials ‘T G’ and date ‘1576’ beneath.</w:t>
      </w:r>
    </w:p>
    <w:p w14:paraId="20EA2AB9" w14:textId="596A4EE9" w:rsidR="00832819" w:rsidRDefault="004944E0" w:rsidP="00884C1D">
      <w:pPr>
        <w:jc w:val="center"/>
      </w:pPr>
      <w:r>
        <w:t xml:space="preserve">(Image by David John </w:t>
      </w:r>
      <w:proofErr w:type="gramStart"/>
      <w:r>
        <w:t>Cant</w:t>
      </w:r>
      <w:proofErr w:type="gramEnd"/>
      <w:r>
        <w:t xml:space="preserve"> (@DavidJohnCant)</w:t>
      </w:r>
      <w:r>
        <w:rPr>
          <w:b/>
          <w:bCs/>
        </w:rPr>
        <w:t>,</w:t>
      </w:r>
      <w:r>
        <w:t xml:space="preserve"> ‘The good people of Halifax were prolific date stone producers. Here, with an amended and possibly intended nod to Psalm 122, one of 1676 for Thomas Greenwood of Old Edge, near Heptonstall.’ [tweet], (9:16am, July 4</w:t>
      </w:r>
      <w:proofErr w:type="gramStart"/>
      <w:r>
        <w:t xml:space="preserve"> 2020</w:t>
      </w:r>
      <w:proofErr w:type="gramEnd"/>
      <w:r>
        <w:t>) [</w:t>
      </w:r>
      <w:r w:rsidRPr="0045316D">
        <w:t>https://x.com/DavidJohnCant/status/1279328151848529920/photo/1</w:t>
      </w:r>
      <w:r>
        <w:t>; accessed 18 December 2020])</w:t>
      </w:r>
    </w:p>
    <w:p w14:paraId="602BF2BF" w14:textId="77777777" w:rsidR="00832819" w:rsidRDefault="00832819">
      <w:pPr>
        <w:spacing w:after="0" w:line="240" w:lineRule="auto"/>
      </w:pPr>
      <w:r>
        <w:br w:type="page"/>
      </w:r>
    </w:p>
    <w:p w14:paraId="110C6E9E" w14:textId="77777777" w:rsidR="00832819" w:rsidRDefault="00832819" w:rsidP="006562A5">
      <w:pPr>
        <w:jc w:val="center"/>
        <w:rPr>
          <w:b/>
          <w:bCs/>
        </w:rPr>
      </w:pPr>
      <w:r>
        <w:rPr>
          <w:b/>
          <w:bCs/>
          <w:noProof/>
        </w:rPr>
        <w:lastRenderedPageBreak/>
        <w:drawing>
          <wp:inline distT="0" distB="0" distL="0" distR="0" wp14:anchorId="01E526CC" wp14:editId="4F0E1A8E">
            <wp:extent cx="5731279" cy="3894667"/>
            <wp:effectExtent l="0" t="0" r="3175" b="0"/>
            <wp:docPr id="1094074827" name="Picture 23" descr="A stone plaque in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074827" name="Picture 23" descr="A stone plaque in a brick wall&#10;&#10;Description automatically generated"/>
                    <pic:cNvPicPr/>
                  </pic:nvPicPr>
                  <pic:blipFill rotWithShape="1">
                    <a:blip r:embed="rId69" cstate="print">
                      <a:extLst>
                        <a:ext uri="{28A0092B-C50C-407E-A947-70E740481C1C}">
                          <a14:useLocalDpi xmlns:a14="http://schemas.microsoft.com/office/drawing/2010/main" val="0"/>
                        </a:ext>
                      </a:extLst>
                    </a:blip>
                    <a:srcRect t="31132" b="17903"/>
                    <a:stretch/>
                  </pic:blipFill>
                  <pic:spPr bwMode="auto">
                    <a:xfrm>
                      <a:off x="0" y="0"/>
                      <a:ext cx="5731510" cy="3894824"/>
                    </a:xfrm>
                    <a:prstGeom prst="rect">
                      <a:avLst/>
                    </a:prstGeom>
                    <a:ln>
                      <a:noFill/>
                    </a:ln>
                    <a:extLst>
                      <a:ext uri="{53640926-AAD7-44D8-BBD7-CCE9431645EC}">
                        <a14:shadowObscured xmlns:a14="http://schemas.microsoft.com/office/drawing/2010/main"/>
                      </a:ext>
                    </a:extLst>
                  </pic:spPr>
                </pic:pic>
              </a:graphicData>
            </a:graphic>
          </wp:inline>
        </w:drawing>
      </w:r>
    </w:p>
    <w:p w14:paraId="7E36112F" w14:textId="77777777" w:rsidR="006562A5" w:rsidRDefault="006562A5" w:rsidP="006562A5">
      <w:pPr>
        <w:jc w:val="center"/>
      </w:pPr>
    </w:p>
    <w:p w14:paraId="41865627" w14:textId="59A3DBDA" w:rsidR="006562A5" w:rsidRDefault="00832819" w:rsidP="006562A5">
      <w:pPr>
        <w:jc w:val="center"/>
      </w:pPr>
      <w:r>
        <w:t>Figure</w:t>
      </w:r>
      <w:r w:rsidRPr="00832819">
        <w:t xml:space="preserve"> 54</w:t>
      </w:r>
      <w:r>
        <w:t xml:space="preserve"> – Datestone at the threshold of </w:t>
      </w:r>
      <w:proofErr w:type="gramStart"/>
      <w:r>
        <w:t>Old World</w:t>
      </w:r>
      <w:proofErr w:type="gramEnd"/>
      <w:r>
        <w:t xml:space="preserve"> Cottages, </w:t>
      </w:r>
      <w:proofErr w:type="spellStart"/>
      <w:r>
        <w:t>Rollesby</w:t>
      </w:r>
      <w:proofErr w:type="spellEnd"/>
      <w:r>
        <w:t xml:space="preserve">, Norfolk, reading ‘GOD BLESS US’ with the year 1583 and the initials TG and MG. </w:t>
      </w:r>
    </w:p>
    <w:p w14:paraId="66415F31" w14:textId="6AAE7333" w:rsidR="00832819" w:rsidRDefault="00832819" w:rsidP="006562A5">
      <w:pPr>
        <w:jc w:val="center"/>
      </w:pPr>
      <w:r>
        <w:t>(Image author’s own)</w:t>
      </w:r>
    </w:p>
    <w:p w14:paraId="06A1B764" w14:textId="77777777" w:rsidR="00832819" w:rsidRDefault="00832819">
      <w:pPr>
        <w:spacing w:after="0" w:line="240" w:lineRule="auto"/>
      </w:pPr>
      <w:r>
        <w:br w:type="page"/>
      </w:r>
    </w:p>
    <w:p w14:paraId="377A4007" w14:textId="77777777" w:rsidR="00EF7F23" w:rsidRDefault="00EF7F23" w:rsidP="006562A5">
      <w:pPr>
        <w:jc w:val="center"/>
      </w:pPr>
      <w:r>
        <w:rPr>
          <w:noProof/>
        </w:rPr>
        <w:lastRenderedPageBreak/>
        <w:drawing>
          <wp:inline distT="0" distB="0" distL="0" distR="0" wp14:anchorId="0D82E68E" wp14:editId="71D3957F">
            <wp:extent cx="5731510" cy="7636510"/>
            <wp:effectExtent l="0" t="0" r="2540" b="2540"/>
            <wp:docPr id="1839483257" name="Picture 11" descr="A stone sign on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83257" name="Picture 11" descr="A stone sign on a wall&#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5731510" cy="7636510"/>
                    </a:xfrm>
                    <a:prstGeom prst="rect">
                      <a:avLst/>
                    </a:prstGeom>
                  </pic:spPr>
                </pic:pic>
              </a:graphicData>
            </a:graphic>
          </wp:inline>
        </w:drawing>
      </w:r>
    </w:p>
    <w:p w14:paraId="1C583519" w14:textId="77777777" w:rsidR="006562A5" w:rsidRDefault="00EF7F23" w:rsidP="006562A5">
      <w:pPr>
        <w:jc w:val="center"/>
      </w:pPr>
      <w:r w:rsidRPr="000442E9">
        <w:t>Figure</w:t>
      </w:r>
      <w:r>
        <w:t xml:space="preserve"> </w:t>
      </w:r>
      <w:r w:rsidRPr="00EF7F23">
        <w:t>55</w:t>
      </w:r>
      <w:r w:rsidRPr="000442E9">
        <w:t xml:space="preserve"> </w:t>
      </w:r>
      <w:r>
        <w:t>–</w:t>
      </w:r>
      <w:r w:rsidRPr="000442E9">
        <w:t xml:space="preserve"> </w:t>
      </w:r>
      <w:r>
        <w:t>Initialled datestone</w:t>
      </w:r>
      <w:r w:rsidRPr="000442E9">
        <w:t xml:space="preserve"> at Drove Hey Farm, Sutton, </w:t>
      </w:r>
      <w:r>
        <w:t xml:space="preserve">within </w:t>
      </w:r>
      <w:r w:rsidRPr="000442E9">
        <w:t>Prestbury</w:t>
      </w:r>
      <w:r>
        <w:t xml:space="preserve"> parish</w:t>
      </w:r>
      <w:r w:rsidRPr="000442E9">
        <w:t xml:space="preserve">, </w:t>
      </w:r>
      <w:r>
        <w:t>featuring</w:t>
      </w:r>
      <w:r w:rsidRPr="000442E9">
        <w:t xml:space="preserve"> two ‘daisy wheel’ carvings. The initials likely belong to Thomas and Emme </w:t>
      </w:r>
      <w:proofErr w:type="spellStart"/>
      <w:r w:rsidRPr="000442E9">
        <w:t>Armett</w:t>
      </w:r>
      <w:proofErr w:type="spellEnd"/>
      <w:r w:rsidRPr="000442E9">
        <w:t>, married in Sutton on 19</w:t>
      </w:r>
      <w:r w:rsidRPr="000442E9">
        <w:rPr>
          <w:vertAlign w:val="superscript"/>
        </w:rPr>
        <w:t>th</w:t>
      </w:r>
      <w:r w:rsidRPr="000442E9">
        <w:t xml:space="preserve"> September 1687.</w:t>
      </w:r>
      <w:r>
        <w:t xml:space="preserve"> </w:t>
      </w:r>
    </w:p>
    <w:p w14:paraId="2EBCB030" w14:textId="7B3E33DA" w:rsidR="00EF7F23" w:rsidRDefault="00EF7F23" w:rsidP="006562A5">
      <w:pPr>
        <w:jc w:val="center"/>
        <w:sectPr w:rsidR="00EF7F23">
          <w:pgSz w:w="11906" w:h="16838"/>
          <w:pgMar w:top="1440" w:right="1440" w:bottom="1440" w:left="1440" w:header="720" w:footer="720" w:gutter="0"/>
          <w:cols w:space="720"/>
          <w:docGrid w:linePitch="360"/>
        </w:sectPr>
      </w:pPr>
      <w:r>
        <w:t>(Image author’s own)</w:t>
      </w:r>
    </w:p>
    <w:p w14:paraId="04F98DBF" w14:textId="7EF9C024" w:rsidR="00007C1F" w:rsidRDefault="00BE56F6" w:rsidP="006562A5">
      <w:pPr>
        <w:jc w:val="center"/>
      </w:pPr>
      <w:r>
        <w:rPr>
          <w:noProof/>
        </w:rPr>
        <w:lastRenderedPageBreak/>
        <mc:AlternateContent>
          <mc:Choice Requires="wps">
            <w:drawing>
              <wp:anchor distT="0" distB="0" distL="114300" distR="114300" simplePos="0" relativeHeight="251712512" behindDoc="0" locked="0" layoutInCell="1" allowOverlap="1" wp14:anchorId="6462868F" wp14:editId="1E8B51AC">
                <wp:simplePos x="0" y="0"/>
                <wp:positionH relativeFrom="column">
                  <wp:posOffset>5028656</wp:posOffset>
                </wp:positionH>
                <wp:positionV relativeFrom="paragraph">
                  <wp:posOffset>872490</wp:posOffset>
                </wp:positionV>
                <wp:extent cx="335280" cy="289560"/>
                <wp:effectExtent l="0" t="0" r="26670" b="15240"/>
                <wp:wrapNone/>
                <wp:docPr id="1026178152" name="Oval 9"/>
                <wp:cNvGraphicFramePr/>
                <a:graphic xmlns:a="http://schemas.openxmlformats.org/drawingml/2006/main">
                  <a:graphicData uri="http://schemas.microsoft.com/office/word/2010/wordprocessingShape">
                    <wps:wsp>
                      <wps:cNvSpPr/>
                      <wps:spPr>
                        <a:xfrm>
                          <a:off x="0" y="0"/>
                          <a:ext cx="335280" cy="28956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6F88BB0">
              <v:oval id="Oval 9" style="position:absolute;margin-left:395.95pt;margin-top:68.7pt;width:26.4pt;height:22.8pt;z-index:2517125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pt" w14:anchorId="45B923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">
                <v:stroke joinstyle="miter"/>
              </v:oval>
            </w:pict>
          </mc:Fallback>
        </mc:AlternateContent>
      </w:r>
      <w:r w:rsidR="00007C1F">
        <w:rPr>
          <w:noProof/>
        </w:rPr>
        <w:drawing>
          <wp:inline distT="0" distB="0" distL="0" distR="0" wp14:anchorId="707A1094" wp14:editId="64D760AF">
            <wp:extent cx="9105900" cy="2270927"/>
            <wp:effectExtent l="0" t="0" r="0" b="0"/>
            <wp:docPr id="900765489" name="Picture 1" descr="A building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65489" name="Picture 1" descr="A building with a roof&#10;&#10;Description automatically generated"/>
                    <pic:cNvPicPr/>
                  </pic:nvPicPr>
                  <pic:blipFill rotWithShape="1">
                    <a:blip r:embed="rId71">
                      <a:extLst>
                        <a:ext uri="{28A0092B-C50C-407E-A947-70E740481C1C}">
                          <a14:useLocalDpi xmlns:a14="http://schemas.microsoft.com/office/drawing/2010/main" val="0"/>
                        </a:ext>
                      </a:extLst>
                    </a:blip>
                    <a:srcRect l="6560" r="993"/>
                    <a:stretch/>
                  </pic:blipFill>
                  <pic:spPr bwMode="auto">
                    <a:xfrm>
                      <a:off x="0" y="0"/>
                      <a:ext cx="9285679" cy="2315762"/>
                    </a:xfrm>
                    <a:prstGeom prst="rect">
                      <a:avLst/>
                    </a:prstGeom>
                    <a:ln>
                      <a:noFill/>
                    </a:ln>
                    <a:extLst>
                      <a:ext uri="{53640926-AAD7-44D8-BBD7-CCE9431645EC}">
                        <a14:shadowObscured xmlns:a14="http://schemas.microsoft.com/office/drawing/2010/main"/>
                      </a:ext>
                    </a:extLst>
                  </pic:spPr>
                </pic:pic>
              </a:graphicData>
            </a:graphic>
          </wp:inline>
        </w:drawing>
      </w:r>
    </w:p>
    <w:p w14:paraId="19595ECA" w14:textId="77777777" w:rsidR="006562A5" w:rsidRDefault="00007C1F" w:rsidP="006562A5">
      <w:pPr>
        <w:jc w:val="center"/>
      </w:pPr>
      <w:r>
        <w:t xml:space="preserve">Figure </w:t>
      </w:r>
      <w:r w:rsidRPr="00BE56F6">
        <w:t xml:space="preserve">56 – Full façade of Drove Hey House, Sutton, within Prestbury parish, demonstrating the separate entrances for livestock and the family within the same building. Position of the inscription highlighted. </w:t>
      </w:r>
    </w:p>
    <w:p w14:paraId="74BF7861" w14:textId="44312E10" w:rsidR="00007C1F" w:rsidRDefault="00007C1F" w:rsidP="006562A5">
      <w:pPr>
        <w:jc w:val="center"/>
        <w:rPr>
          <w:b/>
          <w:bCs/>
        </w:rPr>
        <w:sectPr w:rsidR="00007C1F" w:rsidSect="00007C1F">
          <w:pgSz w:w="16838" w:h="11906" w:orient="landscape"/>
          <w:pgMar w:top="1440" w:right="1440" w:bottom="1440" w:left="1440" w:header="720" w:footer="720" w:gutter="0"/>
          <w:cols w:space="720"/>
          <w:docGrid w:linePitch="360"/>
        </w:sectPr>
      </w:pPr>
      <w:r w:rsidRPr="00BE56F6">
        <w:t>(</w:t>
      </w:r>
      <w:r>
        <w:t xml:space="preserve">Image </w:t>
      </w:r>
      <w:r w:rsidR="006562A5">
        <w:t>from</w:t>
      </w:r>
      <w:r>
        <w:t xml:space="preserve"> </w:t>
      </w:r>
      <w:r w:rsidRPr="006562A5">
        <w:rPr>
          <w:i/>
          <w:iCs/>
        </w:rPr>
        <w:t>Google Maps,</w:t>
      </w:r>
      <w:r>
        <w:t xml:space="preserve"> captured May 2021, [</w:t>
      </w:r>
      <w:r w:rsidRPr="007C4B8A">
        <w:t>https://www.google.com/maps/@53.2266234,-</w:t>
      </w:r>
      <w:r>
        <w:t xml:space="preserve"> </w:t>
      </w:r>
      <w:r w:rsidRPr="007C4B8A">
        <w:t>2.0778492,3a,75y,53.87h,90t/data=!3m7!1e1!3m5!1syPNRoMAeVuTnIIqPhOmjEw!2e0!6shttps:%2F%2Fstreetviewpixels-pa.googleapis.com%2Fv1%2Fthumbnail%3Fcb_client%3D</w:t>
      </w:r>
      <w:r>
        <w:t xml:space="preserve"> </w:t>
      </w:r>
      <w:r w:rsidRPr="007C4B8A">
        <w:t>maps_sv.tactile%26w%3D900%26h%3D600%26pitch%3D0%26panoid%3DyPNRoMAeVuTnIIqPhOmjEw%26yaw%3D53.865762343354625!7i16384!8i8192?entry=ttu&amp;g_ep=EgoyMDI0MTIxMS4wIKXMDSoASAFQAw%3D%3D</w:t>
      </w:r>
      <w:r>
        <w:t>; accessed 18 December 2024]</w:t>
      </w:r>
    </w:p>
    <w:p w14:paraId="7A15C41D" w14:textId="77777777" w:rsidR="002B364D" w:rsidRPr="002B364D" w:rsidRDefault="002B364D" w:rsidP="00A77ECC">
      <w:pPr>
        <w:jc w:val="center"/>
      </w:pPr>
      <w:r w:rsidRPr="002B364D">
        <w:rPr>
          <w:noProof/>
        </w:rPr>
        <w:lastRenderedPageBreak/>
        <w:drawing>
          <wp:inline distT="0" distB="0" distL="0" distR="0" wp14:anchorId="2DDACE9E" wp14:editId="78083D32">
            <wp:extent cx="5143500" cy="6853063"/>
            <wp:effectExtent l="0" t="0" r="0" b="5080"/>
            <wp:docPr id="507572754" name="Picture 1" descr="A stone wall with a square sig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72754" name="Picture 1" descr="A stone wall with a square sign on it&#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5160127" cy="6875216"/>
                    </a:xfrm>
                    <a:prstGeom prst="rect">
                      <a:avLst/>
                    </a:prstGeom>
                  </pic:spPr>
                </pic:pic>
              </a:graphicData>
            </a:graphic>
          </wp:inline>
        </w:drawing>
      </w:r>
    </w:p>
    <w:p w14:paraId="504EEF16" w14:textId="0E12AED8" w:rsidR="00A77ECC" w:rsidRDefault="002B364D" w:rsidP="00A77ECC">
      <w:pPr>
        <w:jc w:val="center"/>
      </w:pPr>
      <w:r w:rsidRPr="002B364D">
        <w:t>Figure 57</w:t>
      </w:r>
      <w:r w:rsidRPr="004F19A5">
        <w:t xml:space="preserve"> - </w:t>
      </w:r>
      <w:r>
        <w:t>Da</w:t>
      </w:r>
      <w:r w:rsidRPr="004F19A5">
        <w:t xml:space="preserve">testone on </w:t>
      </w:r>
      <w:r>
        <w:t>Greendale House,</w:t>
      </w:r>
      <w:r w:rsidRPr="004F19A5">
        <w:t xml:space="preserve"> Kettleshulme</w:t>
      </w:r>
      <w:r>
        <w:t xml:space="preserve">, within Prestbury parish. </w:t>
      </w:r>
      <w:r w:rsidR="00A77ECC">
        <w:t xml:space="preserve">Daisy wheel visible above initials </w:t>
      </w:r>
      <w:proofErr w:type="gramStart"/>
      <w:r w:rsidR="00A77ECC">
        <w:t>E :</w:t>
      </w:r>
      <w:proofErr w:type="gramEnd"/>
      <w:r w:rsidR="00A77ECC">
        <w:t xml:space="preserve"> S and date 1754.</w:t>
      </w:r>
    </w:p>
    <w:p w14:paraId="30119701" w14:textId="6F209708" w:rsidR="002B364D" w:rsidRPr="004F19A5" w:rsidRDefault="002B364D" w:rsidP="00A77ECC">
      <w:pPr>
        <w:jc w:val="center"/>
        <w:rPr>
          <w:b/>
          <w:bCs/>
        </w:rPr>
      </w:pPr>
      <w:r>
        <w:t>(Image author’s own)</w:t>
      </w:r>
    </w:p>
    <w:p w14:paraId="67F718E5" w14:textId="4352DC55" w:rsidR="00EF7F23" w:rsidRDefault="00EF7F23" w:rsidP="00EF7F23"/>
    <w:p w14:paraId="13B935D5" w14:textId="3B0AF744" w:rsidR="00EF7F23" w:rsidRPr="00EF7F23" w:rsidRDefault="00EF7F23" w:rsidP="00EF7F23">
      <w:pPr>
        <w:spacing w:after="0" w:line="240" w:lineRule="auto"/>
      </w:pPr>
      <w:r>
        <w:br w:type="page"/>
      </w:r>
    </w:p>
    <w:p w14:paraId="0A948C0C" w14:textId="77777777" w:rsidR="00CA1826" w:rsidRDefault="00CA1826" w:rsidP="00832819">
      <w:pPr>
        <w:rPr>
          <w:b/>
          <w:bCs/>
        </w:rPr>
      </w:pPr>
    </w:p>
    <w:p w14:paraId="5C068ADF" w14:textId="77777777" w:rsidR="00E2506E" w:rsidRDefault="00E2506E" w:rsidP="00A77ECC">
      <w:pPr>
        <w:jc w:val="center"/>
      </w:pPr>
      <w:r>
        <w:rPr>
          <w:noProof/>
        </w:rPr>
        <w:drawing>
          <wp:inline distT="0" distB="0" distL="0" distR="0" wp14:anchorId="65B9581D" wp14:editId="757380C7">
            <wp:extent cx="4467225" cy="5952012"/>
            <wp:effectExtent l="0" t="0" r="0" b="0"/>
            <wp:docPr id="1190768243" name="Picture 3" descr="A stone plaque on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768243" name="Picture 3" descr="A stone plaque on a wall&#10;&#10;Description automatically generated"/>
                    <pic:cNvPicPr/>
                  </pic:nvPicPr>
                  <pic:blipFill>
                    <a:blip r:embed="rId73">
                      <a:extLst>
                        <a:ext uri="{28A0092B-C50C-407E-A947-70E740481C1C}">
                          <a14:useLocalDpi xmlns:a14="http://schemas.microsoft.com/office/drawing/2010/main" val="0"/>
                        </a:ext>
                      </a:extLst>
                    </a:blip>
                    <a:stretch>
                      <a:fillRect/>
                    </a:stretch>
                  </pic:blipFill>
                  <pic:spPr>
                    <a:xfrm>
                      <a:off x="0" y="0"/>
                      <a:ext cx="4485653" cy="5976565"/>
                    </a:xfrm>
                    <a:prstGeom prst="rect">
                      <a:avLst/>
                    </a:prstGeom>
                  </pic:spPr>
                </pic:pic>
              </a:graphicData>
            </a:graphic>
          </wp:inline>
        </w:drawing>
      </w:r>
    </w:p>
    <w:p w14:paraId="4AE5800B" w14:textId="3A05E793" w:rsidR="00A77ECC" w:rsidRDefault="00E2506E" w:rsidP="00A77ECC">
      <w:pPr>
        <w:jc w:val="center"/>
      </w:pPr>
      <w:r w:rsidRPr="00E2506E">
        <w:t>Figure 58 –</w:t>
      </w:r>
      <w:r w:rsidRPr="00826B37">
        <w:t xml:space="preserve"> </w:t>
      </w:r>
      <w:r>
        <w:t>Datestone at t</w:t>
      </w:r>
      <w:r w:rsidRPr="00826B37">
        <w:t xml:space="preserve">he Malthouse, </w:t>
      </w:r>
      <w:r>
        <w:t>Slyne-with-Hest</w:t>
      </w:r>
      <w:r w:rsidRPr="00826B37">
        <w:t xml:space="preserve">, </w:t>
      </w:r>
      <w:r>
        <w:t>within Bolton-le-Sands parish</w:t>
      </w:r>
      <w:r w:rsidR="00A77ECC">
        <w:t>, featuring initials of Matthew and Anne Redhead.</w:t>
      </w:r>
    </w:p>
    <w:p w14:paraId="640D2249" w14:textId="69ED2D08" w:rsidR="008E4433" w:rsidRPr="009A3375" w:rsidRDefault="00E2506E" w:rsidP="00A77ECC">
      <w:pPr>
        <w:jc w:val="center"/>
        <w:rPr>
          <w:b/>
          <w:bCs/>
        </w:rPr>
      </w:pPr>
      <w:r>
        <w:t>(</w:t>
      </w:r>
      <w:r w:rsidR="00A77ECC">
        <w:t>I</w:t>
      </w:r>
      <w:r>
        <w:t>mage author’s own)</w:t>
      </w:r>
    </w:p>
    <w:p w14:paraId="37EC7753" w14:textId="2E8E83D7" w:rsidR="00812495" w:rsidRDefault="00812495" w:rsidP="00812495"/>
    <w:p w14:paraId="623E33B4" w14:textId="67AE030E" w:rsidR="00D95250" w:rsidRDefault="00D95250" w:rsidP="00D95250">
      <w:r>
        <w:br w:type="page"/>
      </w:r>
    </w:p>
    <w:p w14:paraId="3CFB2C3B" w14:textId="77777777" w:rsidR="006F1CA7" w:rsidRDefault="006F1CA7" w:rsidP="006F1CA7">
      <w:pPr>
        <w:jc w:val="center"/>
      </w:pPr>
      <w:r>
        <w:rPr>
          <w:b/>
          <w:bCs/>
          <w:noProof/>
        </w:rPr>
        <w:lastRenderedPageBreak/>
        <w:drawing>
          <wp:inline distT="0" distB="0" distL="0" distR="0" wp14:anchorId="3EB59FFF" wp14:editId="6FBE035F">
            <wp:extent cx="6265545" cy="4232910"/>
            <wp:effectExtent l="0" t="0" r="1905" b="0"/>
            <wp:docPr id="685931072" name="Picture 2" descr="A stone building with a window and a g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31072" name="Picture 2" descr="A stone building with a window and a gate&#10;&#10;Description automatically generated"/>
                    <pic:cNvPicPr/>
                  </pic:nvPicPr>
                  <pic:blipFill rotWithShape="1">
                    <a:blip r:embed="rId74">
                      <a:extLst>
                        <a:ext uri="{28A0092B-C50C-407E-A947-70E740481C1C}">
                          <a14:useLocalDpi xmlns:a14="http://schemas.microsoft.com/office/drawing/2010/main" val="0"/>
                        </a:ext>
                      </a:extLst>
                    </a:blip>
                    <a:srcRect l="7979" t="14187" r="21396" b="22167"/>
                    <a:stretch/>
                  </pic:blipFill>
                  <pic:spPr bwMode="auto">
                    <a:xfrm>
                      <a:off x="0" y="0"/>
                      <a:ext cx="6265545" cy="4232910"/>
                    </a:xfrm>
                    <a:prstGeom prst="rect">
                      <a:avLst/>
                    </a:prstGeom>
                    <a:ln>
                      <a:noFill/>
                    </a:ln>
                    <a:extLst>
                      <a:ext uri="{53640926-AAD7-44D8-BBD7-CCE9431645EC}">
                        <a14:shadowObscured xmlns:a14="http://schemas.microsoft.com/office/drawing/2010/main"/>
                      </a:ext>
                    </a:extLst>
                  </pic:spPr>
                </pic:pic>
              </a:graphicData>
            </a:graphic>
          </wp:inline>
        </w:drawing>
      </w:r>
    </w:p>
    <w:p w14:paraId="3D97B2C8" w14:textId="77777777" w:rsidR="00A77ECC" w:rsidRDefault="00336F38" w:rsidP="006F1CA7">
      <w:pPr>
        <w:jc w:val="center"/>
      </w:pPr>
      <w:r w:rsidRPr="001730D4">
        <w:t xml:space="preserve">Figure </w:t>
      </w:r>
      <w:r w:rsidRPr="006F1CA7">
        <w:t>59 - Initialled datestone at Thorneycroft Farmhouse, Kettleshulme, within Prestbury parish</w:t>
      </w:r>
      <w:r w:rsidR="00A77ECC">
        <w:t>, featuring initials of George Brocklehurst of Gap House.</w:t>
      </w:r>
    </w:p>
    <w:p w14:paraId="386D284A" w14:textId="32929CD7" w:rsidR="00336F38" w:rsidRDefault="00336F38" w:rsidP="006F1CA7">
      <w:pPr>
        <w:jc w:val="center"/>
        <w:rPr>
          <w:b/>
          <w:bCs/>
        </w:rPr>
      </w:pPr>
      <w:r w:rsidRPr="006F1CA7">
        <w:t>(Image author’s own)</w:t>
      </w:r>
    </w:p>
    <w:p w14:paraId="4EAF7E7E" w14:textId="77777777" w:rsidR="00336F38" w:rsidRDefault="00336F38" w:rsidP="00336F38">
      <w:pPr>
        <w:rPr>
          <w:b/>
          <w:bCs/>
        </w:rPr>
      </w:pPr>
      <w:r>
        <w:br w:type="page"/>
      </w:r>
    </w:p>
    <w:p w14:paraId="006C2DEB" w14:textId="4BE5C7C2" w:rsidR="00D94CF7" w:rsidRDefault="00D94CF7" w:rsidP="00A77ECC">
      <w:pPr>
        <w:jc w:val="center"/>
        <w:rPr>
          <w:b/>
          <w:bCs/>
        </w:rPr>
      </w:pPr>
      <w:r>
        <w:rPr>
          <w:b/>
          <w:bCs/>
          <w:noProof/>
        </w:rPr>
        <w:lastRenderedPageBreak/>
        <w:drawing>
          <wp:anchor distT="0" distB="0" distL="114300" distR="114300" simplePos="0" relativeHeight="251714560" behindDoc="0" locked="0" layoutInCell="1" allowOverlap="1" wp14:anchorId="5EE95FD8" wp14:editId="3A0EC187">
            <wp:simplePos x="0" y="0"/>
            <wp:positionH relativeFrom="margin">
              <wp:align>center</wp:align>
            </wp:positionH>
            <wp:positionV relativeFrom="paragraph">
              <wp:posOffset>487257</wp:posOffset>
            </wp:positionV>
            <wp:extent cx="6462374" cy="3911600"/>
            <wp:effectExtent l="0" t="0" r="0" b="0"/>
            <wp:wrapSquare wrapText="bothSides"/>
            <wp:docPr id="676949095" name="Picture 24" descr="A sign on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949095" name="Picture 24" descr="A sign on a building&#10;&#10;Description automatically generated"/>
                    <pic:cNvPicPr/>
                  </pic:nvPicPr>
                  <pic:blipFill rotWithShape="1">
                    <a:blip r:embed="rId75" cstate="print">
                      <a:extLst>
                        <a:ext uri="{28A0092B-C50C-407E-A947-70E740481C1C}">
                          <a14:useLocalDpi xmlns:a14="http://schemas.microsoft.com/office/drawing/2010/main" val="0"/>
                        </a:ext>
                      </a:extLst>
                    </a:blip>
                    <a:srcRect t="19301"/>
                    <a:stretch/>
                  </pic:blipFill>
                  <pic:spPr bwMode="auto">
                    <a:xfrm>
                      <a:off x="0" y="0"/>
                      <a:ext cx="6462374" cy="3911600"/>
                    </a:xfrm>
                    <a:prstGeom prst="rect">
                      <a:avLst/>
                    </a:prstGeom>
                    <a:ln>
                      <a:noFill/>
                    </a:ln>
                    <a:extLst>
                      <a:ext uri="{53640926-AAD7-44D8-BBD7-CCE9431645EC}">
                        <a14:shadowObscured xmlns:a14="http://schemas.microsoft.com/office/drawing/2010/main"/>
                      </a:ext>
                    </a:extLst>
                  </pic:spPr>
                </pic:pic>
              </a:graphicData>
            </a:graphic>
          </wp:anchor>
        </w:drawing>
      </w:r>
    </w:p>
    <w:p w14:paraId="512A4E7C" w14:textId="77777777" w:rsidR="00D94CF7" w:rsidRPr="00D94CF7" w:rsidRDefault="00D94CF7" w:rsidP="00A77ECC">
      <w:pPr>
        <w:jc w:val="center"/>
      </w:pPr>
    </w:p>
    <w:p w14:paraId="06710446" w14:textId="77777777" w:rsidR="00A77ECC" w:rsidRDefault="00D94CF7" w:rsidP="00A77ECC">
      <w:pPr>
        <w:jc w:val="center"/>
      </w:pPr>
      <w:r w:rsidRPr="00D94CF7">
        <w:t xml:space="preserve">Figure 60 – Inscribed lintel at </w:t>
      </w:r>
      <w:proofErr w:type="spellStart"/>
      <w:r w:rsidRPr="00D94CF7">
        <w:t>Kirkhouse</w:t>
      </w:r>
      <w:proofErr w:type="spellEnd"/>
      <w:r w:rsidRPr="00D94CF7">
        <w:t>, Capernwray, within Bolton-le-Sands parish</w:t>
      </w:r>
      <w:r w:rsidR="00A77ECC">
        <w:t>, featuring initials of Robert and Elizabeth Hawthornthwaite.</w:t>
      </w:r>
    </w:p>
    <w:p w14:paraId="5F11DB24" w14:textId="71D1532E" w:rsidR="003D0FC6" w:rsidRDefault="00D94CF7" w:rsidP="00A77ECC">
      <w:pPr>
        <w:jc w:val="center"/>
      </w:pPr>
      <w:r w:rsidRPr="00D94CF7">
        <w:t>(Image author’s own</w:t>
      </w:r>
      <w:r>
        <w:t>)</w:t>
      </w:r>
    </w:p>
    <w:p w14:paraId="69503BB3" w14:textId="77777777" w:rsidR="003D0FC6" w:rsidRDefault="003D0FC6">
      <w:pPr>
        <w:spacing w:after="0" w:line="240" w:lineRule="auto"/>
      </w:pPr>
      <w:r>
        <w:br w:type="page"/>
      </w:r>
    </w:p>
    <w:p w14:paraId="460F20F6" w14:textId="0263D1B8" w:rsidR="003D0FC6" w:rsidRPr="00A922DC" w:rsidRDefault="00FA729B" w:rsidP="00A77ECC">
      <w:pPr>
        <w:jc w:val="center"/>
        <w:rPr>
          <w:b/>
          <w:bCs/>
        </w:rPr>
      </w:pPr>
      <w:r>
        <w:rPr>
          <w:b/>
          <w:bCs/>
          <w:noProof/>
        </w:rPr>
        <w:lastRenderedPageBreak/>
        <w:drawing>
          <wp:anchor distT="0" distB="0" distL="114300" distR="114300" simplePos="0" relativeHeight="251716608" behindDoc="0" locked="0" layoutInCell="1" allowOverlap="1" wp14:anchorId="161D3130" wp14:editId="323304FE">
            <wp:simplePos x="0" y="0"/>
            <wp:positionH relativeFrom="margin">
              <wp:posOffset>9525</wp:posOffset>
            </wp:positionH>
            <wp:positionV relativeFrom="paragraph">
              <wp:posOffset>95250</wp:posOffset>
            </wp:positionV>
            <wp:extent cx="5962650" cy="6033135"/>
            <wp:effectExtent l="0" t="0" r="0" b="5715"/>
            <wp:wrapSquare wrapText="bothSides"/>
            <wp:docPr id="940194810" name="Picture 25" descr="A diagram of the zodia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194810" name="Picture 25" descr="A diagram of the zodiac&#10;&#10;Description automatically generated with medium confidence"/>
                    <pic:cNvPicPr/>
                  </pic:nvPicPr>
                  <pic:blipFill>
                    <a:blip r:embed="rId76">
                      <a:extLst>
                        <a:ext uri="{28A0092B-C50C-407E-A947-70E740481C1C}">
                          <a14:useLocalDpi xmlns:a14="http://schemas.microsoft.com/office/drawing/2010/main" val="0"/>
                        </a:ext>
                      </a:extLst>
                    </a:blip>
                    <a:stretch>
                      <a:fillRect/>
                    </a:stretch>
                  </pic:blipFill>
                  <pic:spPr>
                    <a:xfrm>
                      <a:off x="0" y="0"/>
                      <a:ext cx="5962650" cy="6033135"/>
                    </a:xfrm>
                    <a:prstGeom prst="rect">
                      <a:avLst/>
                    </a:prstGeom>
                  </pic:spPr>
                </pic:pic>
              </a:graphicData>
            </a:graphic>
            <wp14:sizeRelH relativeFrom="margin">
              <wp14:pctWidth>0</wp14:pctWidth>
            </wp14:sizeRelH>
            <wp14:sizeRelV relativeFrom="margin">
              <wp14:pctHeight>0</wp14:pctHeight>
            </wp14:sizeRelV>
          </wp:anchor>
        </w:drawing>
      </w:r>
    </w:p>
    <w:p w14:paraId="541829D2" w14:textId="6E03B9E6" w:rsidR="00A77ECC" w:rsidRDefault="003D0FC6" w:rsidP="00A77ECC">
      <w:pPr>
        <w:jc w:val="center"/>
      </w:pPr>
      <w:r w:rsidRPr="003D0FC6">
        <w:t>Figure 61</w:t>
      </w:r>
      <w:r>
        <w:t xml:space="preserve"> – Astrological chart featuring trigons, quadrants and hexagons, echoing the designs at </w:t>
      </w:r>
      <w:proofErr w:type="spellStart"/>
      <w:r>
        <w:t>Kirkhouse</w:t>
      </w:r>
      <w:proofErr w:type="spellEnd"/>
      <w:r>
        <w:t>, Capernwray</w:t>
      </w:r>
      <w:r w:rsidR="00A77ECC">
        <w:t>, seen in Figure 60.</w:t>
      </w:r>
    </w:p>
    <w:p w14:paraId="4D705C87" w14:textId="18ECEBA0" w:rsidR="00227967" w:rsidRDefault="003D0FC6" w:rsidP="00A77ECC">
      <w:pPr>
        <w:jc w:val="center"/>
      </w:pPr>
      <w:r>
        <w:t xml:space="preserve">(Illustration from Julius </w:t>
      </w:r>
      <w:proofErr w:type="spellStart"/>
      <w:r>
        <w:t>Firmicus</w:t>
      </w:r>
      <w:proofErr w:type="spellEnd"/>
      <w:r>
        <w:t xml:space="preserve">, </w:t>
      </w:r>
      <w:proofErr w:type="spellStart"/>
      <w:r>
        <w:rPr>
          <w:i/>
          <w:iCs/>
        </w:rPr>
        <w:t>Materni</w:t>
      </w:r>
      <w:proofErr w:type="spellEnd"/>
      <w:r>
        <w:rPr>
          <w:i/>
          <w:iCs/>
        </w:rPr>
        <w:t xml:space="preserve"> </w:t>
      </w:r>
      <w:proofErr w:type="spellStart"/>
      <w:r>
        <w:rPr>
          <w:i/>
          <w:iCs/>
        </w:rPr>
        <w:t>Iunioris</w:t>
      </w:r>
      <w:proofErr w:type="spellEnd"/>
      <w:r>
        <w:rPr>
          <w:i/>
          <w:iCs/>
        </w:rPr>
        <w:t xml:space="preserve"> </w:t>
      </w:r>
      <w:proofErr w:type="spellStart"/>
      <w:r>
        <w:rPr>
          <w:i/>
          <w:iCs/>
        </w:rPr>
        <w:t>Siculi</w:t>
      </w:r>
      <w:proofErr w:type="spellEnd"/>
      <w:r>
        <w:rPr>
          <w:i/>
          <w:iCs/>
        </w:rPr>
        <w:t xml:space="preserve"> V. C. ad </w:t>
      </w:r>
      <w:proofErr w:type="spellStart"/>
      <w:r>
        <w:rPr>
          <w:i/>
          <w:iCs/>
        </w:rPr>
        <w:t>Mauortium</w:t>
      </w:r>
      <w:proofErr w:type="spellEnd"/>
      <w:r>
        <w:rPr>
          <w:i/>
          <w:iCs/>
        </w:rPr>
        <w:t xml:space="preserve"> </w:t>
      </w:r>
      <w:proofErr w:type="spellStart"/>
      <w:r>
        <w:rPr>
          <w:i/>
          <w:iCs/>
        </w:rPr>
        <w:t>Lollianum</w:t>
      </w:r>
      <w:proofErr w:type="spellEnd"/>
      <w:r>
        <w:rPr>
          <w:i/>
          <w:iCs/>
        </w:rPr>
        <w:t xml:space="preserve"> </w:t>
      </w:r>
      <w:proofErr w:type="spellStart"/>
      <w:r>
        <w:rPr>
          <w:i/>
          <w:iCs/>
        </w:rPr>
        <w:t>Astronomicon</w:t>
      </w:r>
      <w:proofErr w:type="spellEnd"/>
      <w:r>
        <w:rPr>
          <w:i/>
          <w:iCs/>
        </w:rPr>
        <w:t xml:space="preserve">, </w:t>
      </w:r>
      <w:r>
        <w:t>(Rome, 1551), p.95)</w:t>
      </w:r>
    </w:p>
    <w:p w14:paraId="30E1D971" w14:textId="77777777" w:rsidR="00227967" w:rsidRDefault="00227967" w:rsidP="00A77ECC">
      <w:pPr>
        <w:spacing w:after="0" w:line="240" w:lineRule="auto"/>
        <w:jc w:val="center"/>
      </w:pPr>
      <w:r>
        <w:br w:type="page"/>
      </w:r>
    </w:p>
    <w:p w14:paraId="3CD3E00A" w14:textId="77777777" w:rsidR="00227967" w:rsidRDefault="00227967" w:rsidP="00A77ECC">
      <w:pPr>
        <w:jc w:val="center"/>
        <w:rPr>
          <w:b/>
          <w:bCs/>
        </w:rPr>
      </w:pPr>
      <w:r>
        <w:rPr>
          <w:b/>
          <w:bCs/>
          <w:noProof/>
        </w:rPr>
        <w:lastRenderedPageBreak/>
        <w:drawing>
          <wp:inline distT="0" distB="0" distL="0" distR="0" wp14:anchorId="5FCD428D" wp14:editId="607EF2BD">
            <wp:extent cx="6053667" cy="4532536"/>
            <wp:effectExtent l="0" t="0" r="4445" b="1905"/>
            <wp:docPr id="1535497928" name="Picture 26" descr="A stone slab with carved de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97928" name="Picture 26" descr="A stone slab with carved designs&#10;&#10;Description automatically generated"/>
                    <pic:cNvPicPr/>
                  </pic:nvPicPr>
                  <pic:blipFill>
                    <a:blip r:embed="rId77">
                      <a:extLst>
                        <a:ext uri="{28A0092B-C50C-407E-A947-70E740481C1C}">
                          <a14:useLocalDpi xmlns:a14="http://schemas.microsoft.com/office/drawing/2010/main" val="0"/>
                        </a:ext>
                      </a:extLst>
                    </a:blip>
                    <a:stretch>
                      <a:fillRect/>
                    </a:stretch>
                  </pic:blipFill>
                  <pic:spPr>
                    <a:xfrm>
                      <a:off x="0" y="0"/>
                      <a:ext cx="6064389" cy="4540564"/>
                    </a:xfrm>
                    <a:prstGeom prst="rect">
                      <a:avLst/>
                    </a:prstGeom>
                  </pic:spPr>
                </pic:pic>
              </a:graphicData>
            </a:graphic>
          </wp:inline>
        </w:drawing>
      </w:r>
    </w:p>
    <w:p w14:paraId="2BB38155" w14:textId="77777777" w:rsidR="00A77ECC" w:rsidRDefault="00227967" w:rsidP="00A77ECC">
      <w:pPr>
        <w:jc w:val="center"/>
      </w:pPr>
      <w:r w:rsidRPr="00227967">
        <w:t>Figure 62 – Inscribed</w:t>
      </w:r>
      <w:r>
        <w:t xml:space="preserve"> fireplace at Postgate Farm, </w:t>
      </w:r>
      <w:proofErr w:type="spellStart"/>
      <w:r>
        <w:t>Glaisdale</w:t>
      </w:r>
      <w:proofErr w:type="spellEnd"/>
      <w:r>
        <w:t xml:space="preserve">, North Yorkshire. </w:t>
      </w:r>
    </w:p>
    <w:p w14:paraId="2746BCFF" w14:textId="1FFF9994" w:rsidR="00227967" w:rsidRDefault="00227967" w:rsidP="00A77ECC">
      <w:pPr>
        <w:jc w:val="center"/>
      </w:pPr>
      <w:r>
        <w:t xml:space="preserve">(Image from </w:t>
      </w:r>
      <w:r w:rsidRPr="009A02BE">
        <w:t xml:space="preserve">Bill Angus, ‘The apotropaic “witch posts” of early modern Yorkshire: a contextualization’, </w:t>
      </w:r>
      <w:r w:rsidRPr="009A02BE">
        <w:rPr>
          <w:i/>
          <w:iCs/>
        </w:rPr>
        <w:t>Material Religion,</w:t>
      </w:r>
      <w:r w:rsidRPr="009A02BE">
        <w:t xml:space="preserve"> Vol. 14, No. 1, (2018), pp.55-82</w:t>
      </w:r>
      <w:r>
        <w:t>, p.62)</w:t>
      </w:r>
    </w:p>
    <w:p w14:paraId="1509DC0D" w14:textId="77777777" w:rsidR="00227967" w:rsidRDefault="00227967">
      <w:pPr>
        <w:spacing w:after="0" w:line="240" w:lineRule="auto"/>
      </w:pPr>
      <w:r>
        <w:br w:type="page"/>
      </w:r>
    </w:p>
    <w:p w14:paraId="0918B3E3" w14:textId="77777777" w:rsidR="00780BA2" w:rsidRDefault="00780BA2" w:rsidP="00A77ECC">
      <w:pPr>
        <w:jc w:val="center"/>
        <w:rPr>
          <w:b/>
          <w:bCs/>
        </w:rPr>
      </w:pPr>
      <w:r>
        <w:rPr>
          <w:b/>
          <w:bCs/>
          <w:noProof/>
        </w:rPr>
        <w:lastRenderedPageBreak/>
        <w:drawing>
          <wp:inline distT="0" distB="0" distL="0" distR="0" wp14:anchorId="58632F46" wp14:editId="70196C10">
            <wp:extent cx="4148667" cy="5693247"/>
            <wp:effectExtent l="0" t="0" r="4445" b="3175"/>
            <wp:docPr id="1120648144" name="Picture 27" descr="A close-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48144" name="Picture 27" descr="A close-up of a building&#10;&#10;Description automatically generated"/>
                    <pic:cNvPicPr/>
                  </pic:nvPicPr>
                  <pic:blipFill rotWithShape="1">
                    <a:blip r:embed="rId78" cstate="print">
                      <a:extLst>
                        <a:ext uri="{28A0092B-C50C-407E-A947-70E740481C1C}">
                          <a14:useLocalDpi xmlns:a14="http://schemas.microsoft.com/office/drawing/2010/main" val="0"/>
                        </a:ext>
                      </a:extLst>
                    </a:blip>
                    <a:srcRect l="7091" r="38253"/>
                    <a:stretch/>
                  </pic:blipFill>
                  <pic:spPr bwMode="auto">
                    <a:xfrm>
                      <a:off x="0" y="0"/>
                      <a:ext cx="4165512" cy="5716364"/>
                    </a:xfrm>
                    <a:prstGeom prst="rect">
                      <a:avLst/>
                    </a:prstGeom>
                    <a:ln>
                      <a:noFill/>
                    </a:ln>
                    <a:extLst>
                      <a:ext uri="{53640926-AAD7-44D8-BBD7-CCE9431645EC}">
                        <a14:shadowObscured xmlns:a14="http://schemas.microsoft.com/office/drawing/2010/main"/>
                      </a:ext>
                    </a:extLst>
                  </pic:spPr>
                </pic:pic>
              </a:graphicData>
            </a:graphic>
          </wp:inline>
        </w:drawing>
      </w:r>
    </w:p>
    <w:p w14:paraId="2A4758D2" w14:textId="1131D2C3" w:rsidR="00A77ECC" w:rsidRDefault="00780BA2" w:rsidP="00A77ECC">
      <w:pPr>
        <w:jc w:val="center"/>
      </w:pPr>
      <w:r w:rsidRPr="00780BA2">
        <w:t>Figure 63 – Inscribed</w:t>
      </w:r>
      <w:r>
        <w:t xml:space="preserve"> hopper head at Bollington, within Prestbury parish.</w:t>
      </w:r>
      <w:r w:rsidR="00A77ECC">
        <w:t xml:space="preserve"> Origins of initials unknown.</w:t>
      </w:r>
    </w:p>
    <w:p w14:paraId="13B9C264" w14:textId="52FF615F" w:rsidR="00780BA2" w:rsidRDefault="00780BA2" w:rsidP="00A77ECC">
      <w:pPr>
        <w:jc w:val="center"/>
      </w:pPr>
      <w:r>
        <w:t>(Image author’s own)</w:t>
      </w:r>
    </w:p>
    <w:p w14:paraId="0228EE68" w14:textId="77777777" w:rsidR="00780BA2" w:rsidRDefault="00780BA2">
      <w:pPr>
        <w:spacing w:after="0" w:line="240" w:lineRule="auto"/>
      </w:pPr>
      <w:r>
        <w:br w:type="page"/>
      </w:r>
    </w:p>
    <w:p w14:paraId="03A5E03A" w14:textId="77777777" w:rsidR="00A55AB4" w:rsidRDefault="00A55AB4" w:rsidP="00A77ECC">
      <w:pPr>
        <w:jc w:val="center"/>
        <w:rPr>
          <w:b/>
          <w:bCs/>
        </w:rPr>
      </w:pPr>
      <w:r>
        <w:rPr>
          <w:b/>
          <w:bCs/>
          <w:noProof/>
        </w:rPr>
        <w:lastRenderedPageBreak/>
        <w:drawing>
          <wp:inline distT="0" distB="0" distL="0" distR="0" wp14:anchorId="6710C7A5" wp14:editId="5E419209">
            <wp:extent cx="5296920" cy="5686425"/>
            <wp:effectExtent l="0" t="0" r="0" b="0"/>
            <wp:docPr id="810840511" name="Picture 29" descr="A stone cross o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40511" name="Picture 29" descr="A stone cross on a brick building&#10;&#10;Description automatically generated"/>
                    <pic:cNvPicPr/>
                  </pic:nvPicPr>
                  <pic:blipFill rotWithShape="1">
                    <a:blip r:embed="rId79" cstate="print">
                      <a:extLst>
                        <a:ext uri="{28A0092B-C50C-407E-A947-70E740481C1C}">
                          <a14:useLocalDpi xmlns:a14="http://schemas.microsoft.com/office/drawing/2010/main" val="0"/>
                        </a:ext>
                      </a:extLst>
                    </a:blip>
                    <a:srcRect l="16547" t="28694" r="17261" b="18013"/>
                    <a:stretch/>
                  </pic:blipFill>
                  <pic:spPr bwMode="auto">
                    <a:xfrm>
                      <a:off x="0" y="0"/>
                      <a:ext cx="5319994" cy="5711195"/>
                    </a:xfrm>
                    <a:prstGeom prst="rect">
                      <a:avLst/>
                    </a:prstGeom>
                    <a:ln>
                      <a:noFill/>
                    </a:ln>
                    <a:extLst>
                      <a:ext uri="{53640926-AAD7-44D8-BBD7-CCE9431645EC}">
                        <a14:shadowObscured xmlns:a14="http://schemas.microsoft.com/office/drawing/2010/main"/>
                      </a:ext>
                    </a:extLst>
                  </pic:spPr>
                </pic:pic>
              </a:graphicData>
            </a:graphic>
          </wp:inline>
        </w:drawing>
      </w:r>
    </w:p>
    <w:p w14:paraId="26B7A7CB" w14:textId="77777777" w:rsidR="00A77ECC" w:rsidRDefault="00A55AB4" w:rsidP="00A77ECC">
      <w:pPr>
        <w:jc w:val="center"/>
      </w:pPr>
      <w:r w:rsidRPr="00A55AB4">
        <w:t>Figure 64 – Hopper</w:t>
      </w:r>
      <w:r>
        <w:t xml:space="preserve"> head at Lyme Hall, Disley, Cheshire, featuring the initials of Richard and Elizabeth Legh. </w:t>
      </w:r>
    </w:p>
    <w:p w14:paraId="0D97B4E4" w14:textId="3F6F2A54" w:rsidR="00A55AB4" w:rsidRDefault="00A55AB4" w:rsidP="00A77ECC">
      <w:pPr>
        <w:jc w:val="center"/>
      </w:pPr>
      <w:r>
        <w:t>(Image author’s own)</w:t>
      </w:r>
    </w:p>
    <w:p w14:paraId="0EBAFEA7" w14:textId="77777777" w:rsidR="00A55AB4" w:rsidRDefault="00A55AB4">
      <w:pPr>
        <w:spacing w:after="0" w:line="240" w:lineRule="auto"/>
      </w:pPr>
      <w:r>
        <w:br w:type="page"/>
      </w:r>
    </w:p>
    <w:p w14:paraId="03E195F8" w14:textId="77777777" w:rsidR="00C2321F" w:rsidRPr="00C2321F" w:rsidRDefault="00C2321F" w:rsidP="00A77ECC">
      <w:pPr>
        <w:jc w:val="center"/>
      </w:pPr>
      <w:r w:rsidRPr="00C2321F">
        <w:rPr>
          <w:noProof/>
        </w:rPr>
        <w:lastRenderedPageBreak/>
        <w:drawing>
          <wp:inline distT="0" distB="0" distL="0" distR="0" wp14:anchorId="5553216D" wp14:editId="6D4B77E9">
            <wp:extent cx="5410200" cy="6718547"/>
            <wp:effectExtent l="0" t="0" r="0" b="6350"/>
            <wp:docPr id="1921056522" name="Picture 28" descr="A stone pipe o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56522" name="Picture 28" descr="A stone pipe on a brick building&#10;&#10;Description automatically generated"/>
                    <pic:cNvPicPr/>
                  </pic:nvPicPr>
                  <pic:blipFill rotWithShape="1">
                    <a:blip r:embed="rId80" cstate="print">
                      <a:extLst>
                        <a:ext uri="{28A0092B-C50C-407E-A947-70E740481C1C}">
                          <a14:useLocalDpi xmlns:a14="http://schemas.microsoft.com/office/drawing/2010/main" val="0"/>
                        </a:ext>
                      </a:extLst>
                    </a:blip>
                    <a:srcRect l="25408" t="3989" b="26540"/>
                    <a:stretch/>
                  </pic:blipFill>
                  <pic:spPr bwMode="auto">
                    <a:xfrm>
                      <a:off x="0" y="0"/>
                      <a:ext cx="5439228" cy="6754594"/>
                    </a:xfrm>
                    <a:prstGeom prst="rect">
                      <a:avLst/>
                    </a:prstGeom>
                    <a:ln>
                      <a:noFill/>
                    </a:ln>
                    <a:extLst>
                      <a:ext uri="{53640926-AAD7-44D8-BBD7-CCE9431645EC}">
                        <a14:shadowObscured xmlns:a14="http://schemas.microsoft.com/office/drawing/2010/main"/>
                      </a:ext>
                    </a:extLst>
                  </pic:spPr>
                </pic:pic>
              </a:graphicData>
            </a:graphic>
          </wp:inline>
        </w:drawing>
      </w:r>
    </w:p>
    <w:p w14:paraId="76D972BD" w14:textId="77777777" w:rsidR="00A77ECC" w:rsidRDefault="00C2321F" w:rsidP="00A77ECC">
      <w:pPr>
        <w:jc w:val="center"/>
      </w:pPr>
      <w:r w:rsidRPr="00C2321F">
        <w:t xml:space="preserve">Figure 65 – Second hopper head at Lyme Hall, Cheshire, featuring the date, ‘1676’. </w:t>
      </w:r>
    </w:p>
    <w:p w14:paraId="0042F668" w14:textId="6EACD0F6" w:rsidR="00C2321F" w:rsidRDefault="00C2321F" w:rsidP="00A77ECC">
      <w:pPr>
        <w:jc w:val="center"/>
      </w:pPr>
      <w:r w:rsidRPr="00C2321F">
        <w:t>(Image author’s own)</w:t>
      </w:r>
    </w:p>
    <w:p w14:paraId="1D64E653" w14:textId="77777777" w:rsidR="00C2321F" w:rsidRDefault="00C2321F">
      <w:pPr>
        <w:spacing w:after="0" w:line="240" w:lineRule="auto"/>
      </w:pPr>
      <w:r>
        <w:br w:type="page"/>
      </w:r>
    </w:p>
    <w:p w14:paraId="07DD88BB" w14:textId="77777777" w:rsidR="00E30DA1" w:rsidRDefault="00E30DA1" w:rsidP="00A77ECC">
      <w:pPr>
        <w:jc w:val="center"/>
        <w:rPr>
          <w:b/>
          <w:bCs/>
        </w:rPr>
      </w:pPr>
      <w:r>
        <w:rPr>
          <w:b/>
          <w:bCs/>
          <w:noProof/>
        </w:rPr>
        <w:lastRenderedPageBreak/>
        <w:drawing>
          <wp:inline distT="0" distB="0" distL="0" distR="0" wp14:anchorId="39140F88" wp14:editId="51A4943F">
            <wp:extent cx="5731510" cy="7639050"/>
            <wp:effectExtent l="0" t="0" r="2540" b="0"/>
            <wp:docPr id="2141538225" name="Picture 30" descr="A stone sign on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538225" name="Picture 30" descr="A stone sign on a brick wall&#10;&#10;Description automatically generated"/>
                    <pic:cNvPicPr/>
                  </pic:nvPicPr>
                  <pic:blipFill>
                    <a:blip r:embed="rId81">
                      <a:extLst>
                        <a:ext uri="{28A0092B-C50C-407E-A947-70E740481C1C}">
                          <a14:useLocalDpi xmlns:a14="http://schemas.microsoft.com/office/drawing/2010/main" val="0"/>
                        </a:ext>
                      </a:extLst>
                    </a:blip>
                    <a:stretch>
                      <a:fillRect/>
                    </a:stretch>
                  </pic:blipFill>
                  <pic:spPr>
                    <a:xfrm>
                      <a:off x="0" y="0"/>
                      <a:ext cx="5731510" cy="7639050"/>
                    </a:xfrm>
                    <a:prstGeom prst="rect">
                      <a:avLst/>
                    </a:prstGeom>
                  </pic:spPr>
                </pic:pic>
              </a:graphicData>
            </a:graphic>
          </wp:inline>
        </w:drawing>
      </w:r>
    </w:p>
    <w:p w14:paraId="2586E68E" w14:textId="77777777" w:rsidR="00A77ECC" w:rsidRDefault="00E30DA1" w:rsidP="00A77ECC">
      <w:pPr>
        <w:jc w:val="center"/>
      </w:pPr>
      <w:r>
        <w:t xml:space="preserve">Figure </w:t>
      </w:r>
      <w:r w:rsidRPr="00E30DA1">
        <w:t>66</w:t>
      </w:r>
      <w:r>
        <w:t xml:space="preserve"> – Initialled datestone at The Dukes Head, Great Yarmouth, Norfolk. </w:t>
      </w:r>
    </w:p>
    <w:p w14:paraId="58D33138" w14:textId="6A3C4744" w:rsidR="00E30DA1" w:rsidRDefault="00E30DA1" w:rsidP="00A77ECC">
      <w:pPr>
        <w:jc w:val="center"/>
      </w:pPr>
      <w:r>
        <w:t>(Image author’s own)</w:t>
      </w:r>
    </w:p>
    <w:p w14:paraId="03B9962D" w14:textId="77777777" w:rsidR="00E30DA1" w:rsidRDefault="00E30DA1" w:rsidP="00A77ECC">
      <w:pPr>
        <w:spacing w:after="0" w:line="240" w:lineRule="auto"/>
        <w:jc w:val="center"/>
      </w:pPr>
      <w:r>
        <w:br w:type="page"/>
      </w:r>
    </w:p>
    <w:p w14:paraId="69D602F8" w14:textId="77777777" w:rsidR="00186351" w:rsidRPr="00186351" w:rsidRDefault="00186351" w:rsidP="00A77ECC">
      <w:pPr>
        <w:jc w:val="center"/>
      </w:pPr>
      <w:r w:rsidRPr="00186351">
        <w:rPr>
          <w:noProof/>
        </w:rPr>
        <w:lastRenderedPageBreak/>
        <w:drawing>
          <wp:inline distT="0" distB="0" distL="0" distR="0" wp14:anchorId="03853B01" wp14:editId="188916EF">
            <wp:extent cx="5731510" cy="7642225"/>
            <wp:effectExtent l="0" t="0" r="2540" b="0"/>
            <wp:docPr id="125626578" name="Picture 32" descr="A close-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6578" name="Picture 32" descr="A close-up of a building&#10;&#10;Description automatically generated"/>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2A7EBB31" w14:textId="77777777" w:rsidR="00A77ECC" w:rsidRDefault="00186351" w:rsidP="00A77ECC">
      <w:pPr>
        <w:jc w:val="center"/>
      </w:pPr>
      <w:r w:rsidRPr="00186351">
        <w:t>Figure 67 – Stylised</w:t>
      </w:r>
      <w:r>
        <w:t xml:space="preserve"> cartouche at </w:t>
      </w:r>
      <w:proofErr w:type="spellStart"/>
      <w:r>
        <w:t>Jordangate</w:t>
      </w:r>
      <w:proofErr w:type="spellEnd"/>
      <w:r>
        <w:t xml:space="preserve"> House, Macclesfield, Cheshire. </w:t>
      </w:r>
    </w:p>
    <w:p w14:paraId="523CDA08" w14:textId="434789D0" w:rsidR="00186351" w:rsidRDefault="00186351" w:rsidP="00A77ECC">
      <w:pPr>
        <w:jc w:val="center"/>
      </w:pPr>
      <w:r>
        <w:t>(Image author’s own)</w:t>
      </w:r>
    </w:p>
    <w:p w14:paraId="63B8E8A1" w14:textId="77777777" w:rsidR="00186351" w:rsidRDefault="00186351" w:rsidP="00A77ECC">
      <w:pPr>
        <w:spacing w:after="0" w:line="240" w:lineRule="auto"/>
        <w:jc w:val="center"/>
      </w:pPr>
      <w:r>
        <w:br w:type="page"/>
      </w:r>
    </w:p>
    <w:p w14:paraId="26715F37" w14:textId="77777777" w:rsidR="005D2402" w:rsidRPr="00012151" w:rsidRDefault="005D2402" w:rsidP="00A77ECC">
      <w:pPr>
        <w:jc w:val="center"/>
        <w:rPr>
          <w:b/>
          <w:bCs/>
        </w:rPr>
      </w:pPr>
      <w:r w:rsidRPr="00012151">
        <w:rPr>
          <w:b/>
          <w:bCs/>
          <w:noProof/>
        </w:rPr>
        <w:lastRenderedPageBreak/>
        <w:drawing>
          <wp:inline distT="0" distB="0" distL="0" distR="0" wp14:anchorId="53585F23" wp14:editId="0046A380">
            <wp:extent cx="5731510" cy="4298950"/>
            <wp:effectExtent l="0" t="0" r="2540" b="6350"/>
            <wp:docPr id="1431521028" name="Picture 42" descr="A metal plaque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21028" name="Picture 42" descr="A metal plaque with writing on it&#10;&#10;Description automatically generated"/>
                    <pic:cNvPicPr/>
                  </pic:nvPicPr>
                  <pic:blipFill>
                    <a:blip r:embed="rId83">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1E782A13" w14:textId="77777777" w:rsidR="00655962" w:rsidRDefault="005D2402" w:rsidP="00A77ECC">
      <w:pPr>
        <w:jc w:val="center"/>
      </w:pPr>
      <w:r w:rsidRPr="005D2402">
        <w:t>Figure 68 – Inscribed T-hinge</w:t>
      </w:r>
      <w:r w:rsidR="00410EB7">
        <w:t xml:space="preserve"> reading ‘T D 1711’</w:t>
      </w:r>
      <w:r w:rsidRPr="005D2402">
        <w:t xml:space="preserve"> at Yew Tree Farmhouse, Butley, within Prestbury parish</w:t>
      </w:r>
      <w:r w:rsidR="00410EB7">
        <w:t>.</w:t>
      </w:r>
      <w:r w:rsidRPr="005D2402">
        <w:t xml:space="preserve"> </w:t>
      </w:r>
    </w:p>
    <w:p w14:paraId="665E8670" w14:textId="4142104D" w:rsidR="005D2402" w:rsidRPr="005D2402" w:rsidRDefault="005D2402" w:rsidP="00A77ECC">
      <w:pPr>
        <w:jc w:val="center"/>
        <w:sectPr w:rsidR="005D2402" w:rsidRPr="005D2402" w:rsidSect="005D2402">
          <w:pgSz w:w="11906" w:h="16838"/>
          <w:pgMar w:top="1440" w:right="1440" w:bottom="1440" w:left="1440" w:header="720" w:footer="720" w:gutter="0"/>
          <w:cols w:space="720"/>
          <w:docGrid w:linePitch="360"/>
        </w:sectPr>
      </w:pPr>
      <w:r w:rsidRPr="005D2402">
        <w:t>(</w:t>
      </w:r>
      <w:r w:rsidR="00410EB7">
        <w:t>I</w:t>
      </w:r>
      <w:r w:rsidRPr="005D2402">
        <w:t xml:space="preserve">mage rotated </w:t>
      </w:r>
      <w:proofErr w:type="gramStart"/>
      <w:r w:rsidRPr="005D2402">
        <w:t>180  ̊</w:t>
      </w:r>
      <w:proofErr w:type="gramEnd"/>
      <w:r w:rsidRPr="005D2402">
        <w:t xml:space="preserve">, </w:t>
      </w:r>
      <w:r w:rsidR="00A722B4">
        <w:t>used with permission of</w:t>
      </w:r>
      <w:r w:rsidR="00655962">
        <w:t xml:space="preserve"> property owner</w:t>
      </w:r>
      <w:r w:rsidRPr="005D2402">
        <w:t>)</w:t>
      </w:r>
    </w:p>
    <w:p w14:paraId="18911F08" w14:textId="77777777" w:rsidR="00EE44EA" w:rsidRPr="00EE44EA" w:rsidRDefault="00EE44EA" w:rsidP="00655962">
      <w:pPr>
        <w:jc w:val="center"/>
      </w:pPr>
      <w:r w:rsidRPr="00EE44EA">
        <w:rPr>
          <w:noProof/>
        </w:rPr>
        <w:lastRenderedPageBreak/>
        <w:drawing>
          <wp:inline distT="0" distB="0" distL="0" distR="0" wp14:anchorId="0DE408FE" wp14:editId="000D9680">
            <wp:extent cx="5048887" cy="6705600"/>
            <wp:effectExtent l="0" t="0" r="0" b="0"/>
            <wp:docPr id="513023044" name="Picture 8" descr="A close-up of a door h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23044" name="Picture 8" descr="A close-up of a door handle&#10;&#10;Description automatically generated"/>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064306" cy="6726079"/>
                    </a:xfrm>
                    <a:prstGeom prst="rect">
                      <a:avLst/>
                    </a:prstGeom>
                  </pic:spPr>
                </pic:pic>
              </a:graphicData>
            </a:graphic>
          </wp:inline>
        </w:drawing>
      </w:r>
    </w:p>
    <w:p w14:paraId="38E40567" w14:textId="77777777" w:rsidR="00655962" w:rsidRDefault="00EE44EA" w:rsidP="00655962">
      <w:pPr>
        <w:jc w:val="center"/>
      </w:pPr>
      <w:r w:rsidRPr="00EE44EA">
        <w:t>Figure 69 - Iron door handle and knocker at Fern Lee Farmhouse, Sutton, initialled ‘J</w:t>
      </w:r>
      <w:r w:rsidRPr="00EE44EA">
        <w:rPr>
          <w:vertAlign w:val="superscript"/>
        </w:rPr>
        <w:t>J</w:t>
      </w:r>
      <w:r w:rsidRPr="00EE44EA">
        <w:t xml:space="preserve">E’ above handle and dated 1724 below. </w:t>
      </w:r>
    </w:p>
    <w:p w14:paraId="126027D0" w14:textId="02F2D50D" w:rsidR="00EE44EA" w:rsidRDefault="00EE44EA" w:rsidP="00655962">
      <w:pPr>
        <w:jc w:val="center"/>
      </w:pPr>
      <w:r w:rsidRPr="00EE44EA">
        <w:t>(Image used with permission of Eoghan Conlon)</w:t>
      </w:r>
    </w:p>
    <w:p w14:paraId="77A9F687" w14:textId="77777777" w:rsidR="00EE44EA" w:rsidRDefault="00EE44EA" w:rsidP="00655962">
      <w:pPr>
        <w:spacing w:after="0" w:line="240" w:lineRule="auto"/>
        <w:jc w:val="center"/>
      </w:pPr>
      <w:r>
        <w:br w:type="page"/>
      </w:r>
    </w:p>
    <w:p w14:paraId="219F80C1" w14:textId="77777777" w:rsidR="00615BB6" w:rsidRDefault="00615BB6" w:rsidP="003A245A">
      <w:pPr>
        <w:jc w:val="center"/>
        <w:rPr>
          <w:b/>
          <w:bCs/>
        </w:rPr>
      </w:pPr>
      <w:r>
        <w:rPr>
          <w:b/>
          <w:bCs/>
          <w:noProof/>
        </w:rPr>
        <w:lastRenderedPageBreak/>
        <w:drawing>
          <wp:inline distT="0" distB="0" distL="0" distR="0" wp14:anchorId="4F63CC58" wp14:editId="72390064">
            <wp:extent cx="5391065" cy="5248275"/>
            <wp:effectExtent l="0" t="0" r="635" b="0"/>
            <wp:docPr id="159871876" name="Picture 5" descr="A stone arch with a sig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71876" name="Picture 5" descr="A stone arch with a sign on it&#10;&#10;Description automatically generated"/>
                    <pic:cNvPicPr/>
                  </pic:nvPicPr>
                  <pic:blipFill rotWithShape="1">
                    <a:blip r:embed="rId85">
                      <a:extLst>
                        <a:ext uri="{28A0092B-C50C-407E-A947-70E740481C1C}">
                          <a14:useLocalDpi xmlns:a14="http://schemas.microsoft.com/office/drawing/2010/main" val="0"/>
                        </a:ext>
                      </a:extLst>
                    </a:blip>
                    <a:srcRect l="13677" t="12398" r="13744" b="34589"/>
                    <a:stretch/>
                  </pic:blipFill>
                  <pic:spPr bwMode="auto">
                    <a:xfrm>
                      <a:off x="0" y="0"/>
                      <a:ext cx="5401888" cy="5258811"/>
                    </a:xfrm>
                    <a:prstGeom prst="rect">
                      <a:avLst/>
                    </a:prstGeom>
                    <a:ln>
                      <a:noFill/>
                    </a:ln>
                    <a:extLst>
                      <a:ext uri="{53640926-AAD7-44D8-BBD7-CCE9431645EC}">
                        <a14:shadowObscured xmlns:a14="http://schemas.microsoft.com/office/drawing/2010/main"/>
                      </a:ext>
                    </a:extLst>
                  </pic:spPr>
                </pic:pic>
              </a:graphicData>
            </a:graphic>
          </wp:inline>
        </w:drawing>
      </w:r>
    </w:p>
    <w:p w14:paraId="38EBF1B4" w14:textId="42361FAF" w:rsidR="003A245A" w:rsidRDefault="00615BB6" w:rsidP="003A245A">
      <w:pPr>
        <w:jc w:val="center"/>
      </w:pPr>
      <w:r w:rsidRPr="00615BB6">
        <w:t>Figure 70 - Datestone at Fern Lee Farmhouse, initialled J</w:t>
      </w:r>
      <w:r w:rsidRPr="00615BB6">
        <w:rPr>
          <w:vertAlign w:val="superscript"/>
        </w:rPr>
        <w:t>J</w:t>
      </w:r>
      <w:r w:rsidRPr="00615BB6">
        <w:t>E and dated 1725.</w:t>
      </w:r>
      <w:r w:rsidR="003A245A">
        <w:t xml:space="preserve"> Positioned at apex of gabled roof above porch</w:t>
      </w:r>
      <w:r w:rsidR="009776DE">
        <w:t xml:space="preserve"> attached to an earlier building.</w:t>
      </w:r>
    </w:p>
    <w:p w14:paraId="7F1B24E8" w14:textId="5C5B62D8" w:rsidR="00615BB6" w:rsidRDefault="00615BB6" w:rsidP="003A245A">
      <w:pPr>
        <w:jc w:val="center"/>
      </w:pPr>
      <w:r w:rsidRPr="00615BB6">
        <w:t>(Image used with permission of Eoghan Conlon)</w:t>
      </w:r>
    </w:p>
    <w:p w14:paraId="188BF515" w14:textId="77777777" w:rsidR="00615BB6" w:rsidRDefault="00615BB6" w:rsidP="003A245A">
      <w:pPr>
        <w:spacing w:after="0" w:line="240" w:lineRule="auto"/>
        <w:jc w:val="center"/>
      </w:pPr>
      <w:r>
        <w:br w:type="page"/>
      </w:r>
    </w:p>
    <w:p w14:paraId="59E65BA7" w14:textId="77777777" w:rsidR="00236BFB" w:rsidRPr="00236BFB" w:rsidRDefault="00236BFB" w:rsidP="009776DE">
      <w:pPr>
        <w:jc w:val="center"/>
      </w:pPr>
      <w:r w:rsidRPr="00236BFB">
        <w:rPr>
          <w:noProof/>
        </w:rPr>
        <w:lastRenderedPageBreak/>
        <w:drawing>
          <wp:inline distT="0" distB="0" distL="0" distR="0" wp14:anchorId="222C6B8A" wp14:editId="6E4727E2">
            <wp:extent cx="5382612" cy="4429125"/>
            <wp:effectExtent l="0" t="0" r="8890" b="0"/>
            <wp:docPr id="1055711590" name="Picture 1" descr="A building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11590" name="Picture 1" descr="A building with a roof&#10;&#10;Description automatically generated"/>
                    <pic:cNvPicPr/>
                  </pic:nvPicPr>
                  <pic:blipFill rotWithShape="1">
                    <a:blip r:embed="rId86">
                      <a:extLst>
                        <a:ext uri="{28A0092B-C50C-407E-A947-70E740481C1C}">
                          <a14:useLocalDpi xmlns:a14="http://schemas.microsoft.com/office/drawing/2010/main" val="0"/>
                        </a:ext>
                      </a:extLst>
                    </a:blip>
                    <a:srcRect l="56983" t="19120" r="4353" b="38507"/>
                    <a:stretch/>
                  </pic:blipFill>
                  <pic:spPr bwMode="auto">
                    <a:xfrm>
                      <a:off x="0" y="0"/>
                      <a:ext cx="5417207" cy="4457592"/>
                    </a:xfrm>
                    <a:prstGeom prst="rect">
                      <a:avLst/>
                    </a:prstGeom>
                    <a:ln>
                      <a:noFill/>
                    </a:ln>
                    <a:extLst>
                      <a:ext uri="{53640926-AAD7-44D8-BBD7-CCE9431645EC}">
                        <a14:shadowObscured xmlns:a14="http://schemas.microsoft.com/office/drawing/2010/main"/>
                      </a:ext>
                    </a:extLst>
                  </pic:spPr>
                </pic:pic>
              </a:graphicData>
            </a:graphic>
          </wp:inline>
        </w:drawing>
      </w:r>
    </w:p>
    <w:p w14:paraId="6200CEB9" w14:textId="77777777" w:rsidR="009776DE" w:rsidRDefault="00236BFB" w:rsidP="009776DE">
      <w:pPr>
        <w:jc w:val="center"/>
      </w:pPr>
      <w:r w:rsidRPr="00236BFB">
        <w:t>Figure 71 - Datestone at Oak Cottage, Langley, Prestbury, initialled S</w:t>
      </w:r>
      <w:r w:rsidRPr="00236BFB">
        <w:rPr>
          <w:vertAlign w:val="superscript"/>
        </w:rPr>
        <w:t>B</w:t>
      </w:r>
      <w:r w:rsidRPr="00236BFB">
        <w:t>A and dated 1740.</w:t>
      </w:r>
    </w:p>
    <w:p w14:paraId="7B079A06" w14:textId="23ADEA43" w:rsidR="00891697" w:rsidRDefault="00236BFB" w:rsidP="009776DE">
      <w:pPr>
        <w:jc w:val="center"/>
      </w:pPr>
      <w:r w:rsidRPr="00236BFB">
        <w:t>(Image author’s own)</w:t>
      </w:r>
    </w:p>
    <w:p w14:paraId="7A08E9DC" w14:textId="77777777" w:rsidR="00891697" w:rsidRDefault="00891697" w:rsidP="009776DE">
      <w:pPr>
        <w:spacing w:after="0" w:line="240" w:lineRule="auto"/>
        <w:jc w:val="center"/>
      </w:pPr>
      <w:r>
        <w:br w:type="page"/>
      </w:r>
    </w:p>
    <w:p w14:paraId="430096F1" w14:textId="77777777" w:rsidR="00891697" w:rsidRDefault="00891697" w:rsidP="00F82BF2">
      <w:pPr>
        <w:jc w:val="center"/>
        <w:rPr>
          <w:b/>
          <w:bCs/>
        </w:rPr>
      </w:pPr>
      <w:r>
        <w:rPr>
          <w:b/>
          <w:bCs/>
          <w:noProof/>
        </w:rPr>
        <w:lastRenderedPageBreak/>
        <w:drawing>
          <wp:inline distT="0" distB="0" distL="0" distR="0" wp14:anchorId="3683BAD3" wp14:editId="033D2792">
            <wp:extent cx="5516682" cy="4362450"/>
            <wp:effectExtent l="0" t="0" r="8255" b="0"/>
            <wp:docPr id="936910624" name="Picture 6" descr="A stone building with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10624" name="Picture 6" descr="A stone building with windows&#10;&#10;Description automatically generated"/>
                    <pic:cNvPicPr/>
                  </pic:nvPicPr>
                  <pic:blipFill rotWithShape="1">
                    <a:blip r:embed="rId87">
                      <a:extLst>
                        <a:ext uri="{28A0092B-C50C-407E-A947-70E740481C1C}">
                          <a14:useLocalDpi xmlns:a14="http://schemas.microsoft.com/office/drawing/2010/main" val="0"/>
                        </a:ext>
                      </a:extLst>
                    </a:blip>
                    <a:srcRect l="237" t="19359" r="6895" b="25542"/>
                    <a:stretch/>
                  </pic:blipFill>
                  <pic:spPr bwMode="auto">
                    <a:xfrm>
                      <a:off x="0" y="0"/>
                      <a:ext cx="5569068" cy="4403876"/>
                    </a:xfrm>
                    <a:prstGeom prst="rect">
                      <a:avLst/>
                    </a:prstGeom>
                    <a:ln>
                      <a:noFill/>
                    </a:ln>
                    <a:extLst>
                      <a:ext uri="{53640926-AAD7-44D8-BBD7-CCE9431645EC}">
                        <a14:shadowObscured xmlns:a14="http://schemas.microsoft.com/office/drawing/2010/main"/>
                      </a:ext>
                    </a:extLst>
                  </pic:spPr>
                </pic:pic>
              </a:graphicData>
            </a:graphic>
          </wp:inline>
        </w:drawing>
      </w:r>
    </w:p>
    <w:p w14:paraId="63AA8ECA" w14:textId="77777777" w:rsidR="00F82BF2" w:rsidRDefault="00891697" w:rsidP="00F82BF2">
      <w:pPr>
        <w:jc w:val="center"/>
      </w:pPr>
      <w:r w:rsidRPr="00891697">
        <w:t>Figure 72 - Datestone</w:t>
      </w:r>
      <w:r w:rsidRPr="00CE4C2C">
        <w:t xml:space="preserve"> at Ridge Hall</w:t>
      </w:r>
      <w:r>
        <w:t xml:space="preserve"> Farmhouse</w:t>
      </w:r>
      <w:r w:rsidRPr="00CE4C2C">
        <w:t xml:space="preserve">, Sutton, </w:t>
      </w:r>
      <w:r>
        <w:t xml:space="preserve">within </w:t>
      </w:r>
      <w:r w:rsidRPr="00CE4C2C">
        <w:t>Prestbury</w:t>
      </w:r>
      <w:r>
        <w:t xml:space="preserve"> parish</w:t>
      </w:r>
      <w:r w:rsidRPr="00CE4C2C">
        <w:t>.</w:t>
      </w:r>
      <w:r>
        <w:t xml:space="preserve"> </w:t>
      </w:r>
    </w:p>
    <w:p w14:paraId="08AB8115" w14:textId="5C23C788" w:rsidR="00891697" w:rsidRDefault="00891697" w:rsidP="00F82BF2">
      <w:pPr>
        <w:jc w:val="center"/>
      </w:pPr>
      <w:r>
        <w:t>(Image author’s own)</w:t>
      </w:r>
    </w:p>
    <w:p w14:paraId="393E94CF" w14:textId="77777777" w:rsidR="00891697" w:rsidRDefault="00891697">
      <w:pPr>
        <w:spacing w:after="0" w:line="240" w:lineRule="auto"/>
      </w:pPr>
      <w:r>
        <w:br w:type="page"/>
      </w:r>
    </w:p>
    <w:p w14:paraId="095D37E6" w14:textId="77777777" w:rsidR="000A59AD" w:rsidRDefault="000A59AD" w:rsidP="00F82BF2">
      <w:pPr>
        <w:jc w:val="center"/>
        <w:rPr>
          <w:b/>
          <w:bCs/>
        </w:rPr>
      </w:pPr>
      <w:r>
        <w:rPr>
          <w:b/>
          <w:bCs/>
          <w:noProof/>
        </w:rPr>
        <w:lastRenderedPageBreak/>
        <w:drawing>
          <wp:inline distT="0" distB="0" distL="0" distR="0" wp14:anchorId="2EBFE534" wp14:editId="18C78853">
            <wp:extent cx="5792859" cy="6029325"/>
            <wp:effectExtent l="0" t="0" r="0" b="0"/>
            <wp:docPr id="404813012" name="Picture 7" descr="A stone building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13012" name="Picture 7" descr="A stone building with a roof&#10;&#10;Description automatically generated"/>
                    <pic:cNvPicPr/>
                  </pic:nvPicPr>
                  <pic:blipFill rotWithShape="1">
                    <a:blip r:embed="rId88">
                      <a:extLst>
                        <a:ext uri="{28A0092B-C50C-407E-A947-70E740481C1C}">
                          <a14:useLocalDpi xmlns:a14="http://schemas.microsoft.com/office/drawing/2010/main" val="0"/>
                        </a:ext>
                      </a:extLst>
                    </a:blip>
                    <a:srcRect l="23635" t="13965" b="26400"/>
                    <a:stretch/>
                  </pic:blipFill>
                  <pic:spPr bwMode="auto">
                    <a:xfrm>
                      <a:off x="0" y="0"/>
                      <a:ext cx="5806621" cy="6043649"/>
                    </a:xfrm>
                    <a:prstGeom prst="rect">
                      <a:avLst/>
                    </a:prstGeom>
                    <a:ln>
                      <a:noFill/>
                    </a:ln>
                    <a:extLst>
                      <a:ext uri="{53640926-AAD7-44D8-BBD7-CCE9431645EC}">
                        <a14:shadowObscured xmlns:a14="http://schemas.microsoft.com/office/drawing/2010/main"/>
                      </a:ext>
                    </a:extLst>
                  </pic:spPr>
                </pic:pic>
              </a:graphicData>
            </a:graphic>
          </wp:inline>
        </w:drawing>
      </w:r>
    </w:p>
    <w:p w14:paraId="7EA3172B" w14:textId="5F0B80D5" w:rsidR="00F82BF2" w:rsidRDefault="000A59AD" w:rsidP="00F82BF2">
      <w:pPr>
        <w:jc w:val="center"/>
      </w:pPr>
      <w:r w:rsidRPr="000A59AD">
        <w:t>Figure 73 - Initialled</w:t>
      </w:r>
      <w:r w:rsidRPr="00D542A1">
        <w:t xml:space="preserve"> datestone at Ridge Hill </w:t>
      </w:r>
      <w:r>
        <w:t>Farmh</w:t>
      </w:r>
      <w:r w:rsidRPr="00D542A1">
        <w:t xml:space="preserve">ouse, Sutton, </w:t>
      </w:r>
      <w:r>
        <w:t xml:space="preserve">within </w:t>
      </w:r>
      <w:r w:rsidRPr="00D542A1">
        <w:t>Prestbury</w:t>
      </w:r>
      <w:r>
        <w:t xml:space="preserve"> parish</w:t>
      </w:r>
      <w:r w:rsidRPr="00D542A1">
        <w:t>.</w:t>
      </w:r>
      <w:r>
        <w:t xml:space="preserve"> </w:t>
      </w:r>
      <w:r w:rsidR="0053738A">
        <w:t>Inscribed with the initials of Henry and Emme Cherry and the date, 1693.</w:t>
      </w:r>
    </w:p>
    <w:p w14:paraId="58361B3D" w14:textId="2134B8D2" w:rsidR="000435E9" w:rsidRDefault="000A59AD" w:rsidP="00F82BF2">
      <w:pPr>
        <w:jc w:val="center"/>
      </w:pPr>
      <w:r>
        <w:t>(Image author’s own)</w:t>
      </w:r>
    </w:p>
    <w:p w14:paraId="6AC07006" w14:textId="77777777" w:rsidR="000435E9" w:rsidRDefault="000435E9" w:rsidP="00F82BF2">
      <w:pPr>
        <w:spacing w:after="0" w:line="240" w:lineRule="auto"/>
        <w:jc w:val="center"/>
      </w:pPr>
      <w:r>
        <w:br w:type="page"/>
      </w:r>
    </w:p>
    <w:p w14:paraId="73967CAE" w14:textId="77777777" w:rsidR="000435E9" w:rsidRDefault="000435E9" w:rsidP="0053738A">
      <w:pPr>
        <w:jc w:val="center"/>
        <w:rPr>
          <w:b/>
          <w:bCs/>
        </w:rPr>
      </w:pPr>
      <w:r>
        <w:rPr>
          <w:b/>
          <w:bCs/>
          <w:noProof/>
        </w:rPr>
        <w:lastRenderedPageBreak/>
        <w:drawing>
          <wp:inline distT="0" distB="0" distL="0" distR="0" wp14:anchorId="20DD1966" wp14:editId="7B88DA58">
            <wp:extent cx="5095875" cy="6018520"/>
            <wp:effectExtent l="0" t="0" r="0" b="1905"/>
            <wp:docPr id="1021968202" name="Picture 8" descr="A stone house with a stone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968202" name="Picture 8" descr="A stone house with a stone roof&#10;&#10;Description automatically generated with medium confidence"/>
                    <pic:cNvPicPr/>
                  </pic:nvPicPr>
                  <pic:blipFill rotWithShape="1">
                    <a:blip r:embed="rId89">
                      <a:extLst>
                        <a:ext uri="{28A0092B-C50C-407E-A947-70E740481C1C}">
                          <a14:useLocalDpi xmlns:a14="http://schemas.microsoft.com/office/drawing/2010/main" val="0"/>
                        </a:ext>
                      </a:extLst>
                    </a:blip>
                    <a:srcRect l="13886" t="15406" r="24066" b="29611"/>
                    <a:stretch/>
                  </pic:blipFill>
                  <pic:spPr bwMode="auto">
                    <a:xfrm>
                      <a:off x="0" y="0"/>
                      <a:ext cx="5115132" cy="6041263"/>
                    </a:xfrm>
                    <a:prstGeom prst="rect">
                      <a:avLst/>
                    </a:prstGeom>
                    <a:ln>
                      <a:noFill/>
                    </a:ln>
                    <a:extLst>
                      <a:ext uri="{53640926-AAD7-44D8-BBD7-CCE9431645EC}">
                        <a14:shadowObscured xmlns:a14="http://schemas.microsoft.com/office/drawing/2010/main"/>
                      </a:ext>
                    </a:extLst>
                  </pic:spPr>
                </pic:pic>
              </a:graphicData>
            </a:graphic>
          </wp:inline>
        </w:drawing>
      </w:r>
    </w:p>
    <w:p w14:paraId="01618316" w14:textId="77777777" w:rsidR="0053738A" w:rsidRDefault="000435E9" w:rsidP="0053738A">
      <w:pPr>
        <w:tabs>
          <w:tab w:val="left" w:pos="6840"/>
        </w:tabs>
        <w:jc w:val="center"/>
      </w:pPr>
      <w:r w:rsidRPr="000435E9">
        <w:t>Figure 74 –</w:t>
      </w:r>
      <w:r w:rsidRPr="00C00281">
        <w:t xml:space="preserve"> </w:t>
      </w:r>
      <w:r>
        <w:t xml:space="preserve">Worn </w:t>
      </w:r>
      <w:r w:rsidRPr="00C00281">
        <w:t xml:space="preserve">crest at Ridge Hill </w:t>
      </w:r>
      <w:r>
        <w:t>Farmh</w:t>
      </w:r>
      <w:r w:rsidRPr="00C00281">
        <w:t xml:space="preserve">ouse, Sutton, </w:t>
      </w:r>
      <w:r>
        <w:t xml:space="preserve">within </w:t>
      </w:r>
      <w:r w:rsidRPr="00C00281">
        <w:t>Prestbury</w:t>
      </w:r>
      <w:r>
        <w:t xml:space="preserve"> parish</w:t>
      </w:r>
      <w:r w:rsidRPr="00C00281">
        <w:t>.</w:t>
      </w:r>
      <w:r>
        <w:t xml:space="preserve"> </w:t>
      </w:r>
    </w:p>
    <w:p w14:paraId="6F3A0BA1" w14:textId="4C2D4FF7" w:rsidR="009F0507" w:rsidRDefault="000435E9" w:rsidP="0053738A">
      <w:pPr>
        <w:tabs>
          <w:tab w:val="left" w:pos="6840"/>
        </w:tabs>
        <w:jc w:val="center"/>
      </w:pPr>
      <w:r>
        <w:t>(Image author’s own)</w:t>
      </w:r>
    </w:p>
    <w:p w14:paraId="2C4AB5BC" w14:textId="77777777" w:rsidR="009F0507" w:rsidRDefault="009F0507" w:rsidP="0053738A">
      <w:pPr>
        <w:spacing w:after="0" w:line="240" w:lineRule="auto"/>
        <w:jc w:val="center"/>
      </w:pPr>
      <w:r>
        <w:br w:type="page"/>
      </w:r>
    </w:p>
    <w:p w14:paraId="492AAC76" w14:textId="77777777" w:rsidR="009F0507" w:rsidRPr="009F0507" w:rsidRDefault="009F0507" w:rsidP="0053738A">
      <w:pPr>
        <w:tabs>
          <w:tab w:val="left" w:pos="6840"/>
        </w:tabs>
        <w:jc w:val="center"/>
      </w:pPr>
      <w:r w:rsidRPr="009F0507">
        <w:rPr>
          <w:noProof/>
        </w:rPr>
        <w:lastRenderedPageBreak/>
        <w:drawing>
          <wp:inline distT="0" distB="0" distL="0" distR="0" wp14:anchorId="45A17D47" wp14:editId="09065919">
            <wp:extent cx="5731510" cy="4328160"/>
            <wp:effectExtent l="0" t="0" r="2540" b="0"/>
            <wp:docPr id="600112269" name="Picture 9" descr="A stone plaque on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12269" name="Picture 9" descr="A stone plaque on a brick wall&#10;&#10;Description automatically generated"/>
                    <pic:cNvPicPr/>
                  </pic:nvPicPr>
                  <pic:blipFill>
                    <a:blip r:embed="rId90">
                      <a:extLst>
                        <a:ext uri="{28A0092B-C50C-407E-A947-70E740481C1C}">
                          <a14:useLocalDpi xmlns:a14="http://schemas.microsoft.com/office/drawing/2010/main" val="0"/>
                        </a:ext>
                      </a:extLst>
                    </a:blip>
                    <a:stretch>
                      <a:fillRect/>
                    </a:stretch>
                  </pic:blipFill>
                  <pic:spPr>
                    <a:xfrm>
                      <a:off x="0" y="0"/>
                      <a:ext cx="5731510" cy="4328160"/>
                    </a:xfrm>
                    <a:prstGeom prst="rect">
                      <a:avLst/>
                    </a:prstGeom>
                  </pic:spPr>
                </pic:pic>
              </a:graphicData>
            </a:graphic>
          </wp:inline>
        </w:drawing>
      </w:r>
    </w:p>
    <w:p w14:paraId="20966531" w14:textId="61F7A01E" w:rsidR="0053738A" w:rsidRDefault="009F0507" w:rsidP="0053738A">
      <w:pPr>
        <w:jc w:val="center"/>
      </w:pPr>
      <w:r w:rsidRPr="009F0507">
        <w:t>Figure 75 - Heraldic-style crest at Pott Lords farmhouse,</w:t>
      </w:r>
      <w:r w:rsidR="0033119D">
        <w:t xml:space="preserve"> Sutton,</w:t>
      </w:r>
      <w:r w:rsidR="00404026">
        <w:t xml:space="preserve"> within Prestbury parish,</w:t>
      </w:r>
      <w:r w:rsidRPr="009F0507">
        <w:t xml:space="preserve"> featuring the initials ‘I H’ and the year 1693. </w:t>
      </w:r>
    </w:p>
    <w:p w14:paraId="4FB20E26" w14:textId="14EE99FE" w:rsidR="008E047D" w:rsidRDefault="009F0507" w:rsidP="0053738A">
      <w:pPr>
        <w:jc w:val="center"/>
      </w:pPr>
      <w:r w:rsidRPr="009F0507">
        <w:t>(Image author’s own)</w:t>
      </w:r>
    </w:p>
    <w:p w14:paraId="0C795536" w14:textId="77777777" w:rsidR="008E047D" w:rsidRDefault="008E047D" w:rsidP="0053738A">
      <w:pPr>
        <w:spacing w:after="0" w:line="240" w:lineRule="auto"/>
        <w:jc w:val="center"/>
      </w:pPr>
      <w:r>
        <w:br w:type="page"/>
      </w:r>
    </w:p>
    <w:p w14:paraId="25C6AA99" w14:textId="77777777" w:rsidR="008E047D" w:rsidRPr="00A50840" w:rsidRDefault="008E047D" w:rsidP="0053738A">
      <w:pPr>
        <w:jc w:val="center"/>
      </w:pPr>
      <w:r w:rsidRPr="00A50840">
        <w:rPr>
          <w:noProof/>
        </w:rPr>
        <w:lastRenderedPageBreak/>
        <w:drawing>
          <wp:inline distT="0" distB="0" distL="0" distR="0" wp14:anchorId="6C471DE7" wp14:editId="7F531403">
            <wp:extent cx="5731510" cy="7642225"/>
            <wp:effectExtent l="0" t="0" r="2540" b="0"/>
            <wp:docPr id="1988173338" name="Picture 35" descr="A stone building with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173338" name="Picture 35" descr="A stone building with a door&#10;&#10;Description automatically generated"/>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6607E19F" w14:textId="063292B6" w:rsidR="0053738A" w:rsidRDefault="008E047D" w:rsidP="0053738A">
      <w:pPr>
        <w:jc w:val="center"/>
      </w:pPr>
      <w:r w:rsidRPr="00A50840">
        <w:t>Figure 7</w:t>
      </w:r>
      <w:r w:rsidRPr="008E047D">
        <w:t>6</w:t>
      </w:r>
      <w:r w:rsidRPr="00A50840">
        <w:t xml:space="preserve"> – </w:t>
      </w:r>
      <w:r w:rsidRPr="008E047D">
        <w:t xml:space="preserve">Raised datestone on the façade of </w:t>
      </w:r>
      <w:r w:rsidRPr="00A50840">
        <w:t>The Malthouse, Slyne</w:t>
      </w:r>
      <w:r w:rsidR="00AE6049">
        <w:t xml:space="preserve"> (as seen in</w:t>
      </w:r>
      <w:r w:rsidR="00270242">
        <w:t xml:space="preserve"> close-up in</w:t>
      </w:r>
      <w:r w:rsidR="00AE6049">
        <w:t xml:space="preserve"> Figure </w:t>
      </w:r>
      <w:r w:rsidR="00270242">
        <w:t xml:space="preserve">58) </w:t>
      </w:r>
      <w:r w:rsidRPr="008E047D">
        <w:t xml:space="preserve">within </w:t>
      </w:r>
      <w:r w:rsidRPr="00A50840">
        <w:t>Bolton-le-Sands parish</w:t>
      </w:r>
      <w:r w:rsidRPr="008E047D">
        <w:t xml:space="preserve">. </w:t>
      </w:r>
    </w:p>
    <w:p w14:paraId="6DA110D2" w14:textId="44B4C575" w:rsidR="0006415E" w:rsidRDefault="008E047D" w:rsidP="0053738A">
      <w:pPr>
        <w:jc w:val="center"/>
      </w:pPr>
      <w:r w:rsidRPr="008E047D">
        <w:t>(Image author’s own)</w:t>
      </w:r>
    </w:p>
    <w:p w14:paraId="0114D33F" w14:textId="77777777" w:rsidR="0006415E" w:rsidRDefault="0006415E" w:rsidP="0053738A">
      <w:pPr>
        <w:spacing w:after="0" w:line="240" w:lineRule="auto"/>
        <w:jc w:val="center"/>
      </w:pPr>
      <w:r>
        <w:br w:type="page"/>
      </w:r>
    </w:p>
    <w:p w14:paraId="16F8D6AE" w14:textId="77777777" w:rsidR="0006415E" w:rsidRDefault="0006415E" w:rsidP="00270242">
      <w:pPr>
        <w:jc w:val="center"/>
        <w:rPr>
          <w:b/>
          <w:bCs/>
        </w:rPr>
      </w:pPr>
      <w:r>
        <w:rPr>
          <w:b/>
          <w:bCs/>
          <w:noProof/>
        </w:rPr>
        <w:lastRenderedPageBreak/>
        <w:drawing>
          <wp:inline distT="0" distB="0" distL="0" distR="0" wp14:anchorId="154D6726" wp14:editId="7D4F3940">
            <wp:extent cx="5940136" cy="6534150"/>
            <wp:effectExtent l="0" t="0" r="3810" b="0"/>
            <wp:docPr id="1691766071" name="Picture 34" descr="A white house with a door and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766071" name="Picture 34" descr="A white house with a door and windows&#10;&#10;Description automatically generated"/>
                    <pic:cNvPicPr/>
                  </pic:nvPicPr>
                  <pic:blipFill rotWithShape="1">
                    <a:blip r:embed="rId92" cstate="print">
                      <a:extLst>
                        <a:ext uri="{28A0092B-C50C-407E-A947-70E740481C1C}">
                          <a14:useLocalDpi xmlns:a14="http://schemas.microsoft.com/office/drawing/2010/main" val="0"/>
                        </a:ext>
                      </a:extLst>
                    </a:blip>
                    <a:srcRect l="-296" t="30467" r="16095" b="69"/>
                    <a:stretch/>
                  </pic:blipFill>
                  <pic:spPr bwMode="auto">
                    <a:xfrm>
                      <a:off x="0" y="0"/>
                      <a:ext cx="5943987" cy="6538386"/>
                    </a:xfrm>
                    <a:prstGeom prst="rect">
                      <a:avLst/>
                    </a:prstGeom>
                    <a:ln>
                      <a:noFill/>
                    </a:ln>
                    <a:extLst>
                      <a:ext uri="{53640926-AAD7-44D8-BBD7-CCE9431645EC}">
                        <a14:shadowObscured xmlns:a14="http://schemas.microsoft.com/office/drawing/2010/main"/>
                      </a:ext>
                    </a:extLst>
                  </pic:spPr>
                </pic:pic>
              </a:graphicData>
            </a:graphic>
          </wp:inline>
        </w:drawing>
      </w:r>
    </w:p>
    <w:p w14:paraId="7F794B58" w14:textId="6B4C685A" w:rsidR="00270242" w:rsidRDefault="0006415E" w:rsidP="00270242">
      <w:pPr>
        <w:jc w:val="center"/>
      </w:pPr>
      <w:r w:rsidRPr="0006415E">
        <w:t>Figure 77 – Raised datestone at 6 Packet Lane, Bolton-le-Sands village.</w:t>
      </w:r>
    </w:p>
    <w:p w14:paraId="63508CEE" w14:textId="1BFACC38" w:rsidR="0006415E" w:rsidRDefault="0006415E" w:rsidP="00270242">
      <w:pPr>
        <w:jc w:val="center"/>
      </w:pPr>
      <w:r w:rsidRPr="0006415E">
        <w:t>(Image author’s own)</w:t>
      </w:r>
    </w:p>
    <w:p w14:paraId="6CD395FF" w14:textId="77777777" w:rsidR="0006415E" w:rsidRDefault="0006415E" w:rsidP="00270242">
      <w:pPr>
        <w:spacing w:after="0" w:line="240" w:lineRule="auto"/>
        <w:jc w:val="center"/>
      </w:pPr>
      <w:r>
        <w:br w:type="page"/>
      </w:r>
    </w:p>
    <w:p w14:paraId="7B5E2D5B" w14:textId="77777777" w:rsidR="006C7D70" w:rsidRDefault="006C7D70" w:rsidP="008E68C4">
      <w:pPr>
        <w:jc w:val="center"/>
        <w:rPr>
          <w:b/>
          <w:bCs/>
        </w:rPr>
      </w:pPr>
      <w:r>
        <w:rPr>
          <w:b/>
          <w:bCs/>
          <w:noProof/>
        </w:rPr>
        <w:lastRenderedPageBreak/>
        <w:drawing>
          <wp:inline distT="0" distB="0" distL="0" distR="0" wp14:anchorId="5EC46C39" wp14:editId="501D8BCD">
            <wp:extent cx="5731510" cy="7642225"/>
            <wp:effectExtent l="0" t="0" r="2540" b="0"/>
            <wp:docPr id="2059171614" name="Picture 36" descr="A stone wall with a carved stone emble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71614" name="Picture 36" descr="A stone wall with a carved stone emblem&#10;&#10;Description automatically generated with medium confidenc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38C868DB" w14:textId="7AF990F2" w:rsidR="008E68C4" w:rsidRDefault="006C7D70" w:rsidP="008E68C4">
      <w:pPr>
        <w:jc w:val="center"/>
      </w:pPr>
      <w:r w:rsidRPr="006C7D70">
        <w:t xml:space="preserve">Figure 78 – Raised datestone </w:t>
      </w:r>
      <w:r w:rsidR="002B114D">
        <w:t>positioned above the entryway o</w:t>
      </w:r>
      <w:r w:rsidRPr="006C7D70">
        <w:t xml:space="preserve">n the façade of Hogarth House, Over Kellet, within Bolton-le-Sands parish. </w:t>
      </w:r>
    </w:p>
    <w:p w14:paraId="66FEF9DC" w14:textId="0512AECC" w:rsidR="006C7D70" w:rsidRDefault="006C7D70" w:rsidP="008E68C4">
      <w:pPr>
        <w:jc w:val="center"/>
      </w:pPr>
      <w:r w:rsidRPr="006C7D70">
        <w:t>(Image author’s own)</w:t>
      </w:r>
    </w:p>
    <w:p w14:paraId="7133C921" w14:textId="77777777" w:rsidR="006C7D70" w:rsidRDefault="006C7D70">
      <w:pPr>
        <w:spacing w:after="0" w:line="240" w:lineRule="auto"/>
      </w:pPr>
      <w:r>
        <w:br w:type="page"/>
      </w:r>
    </w:p>
    <w:p w14:paraId="1824D002" w14:textId="77777777" w:rsidR="00EF3D76" w:rsidRPr="00307F48" w:rsidRDefault="00EF3D76" w:rsidP="002B114D">
      <w:pPr>
        <w:jc w:val="center"/>
        <w:rPr>
          <w:noProof/>
        </w:rPr>
      </w:pPr>
      <w:r w:rsidRPr="00307F48">
        <w:rPr>
          <w:noProof/>
        </w:rPr>
        <w:lastRenderedPageBreak/>
        <w:drawing>
          <wp:inline distT="0" distB="0" distL="0" distR="0" wp14:anchorId="2E7E957D" wp14:editId="49399F3F">
            <wp:extent cx="5731510" cy="7642225"/>
            <wp:effectExtent l="0" t="0" r="2540" b="0"/>
            <wp:docPr id="1907544228" name="Picture 39" descr="A window o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44228" name="Picture 39" descr="A window on a brick building&#10;&#10;Description automatically generated"/>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60F993CD" w14:textId="596F34E6" w:rsidR="002B114D" w:rsidRDefault="00EF3D76" w:rsidP="002B114D">
      <w:pPr>
        <w:jc w:val="center"/>
        <w:rPr>
          <w:noProof/>
        </w:rPr>
      </w:pPr>
      <w:r w:rsidRPr="00307F48">
        <w:rPr>
          <w:noProof/>
        </w:rPr>
        <w:t>Figure 79 – Datestone on the façade of Walnut Tree Farmhouse, Butley, within Prestbury parish</w:t>
      </w:r>
      <w:r w:rsidR="002B114D">
        <w:rPr>
          <w:noProof/>
        </w:rPr>
        <w:t>. Positioned in the second storey of the house above the main entryway</w:t>
      </w:r>
      <w:r w:rsidR="00275146">
        <w:rPr>
          <w:noProof/>
        </w:rPr>
        <w:t xml:space="preserve">; identities of inscribers </w:t>
      </w:r>
      <w:r w:rsidRPr="00307F48">
        <w:rPr>
          <w:noProof/>
        </w:rPr>
        <w:t>unknown.</w:t>
      </w:r>
    </w:p>
    <w:p w14:paraId="5EFCBEE1" w14:textId="3F1C0F0B" w:rsidR="00275146" w:rsidRPr="0009498B" w:rsidRDefault="00EF3D76" w:rsidP="00275146">
      <w:pPr>
        <w:jc w:val="center"/>
        <w:rPr>
          <w:noProof/>
        </w:rPr>
        <w:sectPr w:rsidR="00275146" w:rsidRPr="0009498B">
          <w:pgSz w:w="11906" w:h="16838"/>
          <w:pgMar w:top="1440" w:right="1440" w:bottom="1440" w:left="1440" w:header="720" w:footer="720" w:gutter="0"/>
          <w:cols w:space="720"/>
          <w:docGrid w:linePitch="360"/>
        </w:sectPr>
      </w:pPr>
      <w:r w:rsidRPr="00307F48">
        <w:rPr>
          <w:noProof/>
        </w:rPr>
        <w:t>(Image author’s own)</w:t>
      </w:r>
    </w:p>
    <w:p w14:paraId="3B2D7D7D" w14:textId="79264183" w:rsidR="0050065E" w:rsidRDefault="0050065E">
      <w:pPr>
        <w:spacing w:after="0" w:line="240" w:lineRule="auto"/>
        <w:rPr>
          <w:b/>
          <w:bCs/>
          <w:sz w:val="32"/>
          <w:szCs w:val="32"/>
          <w:u w:val="single"/>
        </w:rPr>
      </w:pPr>
    </w:p>
    <w:p w14:paraId="5536B834" w14:textId="77777777" w:rsidR="00622DFF" w:rsidRPr="00622DFF" w:rsidRDefault="00622DFF" w:rsidP="00622DFF">
      <w:pPr>
        <w:spacing w:after="0" w:line="240" w:lineRule="auto"/>
        <w:jc w:val="center"/>
        <w:rPr>
          <w:b/>
          <w:bCs/>
          <w:sz w:val="32"/>
          <w:szCs w:val="32"/>
          <w:u w:val="single"/>
        </w:rPr>
      </w:pPr>
    </w:p>
    <w:p w14:paraId="715BF004" w14:textId="77777777" w:rsidR="00622DFF" w:rsidRDefault="00622DFF" w:rsidP="005A57CA">
      <w:pPr>
        <w:spacing w:after="0" w:line="240" w:lineRule="auto"/>
        <w:jc w:val="center"/>
        <w:rPr>
          <w:b/>
          <w:bCs/>
          <w:sz w:val="32"/>
          <w:szCs w:val="32"/>
          <w:u w:val="single"/>
        </w:rPr>
      </w:pPr>
    </w:p>
    <w:p w14:paraId="618B8D79" w14:textId="77777777" w:rsidR="00622DFF" w:rsidRDefault="00622DFF" w:rsidP="005A57CA">
      <w:pPr>
        <w:spacing w:after="0" w:line="240" w:lineRule="auto"/>
        <w:jc w:val="center"/>
        <w:rPr>
          <w:b/>
          <w:bCs/>
          <w:sz w:val="32"/>
          <w:szCs w:val="32"/>
          <w:u w:val="single"/>
        </w:rPr>
      </w:pPr>
    </w:p>
    <w:p w14:paraId="634D1A42" w14:textId="77777777" w:rsidR="00622DFF" w:rsidRDefault="00622DFF" w:rsidP="005A57CA">
      <w:pPr>
        <w:spacing w:after="0" w:line="240" w:lineRule="auto"/>
        <w:jc w:val="center"/>
        <w:rPr>
          <w:b/>
          <w:bCs/>
          <w:sz w:val="32"/>
          <w:szCs w:val="32"/>
          <w:u w:val="single"/>
        </w:rPr>
      </w:pPr>
    </w:p>
    <w:p w14:paraId="1D3AEAF6" w14:textId="77777777" w:rsidR="00622DFF" w:rsidRDefault="00622DFF" w:rsidP="005A57CA">
      <w:pPr>
        <w:spacing w:after="0" w:line="240" w:lineRule="auto"/>
        <w:jc w:val="center"/>
        <w:rPr>
          <w:b/>
          <w:bCs/>
          <w:sz w:val="32"/>
          <w:szCs w:val="32"/>
          <w:u w:val="single"/>
        </w:rPr>
      </w:pPr>
    </w:p>
    <w:p w14:paraId="077DFAD1" w14:textId="77777777" w:rsidR="00622DFF" w:rsidRDefault="00622DFF" w:rsidP="005A57CA">
      <w:pPr>
        <w:spacing w:after="0" w:line="240" w:lineRule="auto"/>
        <w:jc w:val="center"/>
        <w:rPr>
          <w:b/>
          <w:bCs/>
          <w:sz w:val="32"/>
          <w:szCs w:val="32"/>
          <w:u w:val="single"/>
        </w:rPr>
      </w:pPr>
    </w:p>
    <w:p w14:paraId="16118AA6" w14:textId="77777777" w:rsidR="00622DFF" w:rsidRDefault="00622DFF" w:rsidP="005A57CA">
      <w:pPr>
        <w:spacing w:after="0" w:line="240" w:lineRule="auto"/>
        <w:jc w:val="center"/>
        <w:rPr>
          <w:b/>
          <w:bCs/>
          <w:sz w:val="32"/>
          <w:szCs w:val="32"/>
          <w:u w:val="single"/>
        </w:rPr>
      </w:pPr>
      <w:r>
        <w:rPr>
          <w:b/>
          <w:bCs/>
          <w:sz w:val="32"/>
          <w:szCs w:val="32"/>
          <w:u w:val="single"/>
        </w:rPr>
        <w:t>Appendix 3:</w:t>
      </w:r>
    </w:p>
    <w:p w14:paraId="4B2A6A38" w14:textId="77777777" w:rsidR="00622DFF" w:rsidRDefault="00622DFF" w:rsidP="005A57CA">
      <w:pPr>
        <w:spacing w:after="0" w:line="240" w:lineRule="auto"/>
        <w:jc w:val="center"/>
        <w:rPr>
          <w:b/>
          <w:bCs/>
          <w:sz w:val="32"/>
          <w:szCs w:val="32"/>
          <w:u w:val="single"/>
        </w:rPr>
      </w:pPr>
    </w:p>
    <w:p w14:paraId="7537B1B3" w14:textId="77777777" w:rsidR="00552DB1" w:rsidRDefault="00622DFF" w:rsidP="005A57CA">
      <w:pPr>
        <w:spacing w:after="0" w:line="240" w:lineRule="auto"/>
        <w:jc w:val="center"/>
        <w:rPr>
          <w:b/>
          <w:bCs/>
          <w:sz w:val="32"/>
          <w:szCs w:val="32"/>
          <w:u w:val="single"/>
        </w:rPr>
      </w:pPr>
      <w:r>
        <w:rPr>
          <w:b/>
          <w:bCs/>
          <w:sz w:val="32"/>
          <w:szCs w:val="32"/>
          <w:u w:val="single"/>
        </w:rPr>
        <w:t>Tables</w:t>
      </w:r>
    </w:p>
    <w:p w14:paraId="1313398D" w14:textId="77777777" w:rsidR="00552DB1" w:rsidRDefault="00552DB1">
      <w:pPr>
        <w:spacing w:after="0" w:line="240" w:lineRule="auto"/>
        <w:rPr>
          <w:b/>
          <w:bCs/>
          <w:sz w:val="32"/>
          <w:szCs w:val="32"/>
          <w:u w:val="single"/>
        </w:rPr>
      </w:pPr>
      <w:r>
        <w:rPr>
          <w:b/>
          <w:bCs/>
          <w:sz w:val="32"/>
          <w:szCs w:val="32"/>
          <w:u w:val="single"/>
        </w:rPr>
        <w:br w:type="page"/>
      </w:r>
    </w:p>
    <w:tbl>
      <w:tblPr>
        <w:tblStyle w:val="TableGrid"/>
        <w:tblpPr w:leftFromText="180" w:rightFromText="180" w:horzAnchor="margin" w:tblpY="2880"/>
        <w:tblW w:w="0" w:type="auto"/>
        <w:tblLook w:val="04A0" w:firstRow="1" w:lastRow="0" w:firstColumn="1" w:lastColumn="0" w:noHBand="0" w:noVBand="1"/>
      </w:tblPr>
      <w:tblGrid>
        <w:gridCol w:w="2537"/>
        <w:gridCol w:w="3118"/>
        <w:gridCol w:w="3341"/>
      </w:tblGrid>
      <w:tr w:rsidR="003A756F" w:rsidRPr="003A756F" w14:paraId="1DDEC5B1" w14:textId="77777777" w:rsidTr="009E4DFA">
        <w:tc>
          <w:tcPr>
            <w:tcW w:w="2537" w:type="dxa"/>
            <w:tcBorders>
              <w:top w:val="single" w:sz="12" w:space="0" w:color="auto"/>
              <w:left w:val="single" w:sz="12" w:space="0" w:color="auto"/>
              <w:right w:val="single" w:sz="12" w:space="0" w:color="auto"/>
            </w:tcBorders>
          </w:tcPr>
          <w:p w14:paraId="225B0BDA" w14:textId="77777777" w:rsidR="003A756F" w:rsidRPr="003A756F" w:rsidRDefault="003A756F" w:rsidP="009E4DFA">
            <w:pPr>
              <w:spacing w:after="0" w:line="240" w:lineRule="auto"/>
            </w:pPr>
          </w:p>
        </w:tc>
        <w:tc>
          <w:tcPr>
            <w:tcW w:w="3118" w:type="dxa"/>
            <w:tcBorders>
              <w:top w:val="single" w:sz="12" w:space="0" w:color="auto"/>
              <w:left w:val="single" w:sz="12" w:space="0" w:color="auto"/>
              <w:right w:val="single" w:sz="12" w:space="0" w:color="auto"/>
            </w:tcBorders>
          </w:tcPr>
          <w:p w14:paraId="19E27E0B" w14:textId="77777777" w:rsidR="003A756F" w:rsidRPr="003A756F" w:rsidRDefault="003A756F" w:rsidP="009E4DFA">
            <w:pPr>
              <w:spacing w:after="0" w:line="240" w:lineRule="auto"/>
              <w:jc w:val="center"/>
              <w:rPr>
                <w:b/>
                <w:bCs/>
              </w:rPr>
            </w:pPr>
            <w:r w:rsidRPr="003A756F">
              <w:rPr>
                <w:b/>
                <w:bCs/>
              </w:rPr>
              <w:t>Bolton-le-Sands</w:t>
            </w:r>
          </w:p>
        </w:tc>
        <w:tc>
          <w:tcPr>
            <w:tcW w:w="3341" w:type="dxa"/>
            <w:tcBorders>
              <w:top w:val="single" w:sz="12" w:space="0" w:color="auto"/>
              <w:left w:val="single" w:sz="12" w:space="0" w:color="auto"/>
              <w:right w:val="single" w:sz="12" w:space="0" w:color="auto"/>
            </w:tcBorders>
          </w:tcPr>
          <w:p w14:paraId="210A294A" w14:textId="77777777" w:rsidR="003A756F" w:rsidRPr="003A756F" w:rsidRDefault="003A756F" w:rsidP="009E4DFA">
            <w:pPr>
              <w:spacing w:after="0" w:line="240" w:lineRule="auto"/>
              <w:jc w:val="center"/>
              <w:rPr>
                <w:b/>
                <w:bCs/>
              </w:rPr>
            </w:pPr>
            <w:r w:rsidRPr="003A756F">
              <w:rPr>
                <w:b/>
                <w:bCs/>
              </w:rPr>
              <w:t>Prestbury</w:t>
            </w:r>
          </w:p>
        </w:tc>
      </w:tr>
      <w:tr w:rsidR="003A756F" w:rsidRPr="003A756F" w14:paraId="0C6A30C5" w14:textId="77777777" w:rsidTr="009E4DFA">
        <w:tc>
          <w:tcPr>
            <w:tcW w:w="2537" w:type="dxa"/>
            <w:tcBorders>
              <w:top w:val="single" w:sz="12" w:space="0" w:color="auto"/>
              <w:left w:val="single" w:sz="12" w:space="0" w:color="auto"/>
              <w:right w:val="single" w:sz="12" w:space="0" w:color="auto"/>
            </w:tcBorders>
          </w:tcPr>
          <w:p w14:paraId="0652C78F" w14:textId="77777777" w:rsidR="003A756F" w:rsidRPr="003A756F" w:rsidRDefault="003A756F" w:rsidP="009E4DFA">
            <w:pPr>
              <w:spacing w:after="0" w:line="240" w:lineRule="auto"/>
              <w:jc w:val="center"/>
              <w:rPr>
                <w:b/>
                <w:bCs/>
              </w:rPr>
            </w:pPr>
            <w:r w:rsidRPr="003A756F">
              <w:rPr>
                <w:b/>
                <w:bCs/>
              </w:rPr>
              <w:t>1650-1659</w:t>
            </w:r>
          </w:p>
        </w:tc>
        <w:tc>
          <w:tcPr>
            <w:tcW w:w="3118" w:type="dxa"/>
            <w:tcBorders>
              <w:top w:val="single" w:sz="12" w:space="0" w:color="auto"/>
              <w:left w:val="single" w:sz="12" w:space="0" w:color="auto"/>
              <w:right w:val="single" w:sz="12" w:space="0" w:color="auto"/>
            </w:tcBorders>
          </w:tcPr>
          <w:p w14:paraId="30BE6B87" w14:textId="77777777" w:rsidR="003A756F" w:rsidRPr="003A756F" w:rsidRDefault="003A756F" w:rsidP="009E4DFA">
            <w:pPr>
              <w:spacing w:after="0" w:line="240" w:lineRule="auto"/>
              <w:jc w:val="center"/>
            </w:pPr>
            <w:r w:rsidRPr="003A756F">
              <w:t>8</w:t>
            </w:r>
          </w:p>
        </w:tc>
        <w:tc>
          <w:tcPr>
            <w:tcW w:w="3341" w:type="dxa"/>
            <w:tcBorders>
              <w:top w:val="single" w:sz="12" w:space="0" w:color="auto"/>
              <w:left w:val="single" w:sz="12" w:space="0" w:color="auto"/>
              <w:right w:val="single" w:sz="12" w:space="0" w:color="auto"/>
            </w:tcBorders>
          </w:tcPr>
          <w:p w14:paraId="142FE4D3" w14:textId="77777777" w:rsidR="003A756F" w:rsidRPr="003A756F" w:rsidRDefault="003A756F" w:rsidP="009E4DFA">
            <w:pPr>
              <w:spacing w:after="0" w:line="240" w:lineRule="auto"/>
              <w:jc w:val="center"/>
            </w:pPr>
            <w:r w:rsidRPr="003A756F">
              <w:t>3</w:t>
            </w:r>
          </w:p>
        </w:tc>
      </w:tr>
      <w:tr w:rsidR="003A756F" w:rsidRPr="003A756F" w14:paraId="122C2D0A" w14:textId="77777777" w:rsidTr="009E4DFA">
        <w:tc>
          <w:tcPr>
            <w:tcW w:w="2537" w:type="dxa"/>
            <w:tcBorders>
              <w:left w:val="single" w:sz="12" w:space="0" w:color="auto"/>
              <w:right w:val="single" w:sz="12" w:space="0" w:color="auto"/>
            </w:tcBorders>
          </w:tcPr>
          <w:p w14:paraId="60DDBF4B" w14:textId="77777777" w:rsidR="003A756F" w:rsidRPr="003A756F" w:rsidRDefault="003A756F" w:rsidP="009E4DFA">
            <w:pPr>
              <w:spacing w:after="0" w:line="240" w:lineRule="auto"/>
              <w:jc w:val="center"/>
              <w:rPr>
                <w:b/>
                <w:bCs/>
              </w:rPr>
            </w:pPr>
            <w:r w:rsidRPr="003A756F">
              <w:rPr>
                <w:b/>
                <w:bCs/>
              </w:rPr>
              <w:t>1660-1669</w:t>
            </w:r>
          </w:p>
        </w:tc>
        <w:tc>
          <w:tcPr>
            <w:tcW w:w="3118" w:type="dxa"/>
            <w:tcBorders>
              <w:left w:val="single" w:sz="12" w:space="0" w:color="auto"/>
              <w:right w:val="single" w:sz="12" w:space="0" w:color="auto"/>
            </w:tcBorders>
          </w:tcPr>
          <w:p w14:paraId="36009642" w14:textId="77777777" w:rsidR="003A756F" w:rsidRPr="003A756F" w:rsidRDefault="003A756F" w:rsidP="009E4DFA">
            <w:pPr>
              <w:spacing w:after="0" w:line="240" w:lineRule="auto"/>
              <w:jc w:val="center"/>
            </w:pPr>
            <w:r w:rsidRPr="003A756F">
              <w:t>11</w:t>
            </w:r>
          </w:p>
        </w:tc>
        <w:tc>
          <w:tcPr>
            <w:tcW w:w="3341" w:type="dxa"/>
            <w:tcBorders>
              <w:left w:val="single" w:sz="12" w:space="0" w:color="auto"/>
              <w:right w:val="single" w:sz="12" w:space="0" w:color="auto"/>
            </w:tcBorders>
          </w:tcPr>
          <w:p w14:paraId="4F913F09" w14:textId="77777777" w:rsidR="003A756F" w:rsidRPr="003A756F" w:rsidRDefault="003A756F" w:rsidP="009E4DFA">
            <w:pPr>
              <w:spacing w:after="0" w:line="240" w:lineRule="auto"/>
              <w:jc w:val="center"/>
            </w:pPr>
            <w:r w:rsidRPr="003A756F">
              <w:t>10</w:t>
            </w:r>
          </w:p>
        </w:tc>
      </w:tr>
      <w:tr w:rsidR="003A756F" w:rsidRPr="003A756F" w14:paraId="10F90E7A" w14:textId="77777777" w:rsidTr="009E4DFA">
        <w:tc>
          <w:tcPr>
            <w:tcW w:w="2537" w:type="dxa"/>
            <w:tcBorders>
              <w:left w:val="single" w:sz="12" w:space="0" w:color="auto"/>
              <w:right w:val="single" w:sz="12" w:space="0" w:color="auto"/>
            </w:tcBorders>
          </w:tcPr>
          <w:p w14:paraId="43C89A45" w14:textId="77777777" w:rsidR="003A756F" w:rsidRPr="003A756F" w:rsidRDefault="003A756F" w:rsidP="009E4DFA">
            <w:pPr>
              <w:spacing w:after="0" w:line="240" w:lineRule="auto"/>
              <w:jc w:val="center"/>
              <w:rPr>
                <w:b/>
                <w:bCs/>
              </w:rPr>
            </w:pPr>
            <w:r w:rsidRPr="003A756F">
              <w:rPr>
                <w:b/>
                <w:bCs/>
              </w:rPr>
              <w:t>1670-1679</w:t>
            </w:r>
          </w:p>
        </w:tc>
        <w:tc>
          <w:tcPr>
            <w:tcW w:w="3118" w:type="dxa"/>
            <w:tcBorders>
              <w:left w:val="single" w:sz="12" w:space="0" w:color="auto"/>
              <w:right w:val="single" w:sz="12" w:space="0" w:color="auto"/>
            </w:tcBorders>
          </w:tcPr>
          <w:p w14:paraId="01D32768" w14:textId="77777777" w:rsidR="003A756F" w:rsidRPr="003A756F" w:rsidRDefault="003A756F" w:rsidP="009E4DFA">
            <w:pPr>
              <w:spacing w:after="0" w:line="240" w:lineRule="auto"/>
              <w:jc w:val="center"/>
            </w:pPr>
            <w:r w:rsidRPr="003A756F">
              <w:t>10</w:t>
            </w:r>
          </w:p>
        </w:tc>
        <w:tc>
          <w:tcPr>
            <w:tcW w:w="3341" w:type="dxa"/>
            <w:tcBorders>
              <w:left w:val="single" w:sz="12" w:space="0" w:color="auto"/>
              <w:right w:val="single" w:sz="12" w:space="0" w:color="auto"/>
            </w:tcBorders>
          </w:tcPr>
          <w:p w14:paraId="1C9B6832" w14:textId="77777777" w:rsidR="003A756F" w:rsidRPr="003A756F" w:rsidRDefault="003A756F" w:rsidP="009E4DFA">
            <w:pPr>
              <w:spacing w:after="0" w:line="240" w:lineRule="auto"/>
              <w:jc w:val="center"/>
            </w:pPr>
            <w:r w:rsidRPr="003A756F">
              <w:t>9</w:t>
            </w:r>
          </w:p>
        </w:tc>
      </w:tr>
      <w:tr w:rsidR="003A756F" w:rsidRPr="003A756F" w14:paraId="35B7286B" w14:textId="77777777" w:rsidTr="009E4DFA">
        <w:tc>
          <w:tcPr>
            <w:tcW w:w="2537" w:type="dxa"/>
            <w:tcBorders>
              <w:left w:val="single" w:sz="12" w:space="0" w:color="auto"/>
              <w:right w:val="single" w:sz="12" w:space="0" w:color="auto"/>
            </w:tcBorders>
          </w:tcPr>
          <w:p w14:paraId="3DAD0D4D" w14:textId="77777777" w:rsidR="003A756F" w:rsidRPr="003A756F" w:rsidRDefault="003A756F" w:rsidP="009E4DFA">
            <w:pPr>
              <w:spacing w:after="0" w:line="240" w:lineRule="auto"/>
              <w:jc w:val="center"/>
              <w:rPr>
                <w:b/>
                <w:bCs/>
              </w:rPr>
            </w:pPr>
            <w:r w:rsidRPr="003A756F">
              <w:rPr>
                <w:b/>
                <w:bCs/>
              </w:rPr>
              <w:t>1680-1689</w:t>
            </w:r>
          </w:p>
        </w:tc>
        <w:tc>
          <w:tcPr>
            <w:tcW w:w="3118" w:type="dxa"/>
            <w:tcBorders>
              <w:left w:val="single" w:sz="12" w:space="0" w:color="auto"/>
              <w:right w:val="single" w:sz="12" w:space="0" w:color="auto"/>
            </w:tcBorders>
          </w:tcPr>
          <w:p w14:paraId="32E4188B" w14:textId="77777777" w:rsidR="003A756F" w:rsidRPr="003A756F" w:rsidRDefault="003A756F" w:rsidP="009E4DFA">
            <w:pPr>
              <w:spacing w:after="0" w:line="240" w:lineRule="auto"/>
              <w:jc w:val="center"/>
            </w:pPr>
            <w:r w:rsidRPr="003A756F">
              <w:t>7</w:t>
            </w:r>
          </w:p>
        </w:tc>
        <w:tc>
          <w:tcPr>
            <w:tcW w:w="3341" w:type="dxa"/>
            <w:tcBorders>
              <w:left w:val="single" w:sz="12" w:space="0" w:color="auto"/>
              <w:right w:val="single" w:sz="12" w:space="0" w:color="auto"/>
            </w:tcBorders>
          </w:tcPr>
          <w:p w14:paraId="738E509A" w14:textId="77777777" w:rsidR="003A756F" w:rsidRPr="003A756F" w:rsidRDefault="003A756F" w:rsidP="009E4DFA">
            <w:pPr>
              <w:spacing w:after="0" w:line="240" w:lineRule="auto"/>
              <w:jc w:val="center"/>
            </w:pPr>
            <w:r w:rsidRPr="003A756F">
              <w:t>14</w:t>
            </w:r>
          </w:p>
        </w:tc>
      </w:tr>
      <w:tr w:rsidR="003A756F" w:rsidRPr="003A756F" w14:paraId="4BF40FD4" w14:textId="77777777" w:rsidTr="009E4DFA">
        <w:tc>
          <w:tcPr>
            <w:tcW w:w="2537" w:type="dxa"/>
            <w:tcBorders>
              <w:left w:val="single" w:sz="12" w:space="0" w:color="auto"/>
              <w:right w:val="single" w:sz="12" w:space="0" w:color="auto"/>
            </w:tcBorders>
          </w:tcPr>
          <w:p w14:paraId="4E96701B" w14:textId="77777777" w:rsidR="003A756F" w:rsidRPr="003A756F" w:rsidRDefault="003A756F" w:rsidP="009E4DFA">
            <w:pPr>
              <w:spacing w:after="0" w:line="240" w:lineRule="auto"/>
              <w:jc w:val="center"/>
              <w:rPr>
                <w:b/>
                <w:bCs/>
              </w:rPr>
            </w:pPr>
            <w:r w:rsidRPr="003A756F">
              <w:rPr>
                <w:b/>
                <w:bCs/>
              </w:rPr>
              <w:t>1690-1699</w:t>
            </w:r>
          </w:p>
        </w:tc>
        <w:tc>
          <w:tcPr>
            <w:tcW w:w="3118" w:type="dxa"/>
            <w:tcBorders>
              <w:left w:val="single" w:sz="12" w:space="0" w:color="auto"/>
              <w:right w:val="single" w:sz="12" w:space="0" w:color="auto"/>
            </w:tcBorders>
          </w:tcPr>
          <w:p w14:paraId="7C579079" w14:textId="77777777" w:rsidR="003A756F" w:rsidRPr="003A756F" w:rsidRDefault="003A756F" w:rsidP="009E4DFA">
            <w:pPr>
              <w:spacing w:after="0" w:line="240" w:lineRule="auto"/>
              <w:jc w:val="center"/>
            </w:pPr>
            <w:r w:rsidRPr="003A756F">
              <w:t>10</w:t>
            </w:r>
          </w:p>
        </w:tc>
        <w:tc>
          <w:tcPr>
            <w:tcW w:w="3341" w:type="dxa"/>
            <w:tcBorders>
              <w:left w:val="single" w:sz="12" w:space="0" w:color="auto"/>
              <w:right w:val="single" w:sz="12" w:space="0" w:color="auto"/>
            </w:tcBorders>
          </w:tcPr>
          <w:p w14:paraId="464E7BE6" w14:textId="77777777" w:rsidR="003A756F" w:rsidRPr="003A756F" w:rsidRDefault="003A756F" w:rsidP="009E4DFA">
            <w:pPr>
              <w:spacing w:after="0" w:line="240" w:lineRule="auto"/>
              <w:jc w:val="center"/>
            </w:pPr>
            <w:r w:rsidRPr="003A756F">
              <w:t>10</w:t>
            </w:r>
          </w:p>
        </w:tc>
      </w:tr>
      <w:tr w:rsidR="003A756F" w:rsidRPr="003A756F" w14:paraId="5B41720A" w14:textId="77777777" w:rsidTr="009E4DFA">
        <w:tc>
          <w:tcPr>
            <w:tcW w:w="2537" w:type="dxa"/>
            <w:tcBorders>
              <w:left w:val="single" w:sz="12" w:space="0" w:color="auto"/>
              <w:right w:val="single" w:sz="12" w:space="0" w:color="auto"/>
            </w:tcBorders>
          </w:tcPr>
          <w:p w14:paraId="6D1019B8" w14:textId="77777777" w:rsidR="003A756F" w:rsidRPr="003A756F" w:rsidRDefault="003A756F" w:rsidP="009E4DFA">
            <w:pPr>
              <w:spacing w:after="0" w:line="240" w:lineRule="auto"/>
              <w:jc w:val="center"/>
              <w:rPr>
                <w:b/>
                <w:bCs/>
              </w:rPr>
            </w:pPr>
            <w:r w:rsidRPr="003A756F">
              <w:rPr>
                <w:b/>
                <w:bCs/>
              </w:rPr>
              <w:t>1700-1709</w:t>
            </w:r>
          </w:p>
        </w:tc>
        <w:tc>
          <w:tcPr>
            <w:tcW w:w="3118" w:type="dxa"/>
            <w:tcBorders>
              <w:left w:val="single" w:sz="12" w:space="0" w:color="auto"/>
              <w:right w:val="single" w:sz="12" w:space="0" w:color="auto"/>
            </w:tcBorders>
          </w:tcPr>
          <w:p w14:paraId="1DB7A2A7" w14:textId="77777777" w:rsidR="003A756F" w:rsidRPr="003A756F" w:rsidRDefault="003A756F" w:rsidP="009E4DFA">
            <w:pPr>
              <w:spacing w:after="0" w:line="240" w:lineRule="auto"/>
              <w:jc w:val="center"/>
            </w:pPr>
            <w:r w:rsidRPr="003A756F">
              <w:t>9</w:t>
            </w:r>
          </w:p>
        </w:tc>
        <w:tc>
          <w:tcPr>
            <w:tcW w:w="3341" w:type="dxa"/>
            <w:tcBorders>
              <w:left w:val="single" w:sz="12" w:space="0" w:color="auto"/>
              <w:right w:val="single" w:sz="12" w:space="0" w:color="auto"/>
            </w:tcBorders>
          </w:tcPr>
          <w:p w14:paraId="28E7AF6B" w14:textId="77777777" w:rsidR="003A756F" w:rsidRPr="003A756F" w:rsidRDefault="003A756F" w:rsidP="009E4DFA">
            <w:pPr>
              <w:spacing w:after="0" w:line="240" w:lineRule="auto"/>
              <w:jc w:val="center"/>
            </w:pPr>
            <w:r w:rsidRPr="003A756F">
              <w:t>16</w:t>
            </w:r>
          </w:p>
        </w:tc>
      </w:tr>
      <w:tr w:rsidR="003A756F" w:rsidRPr="003A756F" w14:paraId="54186934" w14:textId="77777777" w:rsidTr="009E4DFA">
        <w:tc>
          <w:tcPr>
            <w:tcW w:w="2537" w:type="dxa"/>
            <w:tcBorders>
              <w:left w:val="single" w:sz="12" w:space="0" w:color="auto"/>
              <w:right w:val="single" w:sz="12" w:space="0" w:color="auto"/>
            </w:tcBorders>
          </w:tcPr>
          <w:p w14:paraId="78C0BF1F" w14:textId="77777777" w:rsidR="003A756F" w:rsidRPr="003A756F" w:rsidRDefault="003A756F" w:rsidP="009E4DFA">
            <w:pPr>
              <w:spacing w:after="0" w:line="240" w:lineRule="auto"/>
              <w:jc w:val="center"/>
              <w:rPr>
                <w:b/>
                <w:bCs/>
              </w:rPr>
            </w:pPr>
            <w:r w:rsidRPr="003A756F">
              <w:rPr>
                <w:b/>
                <w:bCs/>
              </w:rPr>
              <w:t>1710-1719</w:t>
            </w:r>
          </w:p>
        </w:tc>
        <w:tc>
          <w:tcPr>
            <w:tcW w:w="3118" w:type="dxa"/>
            <w:tcBorders>
              <w:left w:val="single" w:sz="12" w:space="0" w:color="auto"/>
              <w:right w:val="single" w:sz="12" w:space="0" w:color="auto"/>
            </w:tcBorders>
          </w:tcPr>
          <w:p w14:paraId="15711222" w14:textId="77777777" w:rsidR="003A756F" w:rsidRPr="003A756F" w:rsidRDefault="003A756F" w:rsidP="009E4DFA">
            <w:pPr>
              <w:spacing w:after="0" w:line="240" w:lineRule="auto"/>
              <w:jc w:val="center"/>
            </w:pPr>
            <w:r w:rsidRPr="003A756F">
              <w:t>16</w:t>
            </w:r>
          </w:p>
        </w:tc>
        <w:tc>
          <w:tcPr>
            <w:tcW w:w="3341" w:type="dxa"/>
            <w:tcBorders>
              <w:left w:val="single" w:sz="12" w:space="0" w:color="auto"/>
              <w:right w:val="single" w:sz="12" w:space="0" w:color="auto"/>
            </w:tcBorders>
          </w:tcPr>
          <w:p w14:paraId="2DD15E39" w14:textId="77777777" w:rsidR="003A756F" w:rsidRPr="003A756F" w:rsidRDefault="003A756F" w:rsidP="009E4DFA">
            <w:pPr>
              <w:spacing w:after="0" w:line="240" w:lineRule="auto"/>
              <w:jc w:val="center"/>
            </w:pPr>
            <w:r w:rsidRPr="003A756F">
              <w:t>6</w:t>
            </w:r>
          </w:p>
        </w:tc>
      </w:tr>
      <w:tr w:rsidR="003A756F" w:rsidRPr="003A756F" w14:paraId="5A055FCA" w14:textId="77777777" w:rsidTr="009E4DFA">
        <w:tc>
          <w:tcPr>
            <w:tcW w:w="2537" w:type="dxa"/>
            <w:tcBorders>
              <w:left w:val="single" w:sz="12" w:space="0" w:color="auto"/>
              <w:right w:val="single" w:sz="12" w:space="0" w:color="auto"/>
            </w:tcBorders>
          </w:tcPr>
          <w:p w14:paraId="4788C815" w14:textId="77777777" w:rsidR="003A756F" w:rsidRPr="003A756F" w:rsidRDefault="003A756F" w:rsidP="009E4DFA">
            <w:pPr>
              <w:spacing w:after="0" w:line="240" w:lineRule="auto"/>
              <w:jc w:val="center"/>
              <w:rPr>
                <w:b/>
                <w:bCs/>
              </w:rPr>
            </w:pPr>
            <w:r w:rsidRPr="003A756F">
              <w:rPr>
                <w:b/>
                <w:bCs/>
              </w:rPr>
              <w:t>1720-1729</w:t>
            </w:r>
          </w:p>
        </w:tc>
        <w:tc>
          <w:tcPr>
            <w:tcW w:w="3118" w:type="dxa"/>
            <w:tcBorders>
              <w:left w:val="single" w:sz="12" w:space="0" w:color="auto"/>
              <w:right w:val="single" w:sz="12" w:space="0" w:color="auto"/>
            </w:tcBorders>
          </w:tcPr>
          <w:p w14:paraId="65709F73" w14:textId="77777777" w:rsidR="003A756F" w:rsidRPr="003A756F" w:rsidRDefault="003A756F" w:rsidP="009E4DFA">
            <w:pPr>
              <w:spacing w:after="0" w:line="240" w:lineRule="auto"/>
              <w:jc w:val="center"/>
            </w:pPr>
            <w:r w:rsidRPr="003A756F">
              <w:t>12</w:t>
            </w:r>
          </w:p>
        </w:tc>
        <w:tc>
          <w:tcPr>
            <w:tcW w:w="3341" w:type="dxa"/>
            <w:tcBorders>
              <w:left w:val="single" w:sz="12" w:space="0" w:color="auto"/>
              <w:right w:val="single" w:sz="12" w:space="0" w:color="auto"/>
            </w:tcBorders>
          </w:tcPr>
          <w:p w14:paraId="2CA1E61B" w14:textId="77777777" w:rsidR="003A756F" w:rsidRPr="003A756F" w:rsidRDefault="003A756F" w:rsidP="009E4DFA">
            <w:pPr>
              <w:spacing w:after="0" w:line="240" w:lineRule="auto"/>
              <w:jc w:val="center"/>
            </w:pPr>
            <w:r w:rsidRPr="003A756F">
              <w:t>21</w:t>
            </w:r>
          </w:p>
        </w:tc>
      </w:tr>
      <w:tr w:rsidR="003A756F" w:rsidRPr="003A756F" w14:paraId="4B909270" w14:textId="77777777" w:rsidTr="009E4DFA">
        <w:tc>
          <w:tcPr>
            <w:tcW w:w="2537" w:type="dxa"/>
            <w:tcBorders>
              <w:left w:val="single" w:sz="12" w:space="0" w:color="auto"/>
              <w:right w:val="single" w:sz="12" w:space="0" w:color="auto"/>
            </w:tcBorders>
          </w:tcPr>
          <w:p w14:paraId="1B38BB40" w14:textId="77777777" w:rsidR="003A756F" w:rsidRPr="003A756F" w:rsidRDefault="003A756F" w:rsidP="009E4DFA">
            <w:pPr>
              <w:spacing w:after="0" w:line="240" w:lineRule="auto"/>
              <w:jc w:val="center"/>
              <w:rPr>
                <w:b/>
                <w:bCs/>
              </w:rPr>
            </w:pPr>
            <w:r w:rsidRPr="003A756F">
              <w:rPr>
                <w:b/>
                <w:bCs/>
              </w:rPr>
              <w:t>1730-1739</w:t>
            </w:r>
          </w:p>
        </w:tc>
        <w:tc>
          <w:tcPr>
            <w:tcW w:w="3118" w:type="dxa"/>
            <w:tcBorders>
              <w:left w:val="single" w:sz="12" w:space="0" w:color="auto"/>
              <w:right w:val="single" w:sz="12" w:space="0" w:color="auto"/>
            </w:tcBorders>
          </w:tcPr>
          <w:p w14:paraId="6A744B2F" w14:textId="77777777" w:rsidR="003A756F" w:rsidRPr="003A756F" w:rsidRDefault="003A756F" w:rsidP="009E4DFA">
            <w:pPr>
              <w:spacing w:after="0" w:line="240" w:lineRule="auto"/>
              <w:jc w:val="center"/>
            </w:pPr>
            <w:r w:rsidRPr="003A756F">
              <w:t>9</w:t>
            </w:r>
          </w:p>
        </w:tc>
        <w:tc>
          <w:tcPr>
            <w:tcW w:w="3341" w:type="dxa"/>
            <w:tcBorders>
              <w:left w:val="single" w:sz="12" w:space="0" w:color="auto"/>
              <w:right w:val="single" w:sz="12" w:space="0" w:color="auto"/>
            </w:tcBorders>
          </w:tcPr>
          <w:p w14:paraId="0A75281D" w14:textId="77777777" w:rsidR="003A756F" w:rsidRPr="003A756F" w:rsidRDefault="003A756F" w:rsidP="009E4DFA">
            <w:pPr>
              <w:spacing w:after="0" w:line="240" w:lineRule="auto"/>
              <w:jc w:val="center"/>
            </w:pPr>
            <w:r w:rsidRPr="003A756F">
              <w:t>5</w:t>
            </w:r>
          </w:p>
        </w:tc>
      </w:tr>
      <w:tr w:rsidR="003A756F" w:rsidRPr="003A756F" w14:paraId="3B98AF66" w14:textId="77777777" w:rsidTr="009E4DFA">
        <w:tc>
          <w:tcPr>
            <w:tcW w:w="2537" w:type="dxa"/>
            <w:tcBorders>
              <w:left w:val="single" w:sz="12" w:space="0" w:color="auto"/>
              <w:bottom w:val="single" w:sz="12" w:space="0" w:color="auto"/>
              <w:right w:val="single" w:sz="12" w:space="0" w:color="auto"/>
            </w:tcBorders>
          </w:tcPr>
          <w:p w14:paraId="044EAB7B" w14:textId="77777777" w:rsidR="003A756F" w:rsidRPr="003A756F" w:rsidRDefault="003A756F" w:rsidP="009E4DFA">
            <w:pPr>
              <w:spacing w:after="0" w:line="240" w:lineRule="auto"/>
              <w:jc w:val="center"/>
              <w:rPr>
                <w:b/>
                <w:bCs/>
              </w:rPr>
            </w:pPr>
            <w:r w:rsidRPr="003A756F">
              <w:rPr>
                <w:b/>
                <w:bCs/>
              </w:rPr>
              <w:t>1740-1749</w:t>
            </w:r>
          </w:p>
        </w:tc>
        <w:tc>
          <w:tcPr>
            <w:tcW w:w="3118" w:type="dxa"/>
            <w:tcBorders>
              <w:left w:val="single" w:sz="12" w:space="0" w:color="auto"/>
              <w:right w:val="single" w:sz="12" w:space="0" w:color="auto"/>
            </w:tcBorders>
          </w:tcPr>
          <w:p w14:paraId="59154A86" w14:textId="77777777" w:rsidR="003A756F" w:rsidRPr="003A756F" w:rsidRDefault="003A756F" w:rsidP="009E4DFA">
            <w:pPr>
              <w:spacing w:after="0" w:line="240" w:lineRule="auto"/>
              <w:jc w:val="center"/>
            </w:pPr>
            <w:r w:rsidRPr="003A756F">
              <w:t>7</w:t>
            </w:r>
          </w:p>
        </w:tc>
        <w:tc>
          <w:tcPr>
            <w:tcW w:w="3341" w:type="dxa"/>
            <w:tcBorders>
              <w:left w:val="single" w:sz="12" w:space="0" w:color="auto"/>
              <w:right w:val="single" w:sz="12" w:space="0" w:color="auto"/>
            </w:tcBorders>
          </w:tcPr>
          <w:p w14:paraId="20D8E367" w14:textId="77777777" w:rsidR="003A756F" w:rsidRPr="003A756F" w:rsidRDefault="003A756F" w:rsidP="009E4DFA">
            <w:pPr>
              <w:spacing w:after="0" w:line="240" w:lineRule="auto"/>
              <w:jc w:val="center"/>
            </w:pPr>
            <w:r w:rsidRPr="003A756F">
              <w:t>5</w:t>
            </w:r>
          </w:p>
        </w:tc>
      </w:tr>
      <w:tr w:rsidR="009E4DFA" w:rsidRPr="003A756F" w14:paraId="4346888F" w14:textId="77777777" w:rsidTr="009E4DFA">
        <w:tc>
          <w:tcPr>
            <w:tcW w:w="2537" w:type="dxa"/>
            <w:tcBorders>
              <w:top w:val="single" w:sz="12" w:space="0" w:color="auto"/>
              <w:left w:val="single" w:sz="12" w:space="0" w:color="auto"/>
              <w:bottom w:val="single" w:sz="12" w:space="0" w:color="auto"/>
              <w:right w:val="single" w:sz="12" w:space="0" w:color="auto"/>
            </w:tcBorders>
          </w:tcPr>
          <w:p w14:paraId="6B8DB2BF" w14:textId="77777777" w:rsidR="003A756F" w:rsidRPr="003A756F" w:rsidRDefault="003A756F" w:rsidP="009E4DFA">
            <w:pPr>
              <w:spacing w:after="0" w:line="240" w:lineRule="auto"/>
              <w:jc w:val="center"/>
              <w:rPr>
                <w:b/>
                <w:bCs/>
              </w:rPr>
            </w:pPr>
            <w:r w:rsidRPr="003A756F">
              <w:rPr>
                <w:b/>
                <w:bCs/>
              </w:rPr>
              <w:t>Total</w:t>
            </w:r>
          </w:p>
        </w:tc>
        <w:tc>
          <w:tcPr>
            <w:tcW w:w="3118" w:type="dxa"/>
            <w:tcBorders>
              <w:top w:val="single" w:sz="12" w:space="0" w:color="auto"/>
              <w:left w:val="single" w:sz="12" w:space="0" w:color="auto"/>
              <w:bottom w:val="single" w:sz="12" w:space="0" w:color="auto"/>
              <w:right w:val="single" w:sz="12" w:space="0" w:color="auto"/>
            </w:tcBorders>
          </w:tcPr>
          <w:p w14:paraId="360F294C" w14:textId="77777777" w:rsidR="003A756F" w:rsidRPr="003A756F" w:rsidRDefault="003A756F" w:rsidP="009E4DFA">
            <w:pPr>
              <w:spacing w:after="0" w:line="240" w:lineRule="auto"/>
              <w:jc w:val="center"/>
              <w:rPr>
                <w:b/>
                <w:bCs/>
              </w:rPr>
            </w:pPr>
            <w:r w:rsidRPr="003A756F">
              <w:rPr>
                <w:b/>
                <w:bCs/>
              </w:rPr>
              <w:t>99</w:t>
            </w:r>
          </w:p>
        </w:tc>
        <w:tc>
          <w:tcPr>
            <w:tcW w:w="3341" w:type="dxa"/>
            <w:tcBorders>
              <w:top w:val="single" w:sz="12" w:space="0" w:color="auto"/>
              <w:left w:val="single" w:sz="12" w:space="0" w:color="auto"/>
              <w:bottom w:val="single" w:sz="12" w:space="0" w:color="auto"/>
              <w:right w:val="single" w:sz="12" w:space="0" w:color="auto"/>
            </w:tcBorders>
          </w:tcPr>
          <w:p w14:paraId="7EB00F43" w14:textId="77777777" w:rsidR="003A756F" w:rsidRPr="003A756F" w:rsidRDefault="003A756F" w:rsidP="009E4DFA">
            <w:pPr>
              <w:spacing w:after="0" w:line="240" w:lineRule="auto"/>
              <w:jc w:val="center"/>
              <w:rPr>
                <w:b/>
                <w:bCs/>
              </w:rPr>
            </w:pPr>
            <w:r w:rsidRPr="003A756F">
              <w:rPr>
                <w:b/>
                <w:bCs/>
              </w:rPr>
              <w:t>99</w:t>
            </w:r>
          </w:p>
        </w:tc>
      </w:tr>
    </w:tbl>
    <w:p w14:paraId="03F19C50" w14:textId="77777777" w:rsidR="003A756F" w:rsidRDefault="003A756F" w:rsidP="003A756F"/>
    <w:p w14:paraId="512EAAAE" w14:textId="77777777" w:rsidR="009E4DFA" w:rsidRDefault="009E4DFA" w:rsidP="003A756F"/>
    <w:p w14:paraId="482164E7" w14:textId="77777777" w:rsidR="009E4DFA" w:rsidRDefault="009E4DFA" w:rsidP="003A756F"/>
    <w:p w14:paraId="69F89BD9" w14:textId="77777777" w:rsidR="009E4DFA" w:rsidRDefault="009E4DFA" w:rsidP="003A756F"/>
    <w:p w14:paraId="1D1EEFAA" w14:textId="77777777" w:rsidR="009E4DFA" w:rsidRDefault="009E4DFA" w:rsidP="003A756F"/>
    <w:p w14:paraId="28532FFB" w14:textId="77777777" w:rsidR="009E4DFA" w:rsidRDefault="009E4DFA" w:rsidP="003A756F"/>
    <w:p w14:paraId="19B1AC29" w14:textId="77777777" w:rsidR="009E4DFA" w:rsidRDefault="009E4DFA" w:rsidP="003A756F"/>
    <w:p w14:paraId="6665267D" w14:textId="77777777" w:rsidR="009E4DFA" w:rsidRDefault="003A756F" w:rsidP="003A756F">
      <w:pPr>
        <w:jc w:val="center"/>
        <w:sectPr w:rsidR="009E4DFA" w:rsidSect="003A756F">
          <w:pgSz w:w="11906" w:h="16838"/>
          <w:pgMar w:top="1440" w:right="1440" w:bottom="1440" w:left="1440" w:header="720" w:footer="720" w:gutter="0"/>
          <w:cols w:space="720"/>
          <w:docGrid w:linePitch="360"/>
        </w:sectPr>
      </w:pPr>
      <w:r w:rsidRPr="003A756F">
        <w:t>Table 1 – Distribution of will and inventory pairs by decade within the wider survey in Bolton-le-Sands and Prestbury parishes.</w:t>
      </w:r>
    </w:p>
    <w:tbl>
      <w:tblPr>
        <w:tblStyle w:val="TableGrid1"/>
        <w:tblpPr w:leftFromText="180" w:rightFromText="180" w:horzAnchor="margin" w:tblpY="1125"/>
        <w:tblW w:w="13928" w:type="dxa"/>
        <w:tblLayout w:type="fixed"/>
        <w:tblLook w:val="04A0" w:firstRow="1" w:lastRow="0" w:firstColumn="1" w:lastColumn="0" w:noHBand="0" w:noVBand="1"/>
      </w:tblPr>
      <w:tblGrid>
        <w:gridCol w:w="978"/>
        <w:gridCol w:w="1275"/>
        <w:gridCol w:w="993"/>
        <w:gridCol w:w="1134"/>
        <w:gridCol w:w="2126"/>
        <w:gridCol w:w="1276"/>
        <w:gridCol w:w="708"/>
        <w:gridCol w:w="993"/>
        <w:gridCol w:w="1134"/>
        <w:gridCol w:w="850"/>
        <w:gridCol w:w="992"/>
        <w:gridCol w:w="1469"/>
      </w:tblGrid>
      <w:tr w:rsidR="00AC2D9B" w:rsidRPr="00AC2D9B" w14:paraId="5C039A7C" w14:textId="77777777" w:rsidTr="00576CB4">
        <w:tc>
          <w:tcPr>
            <w:tcW w:w="978" w:type="dxa"/>
            <w:tcBorders>
              <w:top w:val="single" w:sz="12" w:space="0" w:color="auto"/>
              <w:left w:val="single" w:sz="12" w:space="0" w:color="auto"/>
              <w:bottom w:val="single" w:sz="12" w:space="0" w:color="auto"/>
              <w:right w:val="single" w:sz="12" w:space="0" w:color="auto"/>
            </w:tcBorders>
          </w:tcPr>
          <w:p w14:paraId="0EE202EA" w14:textId="77777777" w:rsidR="00AC2D9B" w:rsidRPr="00AC2D9B" w:rsidRDefault="00AC2D9B" w:rsidP="00576CB4">
            <w:pPr>
              <w:spacing w:after="0" w:line="240" w:lineRule="auto"/>
              <w:jc w:val="center"/>
              <w:rPr>
                <w:b/>
                <w:bCs/>
                <w:sz w:val="16"/>
                <w:szCs w:val="16"/>
              </w:rPr>
            </w:pPr>
            <w:r w:rsidRPr="00AC2D9B">
              <w:rPr>
                <w:b/>
                <w:bCs/>
                <w:sz w:val="16"/>
                <w:szCs w:val="16"/>
              </w:rPr>
              <w:lastRenderedPageBreak/>
              <w:t>Township</w:t>
            </w:r>
          </w:p>
        </w:tc>
        <w:tc>
          <w:tcPr>
            <w:tcW w:w="1275" w:type="dxa"/>
            <w:tcBorders>
              <w:top w:val="single" w:sz="12" w:space="0" w:color="auto"/>
              <w:left w:val="single" w:sz="12" w:space="0" w:color="auto"/>
              <w:bottom w:val="single" w:sz="12" w:space="0" w:color="auto"/>
              <w:right w:val="single" w:sz="12" w:space="0" w:color="auto"/>
            </w:tcBorders>
          </w:tcPr>
          <w:p w14:paraId="0F968E99" w14:textId="77777777" w:rsidR="00AC2D9B" w:rsidRPr="00AC2D9B" w:rsidRDefault="00AC2D9B" w:rsidP="00576CB4">
            <w:pPr>
              <w:spacing w:after="0" w:line="240" w:lineRule="auto"/>
              <w:jc w:val="center"/>
              <w:rPr>
                <w:b/>
                <w:bCs/>
                <w:sz w:val="16"/>
                <w:szCs w:val="16"/>
              </w:rPr>
            </w:pPr>
            <w:r w:rsidRPr="00AC2D9B">
              <w:rPr>
                <w:b/>
                <w:bCs/>
                <w:sz w:val="16"/>
                <w:szCs w:val="16"/>
              </w:rPr>
              <w:t>Property</w:t>
            </w:r>
          </w:p>
        </w:tc>
        <w:tc>
          <w:tcPr>
            <w:tcW w:w="993" w:type="dxa"/>
            <w:tcBorders>
              <w:top w:val="single" w:sz="12" w:space="0" w:color="auto"/>
              <w:left w:val="single" w:sz="12" w:space="0" w:color="auto"/>
              <w:bottom w:val="single" w:sz="12" w:space="0" w:color="auto"/>
              <w:right w:val="single" w:sz="12" w:space="0" w:color="auto"/>
            </w:tcBorders>
          </w:tcPr>
          <w:p w14:paraId="1DE930EB" w14:textId="77777777" w:rsidR="00AC2D9B" w:rsidRPr="00AC2D9B" w:rsidRDefault="00AC2D9B" w:rsidP="00576CB4">
            <w:pPr>
              <w:spacing w:after="0" w:line="240" w:lineRule="auto"/>
              <w:jc w:val="center"/>
              <w:rPr>
                <w:b/>
                <w:bCs/>
                <w:sz w:val="16"/>
                <w:szCs w:val="16"/>
              </w:rPr>
            </w:pPr>
            <w:r w:rsidRPr="00AC2D9B">
              <w:rPr>
                <w:b/>
                <w:bCs/>
                <w:sz w:val="16"/>
                <w:szCs w:val="16"/>
              </w:rPr>
              <w:t>Inscription</w:t>
            </w:r>
          </w:p>
        </w:tc>
        <w:tc>
          <w:tcPr>
            <w:tcW w:w="1134" w:type="dxa"/>
            <w:tcBorders>
              <w:top w:val="single" w:sz="12" w:space="0" w:color="auto"/>
              <w:left w:val="single" w:sz="12" w:space="0" w:color="auto"/>
              <w:bottom w:val="single" w:sz="12" w:space="0" w:color="auto"/>
              <w:right w:val="single" w:sz="12" w:space="0" w:color="auto"/>
            </w:tcBorders>
          </w:tcPr>
          <w:p w14:paraId="160656BB" w14:textId="77777777" w:rsidR="00AC2D9B" w:rsidRPr="00AC2D9B" w:rsidRDefault="00AC2D9B" w:rsidP="00576CB4">
            <w:pPr>
              <w:spacing w:after="0" w:line="240" w:lineRule="auto"/>
              <w:jc w:val="center"/>
              <w:rPr>
                <w:b/>
                <w:bCs/>
                <w:sz w:val="16"/>
                <w:szCs w:val="16"/>
              </w:rPr>
            </w:pPr>
            <w:r w:rsidRPr="00AC2D9B">
              <w:rPr>
                <w:b/>
                <w:bCs/>
                <w:sz w:val="16"/>
                <w:szCs w:val="16"/>
              </w:rPr>
              <w:t>Position</w:t>
            </w:r>
          </w:p>
        </w:tc>
        <w:tc>
          <w:tcPr>
            <w:tcW w:w="2126" w:type="dxa"/>
            <w:tcBorders>
              <w:top w:val="single" w:sz="12" w:space="0" w:color="auto"/>
              <w:left w:val="single" w:sz="12" w:space="0" w:color="auto"/>
              <w:bottom w:val="single" w:sz="12" w:space="0" w:color="auto"/>
              <w:right w:val="single" w:sz="12" w:space="0" w:color="auto"/>
            </w:tcBorders>
          </w:tcPr>
          <w:p w14:paraId="0C39EF9F" w14:textId="77777777" w:rsidR="00AC2D9B" w:rsidRPr="00AC2D9B" w:rsidRDefault="00AC2D9B" w:rsidP="00576CB4">
            <w:pPr>
              <w:spacing w:after="0" w:line="240" w:lineRule="auto"/>
              <w:jc w:val="center"/>
              <w:rPr>
                <w:b/>
                <w:bCs/>
                <w:sz w:val="16"/>
                <w:szCs w:val="16"/>
              </w:rPr>
            </w:pPr>
            <w:r w:rsidRPr="00AC2D9B">
              <w:rPr>
                <w:b/>
                <w:bCs/>
                <w:sz w:val="16"/>
                <w:szCs w:val="16"/>
              </w:rPr>
              <w:t>Name of Inscriber/s</w:t>
            </w:r>
          </w:p>
        </w:tc>
        <w:tc>
          <w:tcPr>
            <w:tcW w:w="1276" w:type="dxa"/>
            <w:tcBorders>
              <w:top w:val="single" w:sz="12" w:space="0" w:color="auto"/>
              <w:left w:val="single" w:sz="12" w:space="0" w:color="auto"/>
              <w:bottom w:val="single" w:sz="12" w:space="0" w:color="auto"/>
              <w:right w:val="single" w:sz="12" w:space="0" w:color="auto"/>
            </w:tcBorders>
          </w:tcPr>
          <w:p w14:paraId="25AA5645" w14:textId="77777777" w:rsidR="00AC2D9B" w:rsidRPr="00AC2D9B" w:rsidRDefault="00AC2D9B" w:rsidP="00576CB4">
            <w:pPr>
              <w:spacing w:after="0" w:line="240" w:lineRule="auto"/>
              <w:jc w:val="center"/>
              <w:rPr>
                <w:b/>
                <w:bCs/>
                <w:sz w:val="16"/>
                <w:szCs w:val="16"/>
              </w:rPr>
            </w:pPr>
            <w:r w:rsidRPr="00AC2D9B">
              <w:rPr>
                <w:b/>
                <w:bCs/>
                <w:sz w:val="16"/>
                <w:szCs w:val="16"/>
              </w:rPr>
              <w:t>Male Occupation / Status</w:t>
            </w:r>
          </w:p>
        </w:tc>
        <w:tc>
          <w:tcPr>
            <w:tcW w:w="708" w:type="dxa"/>
            <w:tcBorders>
              <w:top w:val="single" w:sz="12" w:space="0" w:color="auto"/>
              <w:left w:val="single" w:sz="12" w:space="0" w:color="auto"/>
              <w:bottom w:val="single" w:sz="12" w:space="0" w:color="auto"/>
              <w:right w:val="single" w:sz="12" w:space="0" w:color="auto"/>
            </w:tcBorders>
          </w:tcPr>
          <w:p w14:paraId="12BC4EB0" w14:textId="77777777" w:rsidR="00AC2D9B" w:rsidRPr="00AC2D9B" w:rsidRDefault="00AC2D9B" w:rsidP="00576CB4">
            <w:pPr>
              <w:spacing w:after="0" w:line="240" w:lineRule="auto"/>
              <w:jc w:val="center"/>
              <w:rPr>
                <w:b/>
                <w:bCs/>
                <w:sz w:val="16"/>
                <w:szCs w:val="16"/>
              </w:rPr>
            </w:pPr>
            <w:r w:rsidRPr="00AC2D9B">
              <w:rPr>
                <w:b/>
                <w:bCs/>
                <w:sz w:val="16"/>
                <w:szCs w:val="16"/>
              </w:rPr>
              <w:t>Will</w:t>
            </w:r>
          </w:p>
        </w:tc>
        <w:tc>
          <w:tcPr>
            <w:tcW w:w="993" w:type="dxa"/>
            <w:tcBorders>
              <w:top w:val="single" w:sz="12" w:space="0" w:color="auto"/>
              <w:left w:val="single" w:sz="12" w:space="0" w:color="auto"/>
              <w:bottom w:val="single" w:sz="12" w:space="0" w:color="auto"/>
              <w:right w:val="single" w:sz="12" w:space="0" w:color="auto"/>
            </w:tcBorders>
          </w:tcPr>
          <w:p w14:paraId="5D238390" w14:textId="77777777" w:rsidR="00AC2D9B" w:rsidRPr="00AC2D9B" w:rsidRDefault="00AC2D9B" w:rsidP="00576CB4">
            <w:pPr>
              <w:spacing w:after="0" w:line="240" w:lineRule="auto"/>
              <w:jc w:val="center"/>
              <w:rPr>
                <w:b/>
                <w:bCs/>
                <w:sz w:val="16"/>
                <w:szCs w:val="16"/>
              </w:rPr>
            </w:pPr>
            <w:r w:rsidRPr="00AC2D9B">
              <w:rPr>
                <w:b/>
                <w:bCs/>
                <w:sz w:val="16"/>
                <w:szCs w:val="16"/>
              </w:rPr>
              <w:t>Inventory</w:t>
            </w:r>
          </w:p>
        </w:tc>
        <w:tc>
          <w:tcPr>
            <w:tcW w:w="1134" w:type="dxa"/>
            <w:tcBorders>
              <w:top w:val="single" w:sz="12" w:space="0" w:color="auto"/>
              <w:left w:val="single" w:sz="12" w:space="0" w:color="auto"/>
              <w:bottom w:val="single" w:sz="12" w:space="0" w:color="auto"/>
              <w:right w:val="single" w:sz="12" w:space="0" w:color="auto"/>
            </w:tcBorders>
          </w:tcPr>
          <w:p w14:paraId="367B0C0C" w14:textId="77777777" w:rsidR="00AC2D9B" w:rsidRPr="00AC2D9B" w:rsidRDefault="00AC2D9B" w:rsidP="00576CB4">
            <w:pPr>
              <w:spacing w:after="0" w:line="240" w:lineRule="auto"/>
              <w:jc w:val="center"/>
              <w:rPr>
                <w:b/>
                <w:bCs/>
                <w:sz w:val="16"/>
                <w:szCs w:val="16"/>
              </w:rPr>
            </w:pPr>
            <w:r w:rsidRPr="00AC2D9B">
              <w:rPr>
                <w:b/>
                <w:bCs/>
                <w:sz w:val="16"/>
                <w:szCs w:val="16"/>
              </w:rPr>
              <w:t>Inventoried Wealth</w:t>
            </w:r>
          </w:p>
        </w:tc>
        <w:tc>
          <w:tcPr>
            <w:tcW w:w="850" w:type="dxa"/>
            <w:tcBorders>
              <w:top w:val="single" w:sz="12" w:space="0" w:color="auto"/>
              <w:left w:val="single" w:sz="12" w:space="0" w:color="auto"/>
              <w:bottom w:val="single" w:sz="12" w:space="0" w:color="auto"/>
              <w:right w:val="single" w:sz="12" w:space="0" w:color="auto"/>
            </w:tcBorders>
          </w:tcPr>
          <w:p w14:paraId="2989EEF2" w14:textId="77777777" w:rsidR="00AC2D9B" w:rsidRPr="00AC2D9B" w:rsidRDefault="00AC2D9B" w:rsidP="00576CB4">
            <w:pPr>
              <w:spacing w:after="0" w:line="240" w:lineRule="auto"/>
              <w:jc w:val="center"/>
              <w:rPr>
                <w:b/>
                <w:bCs/>
                <w:sz w:val="16"/>
                <w:szCs w:val="16"/>
              </w:rPr>
            </w:pPr>
            <w:r w:rsidRPr="00AC2D9B">
              <w:rPr>
                <w:b/>
                <w:bCs/>
                <w:sz w:val="16"/>
                <w:szCs w:val="16"/>
              </w:rPr>
              <w:t>Hearth Tax</w:t>
            </w:r>
          </w:p>
        </w:tc>
        <w:tc>
          <w:tcPr>
            <w:tcW w:w="992" w:type="dxa"/>
            <w:tcBorders>
              <w:top w:val="single" w:sz="12" w:space="0" w:color="auto"/>
              <w:left w:val="single" w:sz="12" w:space="0" w:color="auto"/>
              <w:bottom w:val="single" w:sz="12" w:space="0" w:color="auto"/>
              <w:right w:val="single" w:sz="12" w:space="0" w:color="auto"/>
            </w:tcBorders>
          </w:tcPr>
          <w:p w14:paraId="2BA07170" w14:textId="77777777" w:rsidR="00AC2D9B" w:rsidRPr="00AC2D9B" w:rsidRDefault="00AC2D9B" w:rsidP="00576CB4">
            <w:pPr>
              <w:spacing w:after="0" w:line="240" w:lineRule="auto"/>
              <w:jc w:val="center"/>
              <w:rPr>
                <w:b/>
                <w:bCs/>
                <w:sz w:val="16"/>
                <w:szCs w:val="16"/>
              </w:rPr>
            </w:pPr>
            <w:r w:rsidRPr="00AC2D9B">
              <w:rPr>
                <w:b/>
                <w:bCs/>
                <w:sz w:val="16"/>
                <w:szCs w:val="16"/>
              </w:rPr>
              <w:t>Value of Cash Bequests</w:t>
            </w:r>
          </w:p>
        </w:tc>
        <w:tc>
          <w:tcPr>
            <w:tcW w:w="1469" w:type="dxa"/>
            <w:tcBorders>
              <w:top w:val="single" w:sz="12" w:space="0" w:color="auto"/>
              <w:left w:val="single" w:sz="12" w:space="0" w:color="auto"/>
              <w:bottom w:val="single" w:sz="12" w:space="0" w:color="auto"/>
              <w:right w:val="single" w:sz="12" w:space="0" w:color="auto"/>
            </w:tcBorders>
          </w:tcPr>
          <w:p w14:paraId="452CA004" w14:textId="77777777" w:rsidR="00AC2D9B" w:rsidRPr="00AC2D9B" w:rsidRDefault="00AC2D9B" w:rsidP="00576CB4">
            <w:pPr>
              <w:spacing w:after="0" w:line="240" w:lineRule="auto"/>
              <w:jc w:val="center"/>
              <w:rPr>
                <w:b/>
                <w:bCs/>
                <w:sz w:val="16"/>
                <w:szCs w:val="16"/>
              </w:rPr>
            </w:pPr>
            <w:r w:rsidRPr="00AC2D9B">
              <w:rPr>
                <w:b/>
                <w:bCs/>
                <w:sz w:val="16"/>
                <w:szCs w:val="16"/>
              </w:rPr>
              <w:t>Degree of Literacy</w:t>
            </w:r>
          </w:p>
        </w:tc>
      </w:tr>
      <w:tr w:rsidR="00AC2D9B" w:rsidRPr="00AC2D9B" w14:paraId="60A9454F" w14:textId="77777777" w:rsidTr="00576CB4">
        <w:tc>
          <w:tcPr>
            <w:tcW w:w="978" w:type="dxa"/>
            <w:vMerge w:val="restart"/>
            <w:tcBorders>
              <w:top w:val="single" w:sz="12" w:space="0" w:color="auto"/>
              <w:left w:val="single" w:sz="12" w:space="0" w:color="auto"/>
              <w:right w:val="single" w:sz="12" w:space="0" w:color="auto"/>
            </w:tcBorders>
          </w:tcPr>
          <w:p w14:paraId="114A6981" w14:textId="77777777" w:rsidR="00AC2D9B" w:rsidRPr="00AC2D9B" w:rsidRDefault="00AC2D9B" w:rsidP="00576CB4">
            <w:pPr>
              <w:spacing w:after="0" w:line="240" w:lineRule="auto"/>
              <w:jc w:val="center"/>
              <w:rPr>
                <w:sz w:val="16"/>
                <w:szCs w:val="16"/>
              </w:rPr>
            </w:pPr>
            <w:r w:rsidRPr="00AC2D9B">
              <w:rPr>
                <w:sz w:val="16"/>
                <w:szCs w:val="16"/>
              </w:rPr>
              <w:t>BLS</w:t>
            </w:r>
          </w:p>
        </w:tc>
        <w:tc>
          <w:tcPr>
            <w:tcW w:w="1275" w:type="dxa"/>
            <w:vMerge w:val="restart"/>
            <w:tcBorders>
              <w:top w:val="single" w:sz="12" w:space="0" w:color="auto"/>
              <w:left w:val="single" w:sz="12" w:space="0" w:color="auto"/>
              <w:right w:val="single" w:sz="12" w:space="0" w:color="auto"/>
            </w:tcBorders>
          </w:tcPr>
          <w:p w14:paraId="6EBE4743" w14:textId="77777777" w:rsidR="00AC2D9B" w:rsidRPr="00AC2D9B" w:rsidRDefault="00AC2D9B" w:rsidP="00576CB4">
            <w:pPr>
              <w:spacing w:after="0" w:line="240" w:lineRule="auto"/>
              <w:jc w:val="center"/>
              <w:rPr>
                <w:sz w:val="16"/>
                <w:szCs w:val="16"/>
              </w:rPr>
            </w:pPr>
            <w:r w:rsidRPr="00AC2D9B">
              <w:rPr>
                <w:sz w:val="16"/>
                <w:szCs w:val="16"/>
              </w:rPr>
              <w:t>Church Cottage</w:t>
            </w:r>
          </w:p>
        </w:tc>
        <w:tc>
          <w:tcPr>
            <w:tcW w:w="993" w:type="dxa"/>
            <w:vMerge w:val="restart"/>
            <w:tcBorders>
              <w:top w:val="single" w:sz="12" w:space="0" w:color="auto"/>
              <w:left w:val="single" w:sz="12" w:space="0" w:color="auto"/>
              <w:right w:val="single" w:sz="12" w:space="0" w:color="auto"/>
            </w:tcBorders>
          </w:tcPr>
          <w:p w14:paraId="14C0C789" w14:textId="77777777" w:rsidR="00AC2D9B" w:rsidRPr="00AC2D9B" w:rsidRDefault="00AC2D9B" w:rsidP="00576CB4">
            <w:pPr>
              <w:spacing w:after="0" w:line="240" w:lineRule="auto"/>
              <w:jc w:val="center"/>
              <w:rPr>
                <w:sz w:val="16"/>
                <w:szCs w:val="16"/>
              </w:rPr>
            </w:pPr>
            <w:r w:rsidRPr="00AC2D9B">
              <w:rPr>
                <w:sz w:val="16"/>
                <w:szCs w:val="16"/>
              </w:rPr>
              <w:t xml:space="preserve">I </w:t>
            </w:r>
            <w:r w:rsidRPr="00AC2D9B">
              <w:rPr>
                <w:sz w:val="16"/>
                <w:szCs w:val="16"/>
                <w:vertAlign w:val="superscript"/>
              </w:rPr>
              <w:t xml:space="preserve">H </w:t>
            </w:r>
            <w:r w:rsidRPr="00AC2D9B">
              <w:rPr>
                <w:sz w:val="16"/>
                <w:szCs w:val="16"/>
              </w:rPr>
              <w:t>I 1672</w:t>
            </w:r>
          </w:p>
        </w:tc>
        <w:tc>
          <w:tcPr>
            <w:tcW w:w="1134" w:type="dxa"/>
            <w:vMerge w:val="restart"/>
            <w:tcBorders>
              <w:top w:val="single" w:sz="12" w:space="0" w:color="auto"/>
              <w:left w:val="single" w:sz="12" w:space="0" w:color="auto"/>
              <w:right w:val="single" w:sz="12" w:space="0" w:color="auto"/>
            </w:tcBorders>
          </w:tcPr>
          <w:p w14:paraId="42B37F5A" w14:textId="77777777" w:rsidR="00AC2D9B" w:rsidRPr="00AC2D9B" w:rsidRDefault="00AC2D9B" w:rsidP="00576CB4">
            <w:pPr>
              <w:spacing w:after="0" w:line="240" w:lineRule="auto"/>
              <w:jc w:val="center"/>
              <w:rPr>
                <w:sz w:val="16"/>
                <w:szCs w:val="16"/>
              </w:rPr>
            </w:pPr>
            <w:r w:rsidRPr="00AC2D9B">
              <w:rPr>
                <w:sz w:val="16"/>
                <w:szCs w:val="16"/>
              </w:rPr>
              <w:t>Façade, lintel</w:t>
            </w:r>
          </w:p>
        </w:tc>
        <w:tc>
          <w:tcPr>
            <w:tcW w:w="2126" w:type="dxa"/>
            <w:tcBorders>
              <w:top w:val="single" w:sz="12" w:space="0" w:color="auto"/>
              <w:left w:val="single" w:sz="12" w:space="0" w:color="auto"/>
              <w:right w:val="single" w:sz="12" w:space="0" w:color="auto"/>
            </w:tcBorders>
          </w:tcPr>
          <w:p w14:paraId="7B297C74" w14:textId="77777777" w:rsidR="00AC2D9B" w:rsidRPr="00AC2D9B" w:rsidRDefault="00AC2D9B" w:rsidP="00576CB4">
            <w:pPr>
              <w:spacing w:after="0" w:line="240" w:lineRule="auto"/>
              <w:jc w:val="center"/>
              <w:rPr>
                <w:sz w:val="16"/>
                <w:szCs w:val="16"/>
              </w:rPr>
            </w:pPr>
            <w:r w:rsidRPr="00AC2D9B">
              <w:rPr>
                <w:sz w:val="16"/>
                <w:szCs w:val="16"/>
              </w:rPr>
              <w:t>John Hall</w:t>
            </w:r>
          </w:p>
        </w:tc>
        <w:tc>
          <w:tcPr>
            <w:tcW w:w="1276" w:type="dxa"/>
            <w:tcBorders>
              <w:top w:val="single" w:sz="12" w:space="0" w:color="auto"/>
              <w:left w:val="single" w:sz="12" w:space="0" w:color="auto"/>
              <w:right w:val="single" w:sz="12" w:space="0" w:color="auto"/>
            </w:tcBorders>
          </w:tcPr>
          <w:p w14:paraId="01986967" w14:textId="77777777" w:rsidR="00AC2D9B" w:rsidRPr="00AC2D9B" w:rsidRDefault="00AC2D9B" w:rsidP="00576CB4">
            <w:pPr>
              <w:spacing w:after="0" w:line="240" w:lineRule="auto"/>
              <w:jc w:val="center"/>
              <w:rPr>
                <w:sz w:val="16"/>
                <w:szCs w:val="16"/>
              </w:rPr>
            </w:pPr>
            <w:r w:rsidRPr="00AC2D9B">
              <w:rPr>
                <w:sz w:val="16"/>
                <w:szCs w:val="16"/>
              </w:rPr>
              <w:t>Unknown</w:t>
            </w:r>
          </w:p>
        </w:tc>
        <w:tc>
          <w:tcPr>
            <w:tcW w:w="708" w:type="dxa"/>
            <w:tcBorders>
              <w:top w:val="single" w:sz="12" w:space="0" w:color="auto"/>
              <w:left w:val="single" w:sz="12" w:space="0" w:color="auto"/>
              <w:right w:val="single" w:sz="12" w:space="0" w:color="auto"/>
            </w:tcBorders>
          </w:tcPr>
          <w:p w14:paraId="4F104040"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top w:val="single" w:sz="12" w:space="0" w:color="auto"/>
              <w:left w:val="single" w:sz="12" w:space="0" w:color="auto"/>
              <w:right w:val="single" w:sz="12" w:space="0" w:color="auto"/>
            </w:tcBorders>
          </w:tcPr>
          <w:p w14:paraId="3D7DBB0E" w14:textId="77777777" w:rsidR="00AC2D9B" w:rsidRPr="00AC2D9B" w:rsidRDefault="00AC2D9B" w:rsidP="00576CB4">
            <w:pPr>
              <w:spacing w:after="0" w:line="240" w:lineRule="auto"/>
              <w:jc w:val="center"/>
              <w:rPr>
                <w:sz w:val="16"/>
                <w:szCs w:val="16"/>
              </w:rPr>
            </w:pPr>
            <w:r w:rsidRPr="00AC2D9B">
              <w:rPr>
                <w:sz w:val="16"/>
                <w:szCs w:val="16"/>
              </w:rPr>
              <w:t>Yes</w:t>
            </w:r>
          </w:p>
        </w:tc>
        <w:tc>
          <w:tcPr>
            <w:tcW w:w="1134" w:type="dxa"/>
            <w:tcBorders>
              <w:top w:val="single" w:sz="12" w:space="0" w:color="auto"/>
              <w:left w:val="single" w:sz="12" w:space="0" w:color="auto"/>
              <w:right w:val="single" w:sz="12" w:space="0" w:color="auto"/>
            </w:tcBorders>
          </w:tcPr>
          <w:p w14:paraId="1B7DEB4B" w14:textId="77777777" w:rsidR="00AC2D9B" w:rsidRPr="00AC2D9B" w:rsidRDefault="00AC2D9B" w:rsidP="00576CB4">
            <w:pPr>
              <w:spacing w:after="0" w:line="240" w:lineRule="auto"/>
              <w:jc w:val="center"/>
              <w:rPr>
                <w:sz w:val="16"/>
                <w:szCs w:val="16"/>
              </w:rPr>
            </w:pPr>
            <w:r w:rsidRPr="00AC2D9B">
              <w:rPr>
                <w:sz w:val="16"/>
                <w:szCs w:val="16"/>
              </w:rPr>
              <w:t>£17 12s 8d</w:t>
            </w:r>
          </w:p>
        </w:tc>
        <w:tc>
          <w:tcPr>
            <w:tcW w:w="850" w:type="dxa"/>
            <w:tcBorders>
              <w:top w:val="single" w:sz="12" w:space="0" w:color="auto"/>
              <w:left w:val="single" w:sz="12" w:space="0" w:color="auto"/>
              <w:right w:val="single" w:sz="12" w:space="0" w:color="auto"/>
            </w:tcBorders>
          </w:tcPr>
          <w:p w14:paraId="48B8629B" w14:textId="77777777" w:rsidR="00AC2D9B" w:rsidRPr="00AC2D9B" w:rsidRDefault="00AC2D9B" w:rsidP="00576CB4">
            <w:pPr>
              <w:spacing w:after="0" w:line="240" w:lineRule="auto"/>
              <w:jc w:val="center"/>
              <w:rPr>
                <w:sz w:val="16"/>
                <w:szCs w:val="16"/>
              </w:rPr>
            </w:pPr>
            <w:r w:rsidRPr="00AC2D9B">
              <w:rPr>
                <w:sz w:val="16"/>
                <w:szCs w:val="16"/>
              </w:rPr>
              <w:t>1673</w:t>
            </w:r>
          </w:p>
        </w:tc>
        <w:tc>
          <w:tcPr>
            <w:tcW w:w="992" w:type="dxa"/>
            <w:tcBorders>
              <w:top w:val="single" w:sz="12" w:space="0" w:color="auto"/>
              <w:left w:val="single" w:sz="12" w:space="0" w:color="auto"/>
              <w:right w:val="single" w:sz="12" w:space="0" w:color="auto"/>
            </w:tcBorders>
          </w:tcPr>
          <w:p w14:paraId="64AB9D49"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top w:val="single" w:sz="12" w:space="0" w:color="auto"/>
              <w:left w:val="single" w:sz="12" w:space="0" w:color="auto"/>
              <w:right w:val="single" w:sz="12" w:space="0" w:color="auto"/>
            </w:tcBorders>
          </w:tcPr>
          <w:p w14:paraId="26BDF694" w14:textId="77777777" w:rsidR="00AC2D9B" w:rsidRPr="00AC2D9B" w:rsidRDefault="00AC2D9B" w:rsidP="00576CB4">
            <w:pPr>
              <w:spacing w:after="0" w:line="240" w:lineRule="auto"/>
              <w:jc w:val="center"/>
              <w:rPr>
                <w:sz w:val="16"/>
                <w:szCs w:val="16"/>
              </w:rPr>
            </w:pPr>
            <w:r w:rsidRPr="00AC2D9B">
              <w:rPr>
                <w:sz w:val="16"/>
                <w:szCs w:val="16"/>
              </w:rPr>
              <w:t>Unknown</w:t>
            </w:r>
          </w:p>
        </w:tc>
      </w:tr>
      <w:tr w:rsidR="00AC2D9B" w:rsidRPr="00AC2D9B" w14:paraId="22BCD1A6" w14:textId="77777777" w:rsidTr="00576CB4">
        <w:tc>
          <w:tcPr>
            <w:tcW w:w="978" w:type="dxa"/>
            <w:vMerge/>
            <w:tcBorders>
              <w:left w:val="single" w:sz="12" w:space="0" w:color="auto"/>
              <w:bottom w:val="single" w:sz="12" w:space="0" w:color="auto"/>
              <w:right w:val="single" w:sz="12" w:space="0" w:color="auto"/>
            </w:tcBorders>
          </w:tcPr>
          <w:p w14:paraId="58D4D4B8" w14:textId="77777777" w:rsidR="00AC2D9B" w:rsidRPr="00AC2D9B" w:rsidRDefault="00AC2D9B" w:rsidP="00576CB4">
            <w:pPr>
              <w:spacing w:after="0" w:line="240" w:lineRule="auto"/>
              <w:jc w:val="center"/>
              <w:rPr>
                <w:sz w:val="16"/>
                <w:szCs w:val="16"/>
              </w:rPr>
            </w:pPr>
          </w:p>
        </w:tc>
        <w:tc>
          <w:tcPr>
            <w:tcW w:w="1275" w:type="dxa"/>
            <w:vMerge/>
            <w:tcBorders>
              <w:left w:val="single" w:sz="12" w:space="0" w:color="auto"/>
              <w:bottom w:val="single" w:sz="12" w:space="0" w:color="auto"/>
              <w:right w:val="single" w:sz="12" w:space="0" w:color="auto"/>
            </w:tcBorders>
          </w:tcPr>
          <w:p w14:paraId="77F17BB2" w14:textId="77777777" w:rsidR="00AC2D9B" w:rsidRPr="00AC2D9B" w:rsidRDefault="00AC2D9B" w:rsidP="00576CB4">
            <w:pPr>
              <w:spacing w:after="0" w:line="240" w:lineRule="auto"/>
              <w:jc w:val="center"/>
              <w:rPr>
                <w:sz w:val="16"/>
                <w:szCs w:val="16"/>
              </w:rPr>
            </w:pPr>
          </w:p>
        </w:tc>
        <w:tc>
          <w:tcPr>
            <w:tcW w:w="993" w:type="dxa"/>
            <w:vMerge/>
            <w:tcBorders>
              <w:left w:val="single" w:sz="12" w:space="0" w:color="auto"/>
              <w:bottom w:val="single" w:sz="12" w:space="0" w:color="auto"/>
              <w:right w:val="single" w:sz="12" w:space="0" w:color="auto"/>
            </w:tcBorders>
          </w:tcPr>
          <w:p w14:paraId="0623483D" w14:textId="77777777" w:rsidR="00AC2D9B" w:rsidRPr="00AC2D9B" w:rsidRDefault="00AC2D9B"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12970748" w14:textId="77777777" w:rsidR="00AC2D9B" w:rsidRPr="00AC2D9B" w:rsidRDefault="00AC2D9B" w:rsidP="00576CB4">
            <w:pPr>
              <w:spacing w:after="0" w:line="240" w:lineRule="auto"/>
              <w:jc w:val="center"/>
              <w:rPr>
                <w:sz w:val="16"/>
                <w:szCs w:val="16"/>
              </w:rPr>
            </w:pPr>
          </w:p>
        </w:tc>
        <w:tc>
          <w:tcPr>
            <w:tcW w:w="2126" w:type="dxa"/>
            <w:tcBorders>
              <w:left w:val="single" w:sz="12" w:space="0" w:color="auto"/>
              <w:bottom w:val="single" w:sz="12" w:space="0" w:color="auto"/>
              <w:right w:val="single" w:sz="12" w:space="0" w:color="auto"/>
            </w:tcBorders>
          </w:tcPr>
          <w:p w14:paraId="46FF14B2" w14:textId="77777777" w:rsidR="00AC2D9B" w:rsidRPr="00AC2D9B" w:rsidRDefault="00AC2D9B" w:rsidP="00576CB4">
            <w:pPr>
              <w:spacing w:after="0" w:line="240" w:lineRule="auto"/>
              <w:jc w:val="center"/>
              <w:rPr>
                <w:sz w:val="16"/>
                <w:szCs w:val="16"/>
              </w:rPr>
            </w:pPr>
            <w:r w:rsidRPr="00AC2D9B">
              <w:rPr>
                <w:sz w:val="16"/>
                <w:szCs w:val="16"/>
              </w:rPr>
              <w:t>Jane Hall</w:t>
            </w:r>
          </w:p>
        </w:tc>
        <w:tc>
          <w:tcPr>
            <w:tcW w:w="1276" w:type="dxa"/>
            <w:tcBorders>
              <w:left w:val="single" w:sz="12" w:space="0" w:color="auto"/>
              <w:bottom w:val="single" w:sz="12" w:space="0" w:color="auto"/>
              <w:right w:val="single" w:sz="12" w:space="0" w:color="auto"/>
            </w:tcBorders>
          </w:tcPr>
          <w:p w14:paraId="42C9CBB4" w14:textId="77777777" w:rsidR="00AC2D9B" w:rsidRPr="00AC2D9B" w:rsidRDefault="00AC2D9B" w:rsidP="00576CB4">
            <w:pPr>
              <w:numPr>
                <w:ilvl w:val="0"/>
                <w:numId w:val="10"/>
              </w:numPr>
              <w:spacing w:after="0" w:line="240" w:lineRule="auto"/>
              <w:contextualSpacing/>
              <w:jc w:val="center"/>
              <w:rPr>
                <w:sz w:val="16"/>
                <w:szCs w:val="16"/>
              </w:rPr>
            </w:pPr>
          </w:p>
        </w:tc>
        <w:tc>
          <w:tcPr>
            <w:tcW w:w="708" w:type="dxa"/>
            <w:tcBorders>
              <w:left w:val="single" w:sz="12" w:space="0" w:color="auto"/>
              <w:bottom w:val="single" w:sz="12" w:space="0" w:color="auto"/>
              <w:right w:val="single" w:sz="12" w:space="0" w:color="auto"/>
            </w:tcBorders>
          </w:tcPr>
          <w:p w14:paraId="52988677"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left w:val="single" w:sz="12" w:space="0" w:color="auto"/>
              <w:bottom w:val="single" w:sz="12" w:space="0" w:color="auto"/>
              <w:right w:val="single" w:sz="12" w:space="0" w:color="auto"/>
            </w:tcBorders>
          </w:tcPr>
          <w:p w14:paraId="406B6769" w14:textId="77777777" w:rsidR="00AC2D9B" w:rsidRPr="00AC2D9B" w:rsidRDefault="00AC2D9B" w:rsidP="00576CB4">
            <w:pPr>
              <w:spacing w:after="0" w:line="240" w:lineRule="auto"/>
              <w:jc w:val="center"/>
              <w:rPr>
                <w:sz w:val="16"/>
                <w:szCs w:val="16"/>
              </w:rPr>
            </w:pPr>
            <w:r w:rsidRPr="00AC2D9B">
              <w:rPr>
                <w:sz w:val="16"/>
                <w:szCs w:val="16"/>
              </w:rPr>
              <w:t>No</w:t>
            </w:r>
          </w:p>
        </w:tc>
        <w:tc>
          <w:tcPr>
            <w:tcW w:w="1134" w:type="dxa"/>
            <w:tcBorders>
              <w:left w:val="single" w:sz="12" w:space="0" w:color="auto"/>
              <w:bottom w:val="single" w:sz="12" w:space="0" w:color="auto"/>
              <w:right w:val="single" w:sz="12" w:space="0" w:color="auto"/>
            </w:tcBorders>
          </w:tcPr>
          <w:p w14:paraId="736AFB5C" w14:textId="77777777" w:rsidR="00AC2D9B" w:rsidRPr="00AC2D9B" w:rsidRDefault="00AC2D9B" w:rsidP="00576CB4">
            <w:pPr>
              <w:spacing w:after="0" w:line="240" w:lineRule="auto"/>
              <w:jc w:val="center"/>
              <w:rPr>
                <w:sz w:val="16"/>
                <w:szCs w:val="16"/>
              </w:rPr>
            </w:pPr>
            <w:r w:rsidRPr="00AC2D9B">
              <w:rPr>
                <w:sz w:val="16"/>
                <w:szCs w:val="16"/>
              </w:rPr>
              <w:t>-</w:t>
            </w:r>
          </w:p>
        </w:tc>
        <w:tc>
          <w:tcPr>
            <w:tcW w:w="850" w:type="dxa"/>
            <w:tcBorders>
              <w:left w:val="single" w:sz="12" w:space="0" w:color="auto"/>
              <w:bottom w:val="single" w:sz="12" w:space="0" w:color="auto"/>
              <w:right w:val="single" w:sz="12" w:space="0" w:color="auto"/>
            </w:tcBorders>
          </w:tcPr>
          <w:p w14:paraId="6A39FEEA"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left w:val="single" w:sz="12" w:space="0" w:color="auto"/>
              <w:bottom w:val="single" w:sz="12" w:space="0" w:color="auto"/>
              <w:right w:val="single" w:sz="12" w:space="0" w:color="auto"/>
            </w:tcBorders>
          </w:tcPr>
          <w:p w14:paraId="4DF55902"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left w:val="single" w:sz="12" w:space="0" w:color="auto"/>
              <w:bottom w:val="single" w:sz="12" w:space="0" w:color="auto"/>
              <w:right w:val="single" w:sz="12" w:space="0" w:color="auto"/>
            </w:tcBorders>
          </w:tcPr>
          <w:p w14:paraId="5864812F" w14:textId="77777777" w:rsidR="00AC2D9B" w:rsidRPr="00AC2D9B" w:rsidRDefault="00AC2D9B" w:rsidP="00576CB4">
            <w:pPr>
              <w:spacing w:after="0" w:line="240" w:lineRule="auto"/>
              <w:jc w:val="center"/>
              <w:rPr>
                <w:sz w:val="16"/>
                <w:szCs w:val="16"/>
              </w:rPr>
            </w:pPr>
            <w:r w:rsidRPr="00AC2D9B">
              <w:rPr>
                <w:sz w:val="16"/>
                <w:szCs w:val="16"/>
              </w:rPr>
              <w:t>One initial</w:t>
            </w:r>
          </w:p>
        </w:tc>
      </w:tr>
      <w:tr w:rsidR="00AC2D9B" w:rsidRPr="00AC2D9B" w14:paraId="79F6A640" w14:textId="77777777" w:rsidTr="00576CB4">
        <w:tc>
          <w:tcPr>
            <w:tcW w:w="978" w:type="dxa"/>
            <w:vMerge w:val="restart"/>
            <w:tcBorders>
              <w:top w:val="single" w:sz="12" w:space="0" w:color="auto"/>
              <w:left w:val="single" w:sz="12" w:space="0" w:color="auto"/>
              <w:right w:val="single" w:sz="12" w:space="0" w:color="auto"/>
            </w:tcBorders>
          </w:tcPr>
          <w:p w14:paraId="40C3A486" w14:textId="77777777" w:rsidR="00AC2D9B" w:rsidRPr="00AC2D9B" w:rsidRDefault="00AC2D9B" w:rsidP="00576CB4">
            <w:pPr>
              <w:spacing w:after="0" w:line="240" w:lineRule="auto"/>
              <w:jc w:val="center"/>
              <w:rPr>
                <w:sz w:val="16"/>
                <w:szCs w:val="16"/>
              </w:rPr>
            </w:pPr>
            <w:r w:rsidRPr="00AC2D9B">
              <w:rPr>
                <w:sz w:val="16"/>
                <w:szCs w:val="16"/>
              </w:rPr>
              <w:t>OK</w:t>
            </w:r>
          </w:p>
        </w:tc>
        <w:tc>
          <w:tcPr>
            <w:tcW w:w="1275" w:type="dxa"/>
            <w:vMerge w:val="restart"/>
            <w:tcBorders>
              <w:top w:val="single" w:sz="12" w:space="0" w:color="auto"/>
              <w:left w:val="single" w:sz="12" w:space="0" w:color="auto"/>
              <w:right w:val="single" w:sz="12" w:space="0" w:color="auto"/>
            </w:tcBorders>
          </w:tcPr>
          <w:p w14:paraId="2C8B6CA4" w14:textId="77777777" w:rsidR="00AC2D9B" w:rsidRPr="00AC2D9B" w:rsidRDefault="00AC2D9B" w:rsidP="00576CB4">
            <w:pPr>
              <w:spacing w:after="0" w:line="240" w:lineRule="auto"/>
              <w:jc w:val="center"/>
              <w:rPr>
                <w:sz w:val="16"/>
                <w:szCs w:val="16"/>
              </w:rPr>
            </w:pPr>
            <w:proofErr w:type="spellStart"/>
            <w:r w:rsidRPr="00AC2D9B">
              <w:rPr>
                <w:sz w:val="16"/>
                <w:szCs w:val="16"/>
              </w:rPr>
              <w:t>Kirkhouse</w:t>
            </w:r>
            <w:proofErr w:type="spellEnd"/>
          </w:p>
        </w:tc>
        <w:tc>
          <w:tcPr>
            <w:tcW w:w="993" w:type="dxa"/>
            <w:vMerge w:val="restart"/>
            <w:tcBorders>
              <w:top w:val="single" w:sz="12" w:space="0" w:color="auto"/>
              <w:left w:val="single" w:sz="12" w:space="0" w:color="auto"/>
              <w:right w:val="single" w:sz="12" w:space="0" w:color="auto"/>
            </w:tcBorders>
          </w:tcPr>
          <w:p w14:paraId="7BD39FC0" w14:textId="77777777" w:rsidR="00AC2D9B" w:rsidRPr="00AC2D9B" w:rsidRDefault="00AC2D9B" w:rsidP="00576CB4">
            <w:pPr>
              <w:spacing w:after="0" w:line="240" w:lineRule="auto"/>
              <w:jc w:val="center"/>
              <w:rPr>
                <w:sz w:val="16"/>
                <w:szCs w:val="16"/>
              </w:rPr>
            </w:pPr>
            <w:r w:rsidRPr="00AC2D9B">
              <w:rPr>
                <w:sz w:val="16"/>
                <w:szCs w:val="16"/>
              </w:rPr>
              <w:t xml:space="preserve">R </w:t>
            </w:r>
            <w:r w:rsidRPr="00AC2D9B">
              <w:rPr>
                <w:sz w:val="16"/>
                <w:szCs w:val="16"/>
                <w:vertAlign w:val="superscript"/>
              </w:rPr>
              <w:t xml:space="preserve">H </w:t>
            </w:r>
            <w:r w:rsidRPr="00AC2D9B">
              <w:rPr>
                <w:sz w:val="16"/>
                <w:szCs w:val="16"/>
              </w:rPr>
              <w:t>E 1676</w:t>
            </w:r>
          </w:p>
        </w:tc>
        <w:tc>
          <w:tcPr>
            <w:tcW w:w="1134" w:type="dxa"/>
            <w:vMerge w:val="restart"/>
            <w:tcBorders>
              <w:top w:val="single" w:sz="12" w:space="0" w:color="auto"/>
              <w:left w:val="single" w:sz="12" w:space="0" w:color="auto"/>
              <w:right w:val="single" w:sz="12" w:space="0" w:color="auto"/>
            </w:tcBorders>
          </w:tcPr>
          <w:p w14:paraId="00A4703B" w14:textId="77777777" w:rsidR="00AC2D9B" w:rsidRPr="00AC2D9B" w:rsidRDefault="00AC2D9B" w:rsidP="00576CB4">
            <w:pPr>
              <w:spacing w:after="0" w:line="240" w:lineRule="auto"/>
              <w:jc w:val="center"/>
              <w:rPr>
                <w:sz w:val="16"/>
                <w:szCs w:val="16"/>
              </w:rPr>
            </w:pPr>
            <w:r w:rsidRPr="00AC2D9B">
              <w:rPr>
                <w:sz w:val="16"/>
                <w:szCs w:val="16"/>
              </w:rPr>
              <w:t>Façade, lintel</w:t>
            </w:r>
          </w:p>
        </w:tc>
        <w:tc>
          <w:tcPr>
            <w:tcW w:w="2126" w:type="dxa"/>
            <w:tcBorders>
              <w:top w:val="single" w:sz="12" w:space="0" w:color="auto"/>
              <w:left w:val="single" w:sz="12" w:space="0" w:color="auto"/>
              <w:right w:val="single" w:sz="12" w:space="0" w:color="auto"/>
            </w:tcBorders>
          </w:tcPr>
          <w:p w14:paraId="3F723511" w14:textId="77777777" w:rsidR="00AC2D9B" w:rsidRPr="00AC2D9B" w:rsidRDefault="00AC2D9B" w:rsidP="00576CB4">
            <w:pPr>
              <w:spacing w:after="0" w:line="240" w:lineRule="auto"/>
              <w:jc w:val="center"/>
              <w:rPr>
                <w:sz w:val="16"/>
                <w:szCs w:val="16"/>
              </w:rPr>
            </w:pPr>
            <w:r w:rsidRPr="00AC2D9B">
              <w:rPr>
                <w:sz w:val="16"/>
                <w:szCs w:val="16"/>
              </w:rPr>
              <w:t>Robert Hawthornthwaite</w:t>
            </w:r>
          </w:p>
        </w:tc>
        <w:tc>
          <w:tcPr>
            <w:tcW w:w="1276" w:type="dxa"/>
            <w:tcBorders>
              <w:top w:val="single" w:sz="12" w:space="0" w:color="auto"/>
              <w:left w:val="single" w:sz="12" w:space="0" w:color="auto"/>
              <w:right w:val="single" w:sz="12" w:space="0" w:color="auto"/>
            </w:tcBorders>
          </w:tcPr>
          <w:p w14:paraId="1B6A9868" w14:textId="77777777" w:rsidR="00AC2D9B" w:rsidRPr="00AC2D9B" w:rsidRDefault="00AC2D9B" w:rsidP="00576CB4">
            <w:pPr>
              <w:spacing w:after="0" w:line="240" w:lineRule="auto"/>
              <w:jc w:val="center"/>
              <w:rPr>
                <w:sz w:val="16"/>
                <w:szCs w:val="16"/>
              </w:rPr>
            </w:pPr>
            <w:r w:rsidRPr="00AC2D9B">
              <w:rPr>
                <w:sz w:val="16"/>
                <w:szCs w:val="16"/>
              </w:rPr>
              <w:t>Yeoman</w:t>
            </w:r>
          </w:p>
        </w:tc>
        <w:tc>
          <w:tcPr>
            <w:tcW w:w="708" w:type="dxa"/>
            <w:tcBorders>
              <w:top w:val="single" w:sz="12" w:space="0" w:color="auto"/>
              <w:left w:val="single" w:sz="12" w:space="0" w:color="auto"/>
              <w:right w:val="single" w:sz="12" w:space="0" w:color="auto"/>
            </w:tcBorders>
          </w:tcPr>
          <w:p w14:paraId="63659ACE" w14:textId="77777777" w:rsidR="00AC2D9B" w:rsidRPr="00AC2D9B" w:rsidRDefault="00AC2D9B" w:rsidP="00576CB4">
            <w:pPr>
              <w:spacing w:after="0" w:line="240" w:lineRule="auto"/>
              <w:jc w:val="center"/>
              <w:rPr>
                <w:sz w:val="16"/>
                <w:szCs w:val="16"/>
              </w:rPr>
            </w:pPr>
            <w:r w:rsidRPr="00AC2D9B">
              <w:rPr>
                <w:sz w:val="16"/>
                <w:szCs w:val="16"/>
              </w:rPr>
              <w:t>Yes</w:t>
            </w:r>
          </w:p>
        </w:tc>
        <w:tc>
          <w:tcPr>
            <w:tcW w:w="993" w:type="dxa"/>
            <w:tcBorders>
              <w:top w:val="single" w:sz="12" w:space="0" w:color="auto"/>
              <w:left w:val="single" w:sz="12" w:space="0" w:color="auto"/>
              <w:right w:val="single" w:sz="12" w:space="0" w:color="auto"/>
            </w:tcBorders>
          </w:tcPr>
          <w:p w14:paraId="4BF0C68C" w14:textId="77777777" w:rsidR="00AC2D9B" w:rsidRPr="00AC2D9B" w:rsidRDefault="00AC2D9B" w:rsidP="00576CB4">
            <w:pPr>
              <w:spacing w:after="0" w:line="240" w:lineRule="auto"/>
              <w:jc w:val="center"/>
              <w:rPr>
                <w:sz w:val="16"/>
                <w:szCs w:val="16"/>
              </w:rPr>
            </w:pPr>
            <w:r w:rsidRPr="00AC2D9B">
              <w:rPr>
                <w:sz w:val="16"/>
                <w:szCs w:val="16"/>
              </w:rPr>
              <w:t>Yes</w:t>
            </w:r>
          </w:p>
        </w:tc>
        <w:tc>
          <w:tcPr>
            <w:tcW w:w="1134" w:type="dxa"/>
            <w:tcBorders>
              <w:top w:val="single" w:sz="12" w:space="0" w:color="auto"/>
              <w:left w:val="single" w:sz="12" w:space="0" w:color="auto"/>
              <w:right w:val="single" w:sz="12" w:space="0" w:color="auto"/>
            </w:tcBorders>
          </w:tcPr>
          <w:p w14:paraId="6EFDD068" w14:textId="77777777" w:rsidR="00AC2D9B" w:rsidRPr="00AC2D9B" w:rsidRDefault="00AC2D9B" w:rsidP="00576CB4">
            <w:pPr>
              <w:spacing w:after="0" w:line="240" w:lineRule="auto"/>
              <w:jc w:val="center"/>
              <w:rPr>
                <w:sz w:val="16"/>
                <w:szCs w:val="16"/>
              </w:rPr>
            </w:pPr>
            <w:r w:rsidRPr="00AC2D9B">
              <w:rPr>
                <w:sz w:val="16"/>
                <w:szCs w:val="16"/>
              </w:rPr>
              <w:t>£914 14s 4d</w:t>
            </w:r>
          </w:p>
        </w:tc>
        <w:tc>
          <w:tcPr>
            <w:tcW w:w="850" w:type="dxa"/>
            <w:tcBorders>
              <w:top w:val="single" w:sz="12" w:space="0" w:color="auto"/>
              <w:left w:val="single" w:sz="12" w:space="0" w:color="auto"/>
              <w:right w:val="single" w:sz="12" w:space="0" w:color="auto"/>
            </w:tcBorders>
          </w:tcPr>
          <w:p w14:paraId="1A312709"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top w:val="single" w:sz="12" w:space="0" w:color="auto"/>
              <w:left w:val="single" w:sz="12" w:space="0" w:color="auto"/>
              <w:right w:val="single" w:sz="12" w:space="0" w:color="auto"/>
            </w:tcBorders>
          </w:tcPr>
          <w:p w14:paraId="6AB3447B" w14:textId="77777777" w:rsidR="00AC2D9B" w:rsidRPr="00AC2D9B" w:rsidRDefault="00AC2D9B" w:rsidP="00576CB4">
            <w:pPr>
              <w:spacing w:after="0" w:line="240" w:lineRule="auto"/>
              <w:jc w:val="center"/>
              <w:rPr>
                <w:sz w:val="16"/>
                <w:szCs w:val="16"/>
              </w:rPr>
            </w:pPr>
            <w:r w:rsidRPr="00AC2D9B">
              <w:rPr>
                <w:sz w:val="16"/>
                <w:szCs w:val="16"/>
              </w:rPr>
              <w:t>£420</w:t>
            </w:r>
          </w:p>
        </w:tc>
        <w:tc>
          <w:tcPr>
            <w:tcW w:w="1469" w:type="dxa"/>
            <w:tcBorders>
              <w:top w:val="single" w:sz="12" w:space="0" w:color="auto"/>
              <w:left w:val="single" w:sz="12" w:space="0" w:color="auto"/>
              <w:right w:val="single" w:sz="12" w:space="0" w:color="auto"/>
            </w:tcBorders>
          </w:tcPr>
          <w:p w14:paraId="7A571612" w14:textId="77777777" w:rsidR="00AC2D9B" w:rsidRPr="00AC2D9B" w:rsidRDefault="00AC2D9B" w:rsidP="00576CB4">
            <w:pPr>
              <w:spacing w:after="0" w:line="240" w:lineRule="auto"/>
              <w:jc w:val="center"/>
              <w:rPr>
                <w:sz w:val="16"/>
                <w:szCs w:val="16"/>
              </w:rPr>
            </w:pPr>
            <w:r w:rsidRPr="00AC2D9B">
              <w:rPr>
                <w:sz w:val="16"/>
                <w:szCs w:val="16"/>
              </w:rPr>
              <w:t>Unknown</w:t>
            </w:r>
          </w:p>
        </w:tc>
      </w:tr>
      <w:tr w:rsidR="00AC2D9B" w:rsidRPr="00AC2D9B" w14:paraId="722026A9" w14:textId="77777777" w:rsidTr="00576CB4">
        <w:tc>
          <w:tcPr>
            <w:tcW w:w="978" w:type="dxa"/>
            <w:vMerge/>
            <w:tcBorders>
              <w:left w:val="single" w:sz="12" w:space="0" w:color="auto"/>
              <w:bottom w:val="single" w:sz="12" w:space="0" w:color="auto"/>
              <w:right w:val="single" w:sz="12" w:space="0" w:color="auto"/>
            </w:tcBorders>
          </w:tcPr>
          <w:p w14:paraId="0654CCE1" w14:textId="77777777" w:rsidR="00AC2D9B" w:rsidRPr="00AC2D9B" w:rsidRDefault="00AC2D9B" w:rsidP="00576CB4">
            <w:pPr>
              <w:spacing w:after="0" w:line="240" w:lineRule="auto"/>
              <w:jc w:val="center"/>
              <w:rPr>
                <w:sz w:val="16"/>
                <w:szCs w:val="16"/>
              </w:rPr>
            </w:pPr>
          </w:p>
        </w:tc>
        <w:tc>
          <w:tcPr>
            <w:tcW w:w="1275" w:type="dxa"/>
            <w:vMerge/>
            <w:tcBorders>
              <w:left w:val="single" w:sz="12" w:space="0" w:color="auto"/>
              <w:bottom w:val="single" w:sz="12" w:space="0" w:color="auto"/>
              <w:right w:val="single" w:sz="12" w:space="0" w:color="auto"/>
            </w:tcBorders>
          </w:tcPr>
          <w:p w14:paraId="7E448F4E" w14:textId="77777777" w:rsidR="00AC2D9B" w:rsidRPr="00AC2D9B" w:rsidRDefault="00AC2D9B" w:rsidP="00576CB4">
            <w:pPr>
              <w:spacing w:after="0" w:line="240" w:lineRule="auto"/>
              <w:jc w:val="center"/>
              <w:rPr>
                <w:sz w:val="16"/>
                <w:szCs w:val="16"/>
              </w:rPr>
            </w:pPr>
          </w:p>
        </w:tc>
        <w:tc>
          <w:tcPr>
            <w:tcW w:w="993" w:type="dxa"/>
            <w:vMerge/>
            <w:tcBorders>
              <w:left w:val="single" w:sz="12" w:space="0" w:color="auto"/>
              <w:bottom w:val="single" w:sz="12" w:space="0" w:color="auto"/>
              <w:right w:val="single" w:sz="12" w:space="0" w:color="auto"/>
            </w:tcBorders>
          </w:tcPr>
          <w:p w14:paraId="273A8CB0" w14:textId="77777777" w:rsidR="00AC2D9B" w:rsidRPr="00AC2D9B" w:rsidRDefault="00AC2D9B"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0C33FE67" w14:textId="77777777" w:rsidR="00AC2D9B" w:rsidRPr="00AC2D9B" w:rsidRDefault="00AC2D9B" w:rsidP="00576CB4">
            <w:pPr>
              <w:spacing w:after="0" w:line="240" w:lineRule="auto"/>
              <w:jc w:val="center"/>
              <w:rPr>
                <w:sz w:val="16"/>
                <w:szCs w:val="16"/>
              </w:rPr>
            </w:pPr>
          </w:p>
        </w:tc>
        <w:tc>
          <w:tcPr>
            <w:tcW w:w="2126" w:type="dxa"/>
            <w:tcBorders>
              <w:left w:val="single" w:sz="12" w:space="0" w:color="auto"/>
              <w:bottom w:val="single" w:sz="12" w:space="0" w:color="auto"/>
              <w:right w:val="single" w:sz="12" w:space="0" w:color="auto"/>
            </w:tcBorders>
          </w:tcPr>
          <w:p w14:paraId="41B36D51" w14:textId="77777777" w:rsidR="00AC2D9B" w:rsidRPr="00AC2D9B" w:rsidRDefault="00AC2D9B" w:rsidP="00576CB4">
            <w:pPr>
              <w:spacing w:after="0" w:line="240" w:lineRule="auto"/>
              <w:jc w:val="center"/>
              <w:rPr>
                <w:sz w:val="16"/>
                <w:szCs w:val="16"/>
              </w:rPr>
            </w:pPr>
            <w:r w:rsidRPr="00AC2D9B">
              <w:rPr>
                <w:sz w:val="16"/>
                <w:szCs w:val="16"/>
              </w:rPr>
              <w:t>Elizabeth Hawthornthwaite</w:t>
            </w:r>
          </w:p>
        </w:tc>
        <w:tc>
          <w:tcPr>
            <w:tcW w:w="1276" w:type="dxa"/>
            <w:tcBorders>
              <w:left w:val="single" w:sz="12" w:space="0" w:color="auto"/>
              <w:bottom w:val="single" w:sz="12" w:space="0" w:color="auto"/>
              <w:right w:val="single" w:sz="12" w:space="0" w:color="auto"/>
            </w:tcBorders>
          </w:tcPr>
          <w:p w14:paraId="1B75833C" w14:textId="77777777" w:rsidR="00AC2D9B" w:rsidRPr="00AC2D9B" w:rsidRDefault="00AC2D9B" w:rsidP="00576CB4">
            <w:pPr>
              <w:numPr>
                <w:ilvl w:val="0"/>
                <w:numId w:val="10"/>
              </w:numPr>
              <w:spacing w:after="0" w:line="240" w:lineRule="auto"/>
              <w:contextualSpacing/>
              <w:jc w:val="center"/>
              <w:rPr>
                <w:sz w:val="16"/>
                <w:szCs w:val="16"/>
              </w:rPr>
            </w:pPr>
          </w:p>
        </w:tc>
        <w:tc>
          <w:tcPr>
            <w:tcW w:w="708" w:type="dxa"/>
            <w:tcBorders>
              <w:left w:val="single" w:sz="12" w:space="0" w:color="auto"/>
              <w:bottom w:val="single" w:sz="12" w:space="0" w:color="auto"/>
              <w:right w:val="single" w:sz="12" w:space="0" w:color="auto"/>
            </w:tcBorders>
          </w:tcPr>
          <w:p w14:paraId="0638613A"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left w:val="single" w:sz="12" w:space="0" w:color="auto"/>
              <w:bottom w:val="single" w:sz="12" w:space="0" w:color="auto"/>
              <w:right w:val="single" w:sz="12" w:space="0" w:color="auto"/>
            </w:tcBorders>
          </w:tcPr>
          <w:p w14:paraId="3BF6AC09" w14:textId="77777777" w:rsidR="00AC2D9B" w:rsidRPr="00AC2D9B" w:rsidRDefault="00AC2D9B" w:rsidP="00576CB4">
            <w:pPr>
              <w:spacing w:after="0" w:line="240" w:lineRule="auto"/>
              <w:jc w:val="center"/>
              <w:rPr>
                <w:sz w:val="16"/>
                <w:szCs w:val="16"/>
              </w:rPr>
            </w:pPr>
            <w:r w:rsidRPr="00AC2D9B">
              <w:rPr>
                <w:sz w:val="16"/>
                <w:szCs w:val="16"/>
              </w:rPr>
              <w:t>No</w:t>
            </w:r>
          </w:p>
        </w:tc>
        <w:tc>
          <w:tcPr>
            <w:tcW w:w="1134" w:type="dxa"/>
            <w:tcBorders>
              <w:left w:val="single" w:sz="12" w:space="0" w:color="auto"/>
              <w:bottom w:val="single" w:sz="12" w:space="0" w:color="auto"/>
              <w:right w:val="single" w:sz="12" w:space="0" w:color="auto"/>
            </w:tcBorders>
          </w:tcPr>
          <w:p w14:paraId="0132B76E" w14:textId="77777777" w:rsidR="00AC2D9B" w:rsidRPr="00AC2D9B" w:rsidRDefault="00AC2D9B" w:rsidP="00576CB4">
            <w:pPr>
              <w:spacing w:after="0" w:line="240" w:lineRule="auto"/>
              <w:jc w:val="center"/>
              <w:rPr>
                <w:sz w:val="16"/>
                <w:szCs w:val="16"/>
              </w:rPr>
            </w:pPr>
            <w:r w:rsidRPr="00AC2D9B">
              <w:rPr>
                <w:sz w:val="16"/>
                <w:szCs w:val="16"/>
              </w:rPr>
              <w:t>-</w:t>
            </w:r>
          </w:p>
        </w:tc>
        <w:tc>
          <w:tcPr>
            <w:tcW w:w="850" w:type="dxa"/>
            <w:tcBorders>
              <w:left w:val="single" w:sz="12" w:space="0" w:color="auto"/>
              <w:bottom w:val="single" w:sz="12" w:space="0" w:color="auto"/>
              <w:right w:val="single" w:sz="12" w:space="0" w:color="auto"/>
            </w:tcBorders>
          </w:tcPr>
          <w:p w14:paraId="11B3A87E"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left w:val="single" w:sz="12" w:space="0" w:color="auto"/>
              <w:bottom w:val="single" w:sz="12" w:space="0" w:color="auto"/>
              <w:right w:val="single" w:sz="12" w:space="0" w:color="auto"/>
            </w:tcBorders>
          </w:tcPr>
          <w:p w14:paraId="34539FB9"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left w:val="single" w:sz="12" w:space="0" w:color="auto"/>
              <w:bottom w:val="single" w:sz="12" w:space="0" w:color="auto"/>
              <w:right w:val="single" w:sz="12" w:space="0" w:color="auto"/>
            </w:tcBorders>
          </w:tcPr>
          <w:p w14:paraId="07235929" w14:textId="77777777" w:rsidR="00AC2D9B" w:rsidRPr="00AC2D9B" w:rsidRDefault="00AC2D9B" w:rsidP="00576CB4">
            <w:pPr>
              <w:spacing w:after="0" w:line="240" w:lineRule="auto"/>
              <w:jc w:val="center"/>
              <w:rPr>
                <w:sz w:val="16"/>
                <w:szCs w:val="16"/>
              </w:rPr>
            </w:pPr>
            <w:r w:rsidRPr="00AC2D9B">
              <w:rPr>
                <w:sz w:val="16"/>
                <w:szCs w:val="16"/>
              </w:rPr>
              <w:t xml:space="preserve">Circle </w:t>
            </w:r>
          </w:p>
        </w:tc>
      </w:tr>
      <w:tr w:rsidR="00AC2D9B" w:rsidRPr="00AC2D9B" w14:paraId="52897CF2" w14:textId="77777777" w:rsidTr="00576CB4">
        <w:tc>
          <w:tcPr>
            <w:tcW w:w="978" w:type="dxa"/>
            <w:vMerge w:val="restart"/>
            <w:tcBorders>
              <w:top w:val="single" w:sz="12" w:space="0" w:color="auto"/>
              <w:left w:val="single" w:sz="12" w:space="0" w:color="auto"/>
              <w:right w:val="single" w:sz="12" w:space="0" w:color="auto"/>
            </w:tcBorders>
          </w:tcPr>
          <w:p w14:paraId="567822C2" w14:textId="77777777" w:rsidR="00AC2D9B" w:rsidRPr="00AC2D9B" w:rsidRDefault="00AC2D9B" w:rsidP="00576CB4">
            <w:pPr>
              <w:spacing w:after="0" w:line="240" w:lineRule="auto"/>
              <w:jc w:val="center"/>
              <w:rPr>
                <w:sz w:val="16"/>
                <w:szCs w:val="16"/>
              </w:rPr>
            </w:pPr>
            <w:proofErr w:type="spellStart"/>
            <w:r w:rsidRPr="00AC2D9B">
              <w:rPr>
                <w:sz w:val="16"/>
                <w:szCs w:val="16"/>
              </w:rPr>
              <w:t>SwH</w:t>
            </w:r>
            <w:proofErr w:type="spellEnd"/>
          </w:p>
        </w:tc>
        <w:tc>
          <w:tcPr>
            <w:tcW w:w="1275" w:type="dxa"/>
            <w:vMerge w:val="restart"/>
            <w:tcBorders>
              <w:top w:val="single" w:sz="12" w:space="0" w:color="auto"/>
              <w:left w:val="single" w:sz="12" w:space="0" w:color="auto"/>
              <w:right w:val="single" w:sz="12" w:space="0" w:color="auto"/>
            </w:tcBorders>
          </w:tcPr>
          <w:p w14:paraId="59DA4A5C" w14:textId="77777777" w:rsidR="00AC2D9B" w:rsidRPr="00AC2D9B" w:rsidRDefault="00AC2D9B" w:rsidP="00576CB4">
            <w:pPr>
              <w:spacing w:after="0" w:line="240" w:lineRule="auto"/>
              <w:jc w:val="center"/>
              <w:rPr>
                <w:sz w:val="16"/>
                <w:szCs w:val="16"/>
              </w:rPr>
            </w:pPr>
            <w:r w:rsidRPr="00AC2D9B">
              <w:rPr>
                <w:sz w:val="16"/>
                <w:szCs w:val="16"/>
              </w:rPr>
              <w:t>Manor House</w:t>
            </w:r>
          </w:p>
        </w:tc>
        <w:tc>
          <w:tcPr>
            <w:tcW w:w="993" w:type="dxa"/>
            <w:tcBorders>
              <w:top w:val="single" w:sz="12" w:space="0" w:color="auto"/>
              <w:left w:val="single" w:sz="12" w:space="0" w:color="auto"/>
              <w:right w:val="single" w:sz="12" w:space="0" w:color="auto"/>
            </w:tcBorders>
          </w:tcPr>
          <w:p w14:paraId="26639C1E" w14:textId="77777777" w:rsidR="00AC2D9B" w:rsidRPr="00AC2D9B" w:rsidRDefault="00AC2D9B" w:rsidP="00576CB4">
            <w:pPr>
              <w:spacing w:after="0" w:line="240" w:lineRule="auto"/>
              <w:jc w:val="center"/>
              <w:rPr>
                <w:sz w:val="16"/>
                <w:szCs w:val="16"/>
              </w:rPr>
            </w:pPr>
            <w:r w:rsidRPr="00AC2D9B">
              <w:rPr>
                <w:sz w:val="16"/>
                <w:szCs w:val="16"/>
              </w:rPr>
              <w:t xml:space="preserve">C </w:t>
            </w:r>
            <w:r w:rsidRPr="00AC2D9B">
              <w:rPr>
                <w:sz w:val="16"/>
                <w:szCs w:val="16"/>
                <w:vertAlign w:val="superscript"/>
              </w:rPr>
              <w:t xml:space="preserve">G </w:t>
            </w:r>
            <w:r w:rsidRPr="00AC2D9B">
              <w:rPr>
                <w:sz w:val="16"/>
                <w:szCs w:val="16"/>
              </w:rPr>
              <w:t>M 1681</w:t>
            </w:r>
          </w:p>
        </w:tc>
        <w:tc>
          <w:tcPr>
            <w:tcW w:w="1134" w:type="dxa"/>
            <w:tcBorders>
              <w:top w:val="single" w:sz="12" w:space="0" w:color="auto"/>
              <w:left w:val="single" w:sz="12" w:space="0" w:color="auto"/>
              <w:right w:val="single" w:sz="12" w:space="0" w:color="auto"/>
            </w:tcBorders>
          </w:tcPr>
          <w:p w14:paraId="5668E591" w14:textId="77777777" w:rsidR="00AC2D9B" w:rsidRPr="00AC2D9B" w:rsidRDefault="00AC2D9B" w:rsidP="00576CB4">
            <w:pPr>
              <w:spacing w:after="0" w:line="240" w:lineRule="auto"/>
              <w:jc w:val="center"/>
              <w:rPr>
                <w:sz w:val="16"/>
                <w:szCs w:val="16"/>
              </w:rPr>
            </w:pPr>
            <w:r w:rsidRPr="00AC2D9B">
              <w:rPr>
                <w:sz w:val="16"/>
                <w:szCs w:val="16"/>
              </w:rPr>
              <w:t>Façade, datestone</w:t>
            </w:r>
          </w:p>
        </w:tc>
        <w:tc>
          <w:tcPr>
            <w:tcW w:w="2126" w:type="dxa"/>
            <w:tcBorders>
              <w:top w:val="single" w:sz="12" w:space="0" w:color="auto"/>
              <w:left w:val="single" w:sz="12" w:space="0" w:color="auto"/>
              <w:right w:val="single" w:sz="12" w:space="0" w:color="auto"/>
            </w:tcBorders>
          </w:tcPr>
          <w:p w14:paraId="113BCE22" w14:textId="77777777" w:rsidR="00AC2D9B" w:rsidRPr="00AC2D9B" w:rsidRDefault="00AC2D9B" w:rsidP="00576CB4">
            <w:pPr>
              <w:spacing w:after="0" w:line="240" w:lineRule="auto"/>
              <w:jc w:val="center"/>
              <w:rPr>
                <w:sz w:val="16"/>
                <w:szCs w:val="16"/>
              </w:rPr>
            </w:pPr>
            <w:r w:rsidRPr="00AC2D9B">
              <w:rPr>
                <w:sz w:val="16"/>
                <w:szCs w:val="16"/>
              </w:rPr>
              <w:t>Cornelius Green</w:t>
            </w:r>
          </w:p>
        </w:tc>
        <w:tc>
          <w:tcPr>
            <w:tcW w:w="1276" w:type="dxa"/>
            <w:tcBorders>
              <w:top w:val="single" w:sz="12" w:space="0" w:color="auto"/>
              <w:left w:val="single" w:sz="12" w:space="0" w:color="auto"/>
              <w:right w:val="single" w:sz="12" w:space="0" w:color="auto"/>
            </w:tcBorders>
          </w:tcPr>
          <w:p w14:paraId="3E5FBBC1" w14:textId="77777777" w:rsidR="00AC2D9B" w:rsidRPr="00AC2D9B" w:rsidRDefault="00AC2D9B" w:rsidP="00576CB4">
            <w:pPr>
              <w:spacing w:after="0" w:line="240" w:lineRule="auto"/>
              <w:jc w:val="center"/>
              <w:rPr>
                <w:sz w:val="16"/>
                <w:szCs w:val="16"/>
              </w:rPr>
            </w:pPr>
            <w:r w:rsidRPr="00AC2D9B">
              <w:rPr>
                <w:sz w:val="16"/>
                <w:szCs w:val="16"/>
              </w:rPr>
              <w:t>Gentleman</w:t>
            </w:r>
          </w:p>
        </w:tc>
        <w:tc>
          <w:tcPr>
            <w:tcW w:w="708" w:type="dxa"/>
            <w:tcBorders>
              <w:top w:val="single" w:sz="12" w:space="0" w:color="auto"/>
              <w:left w:val="single" w:sz="12" w:space="0" w:color="auto"/>
              <w:right w:val="single" w:sz="12" w:space="0" w:color="auto"/>
            </w:tcBorders>
          </w:tcPr>
          <w:p w14:paraId="79B2A6F0"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top w:val="single" w:sz="12" w:space="0" w:color="auto"/>
              <w:left w:val="single" w:sz="12" w:space="0" w:color="auto"/>
              <w:right w:val="single" w:sz="12" w:space="0" w:color="auto"/>
            </w:tcBorders>
          </w:tcPr>
          <w:p w14:paraId="55BB3E7F" w14:textId="77777777" w:rsidR="00AC2D9B" w:rsidRPr="00AC2D9B" w:rsidRDefault="00AC2D9B" w:rsidP="00576CB4">
            <w:pPr>
              <w:spacing w:after="0" w:line="240" w:lineRule="auto"/>
              <w:jc w:val="center"/>
              <w:rPr>
                <w:sz w:val="16"/>
                <w:szCs w:val="16"/>
              </w:rPr>
            </w:pPr>
            <w:r w:rsidRPr="00AC2D9B">
              <w:rPr>
                <w:sz w:val="16"/>
                <w:szCs w:val="16"/>
              </w:rPr>
              <w:t>No</w:t>
            </w:r>
          </w:p>
        </w:tc>
        <w:tc>
          <w:tcPr>
            <w:tcW w:w="1134" w:type="dxa"/>
            <w:tcBorders>
              <w:top w:val="single" w:sz="12" w:space="0" w:color="auto"/>
              <w:left w:val="single" w:sz="12" w:space="0" w:color="auto"/>
              <w:right w:val="single" w:sz="12" w:space="0" w:color="auto"/>
            </w:tcBorders>
          </w:tcPr>
          <w:p w14:paraId="0B596AFA" w14:textId="77777777" w:rsidR="00AC2D9B" w:rsidRPr="00AC2D9B" w:rsidRDefault="00AC2D9B" w:rsidP="00576CB4">
            <w:pPr>
              <w:spacing w:after="0" w:line="240" w:lineRule="auto"/>
              <w:jc w:val="center"/>
              <w:rPr>
                <w:sz w:val="16"/>
                <w:szCs w:val="16"/>
              </w:rPr>
            </w:pPr>
            <w:r w:rsidRPr="00AC2D9B">
              <w:rPr>
                <w:sz w:val="16"/>
                <w:szCs w:val="16"/>
              </w:rPr>
              <w:t>-</w:t>
            </w:r>
          </w:p>
        </w:tc>
        <w:tc>
          <w:tcPr>
            <w:tcW w:w="850" w:type="dxa"/>
            <w:tcBorders>
              <w:top w:val="single" w:sz="12" w:space="0" w:color="auto"/>
              <w:left w:val="single" w:sz="12" w:space="0" w:color="auto"/>
              <w:right w:val="single" w:sz="12" w:space="0" w:color="auto"/>
            </w:tcBorders>
          </w:tcPr>
          <w:p w14:paraId="0069AE53"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top w:val="single" w:sz="12" w:space="0" w:color="auto"/>
              <w:left w:val="single" w:sz="12" w:space="0" w:color="auto"/>
              <w:right w:val="single" w:sz="12" w:space="0" w:color="auto"/>
            </w:tcBorders>
          </w:tcPr>
          <w:p w14:paraId="71514DC9"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top w:val="single" w:sz="12" w:space="0" w:color="auto"/>
              <w:left w:val="single" w:sz="12" w:space="0" w:color="auto"/>
              <w:right w:val="single" w:sz="12" w:space="0" w:color="auto"/>
            </w:tcBorders>
          </w:tcPr>
          <w:p w14:paraId="57221B98" w14:textId="77777777" w:rsidR="00AC2D9B" w:rsidRPr="00AC2D9B" w:rsidRDefault="00AC2D9B" w:rsidP="00576CB4">
            <w:pPr>
              <w:spacing w:after="0" w:line="240" w:lineRule="auto"/>
              <w:jc w:val="center"/>
              <w:rPr>
                <w:sz w:val="16"/>
                <w:szCs w:val="16"/>
              </w:rPr>
            </w:pPr>
            <w:r w:rsidRPr="00AC2D9B">
              <w:rPr>
                <w:sz w:val="16"/>
                <w:szCs w:val="16"/>
              </w:rPr>
              <w:t>Full signature</w:t>
            </w:r>
          </w:p>
        </w:tc>
      </w:tr>
      <w:tr w:rsidR="00AC2D9B" w:rsidRPr="00AC2D9B" w14:paraId="11A7936F" w14:textId="77777777" w:rsidTr="00576CB4">
        <w:tc>
          <w:tcPr>
            <w:tcW w:w="978" w:type="dxa"/>
            <w:vMerge/>
            <w:tcBorders>
              <w:left w:val="single" w:sz="12" w:space="0" w:color="auto"/>
              <w:bottom w:val="single" w:sz="12" w:space="0" w:color="auto"/>
              <w:right w:val="single" w:sz="12" w:space="0" w:color="auto"/>
            </w:tcBorders>
          </w:tcPr>
          <w:p w14:paraId="7F8B2AE0" w14:textId="77777777" w:rsidR="00AC2D9B" w:rsidRPr="00AC2D9B" w:rsidRDefault="00AC2D9B" w:rsidP="00576CB4">
            <w:pPr>
              <w:spacing w:after="0" w:line="240" w:lineRule="auto"/>
              <w:jc w:val="center"/>
              <w:rPr>
                <w:sz w:val="16"/>
                <w:szCs w:val="16"/>
              </w:rPr>
            </w:pPr>
          </w:p>
        </w:tc>
        <w:tc>
          <w:tcPr>
            <w:tcW w:w="1275" w:type="dxa"/>
            <w:vMerge/>
            <w:tcBorders>
              <w:left w:val="single" w:sz="12" w:space="0" w:color="auto"/>
              <w:bottom w:val="single" w:sz="12" w:space="0" w:color="auto"/>
              <w:right w:val="single" w:sz="12" w:space="0" w:color="auto"/>
            </w:tcBorders>
          </w:tcPr>
          <w:p w14:paraId="18F8C0D9" w14:textId="77777777" w:rsidR="00AC2D9B" w:rsidRPr="00AC2D9B" w:rsidRDefault="00AC2D9B" w:rsidP="00576CB4">
            <w:pPr>
              <w:spacing w:after="0" w:line="240" w:lineRule="auto"/>
              <w:jc w:val="center"/>
              <w:rPr>
                <w:sz w:val="16"/>
                <w:szCs w:val="16"/>
              </w:rPr>
            </w:pPr>
          </w:p>
        </w:tc>
        <w:tc>
          <w:tcPr>
            <w:tcW w:w="993" w:type="dxa"/>
            <w:tcBorders>
              <w:left w:val="single" w:sz="12" w:space="0" w:color="auto"/>
              <w:bottom w:val="single" w:sz="12" w:space="0" w:color="auto"/>
              <w:right w:val="single" w:sz="12" w:space="0" w:color="auto"/>
            </w:tcBorders>
          </w:tcPr>
          <w:p w14:paraId="1A0B06D9" w14:textId="77777777" w:rsidR="00AC2D9B" w:rsidRPr="00AC2D9B" w:rsidRDefault="00AC2D9B" w:rsidP="00576CB4">
            <w:pPr>
              <w:spacing w:after="0" w:line="240" w:lineRule="auto"/>
              <w:jc w:val="center"/>
              <w:rPr>
                <w:sz w:val="16"/>
                <w:szCs w:val="16"/>
              </w:rPr>
            </w:pPr>
            <w:r w:rsidRPr="00AC2D9B">
              <w:rPr>
                <w:sz w:val="16"/>
                <w:szCs w:val="16"/>
              </w:rPr>
              <w:t>CG 1681</w:t>
            </w:r>
          </w:p>
        </w:tc>
        <w:tc>
          <w:tcPr>
            <w:tcW w:w="1134" w:type="dxa"/>
            <w:tcBorders>
              <w:left w:val="single" w:sz="12" w:space="0" w:color="auto"/>
              <w:bottom w:val="single" w:sz="12" w:space="0" w:color="auto"/>
              <w:right w:val="single" w:sz="12" w:space="0" w:color="auto"/>
            </w:tcBorders>
          </w:tcPr>
          <w:p w14:paraId="34126748" w14:textId="77777777" w:rsidR="00AC2D9B" w:rsidRPr="00AC2D9B" w:rsidRDefault="00AC2D9B" w:rsidP="00576CB4">
            <w:pPr>
              <w:spacing w:after="0" w:line="240" w:lineRule="auto"/>
              <w:jc w:val="center"/>
              <w:rPr>
                <w:sz w:val="16"/>
                <w:szCs w:val="16"/>
              </w:rPr>
            </w:pPr>
            <w:r w:rsidRPr="00AC2D9B">
              <w:rPr>
                <w:sz w:val="16"/>
                <w:szCs w:val="16"/>
              </w:rPr>
              <w:t>Interior, cupboard</w:t>
            </w:r>
          </w:p>
        </w:tc>
        <w:tc>
          <w:tcPr>
            <w:tcW w:w="2126" w:type="dxa"/>
            <w:tcBorders>
              <w:left w:val="single" w:sz="12" w:space="0" w:color="auto"/>
              <w:bottom w:val="single" w:sz="12" w:space="0" w:color="auto"/>
              <w:right w:val="single" w:sz="12" w:space="0" w:color="auto"/>
            </w:tcBorders>
          </w:tcPr>
          <w:p w14:paraId="411114B1" w14:textId="77777777" w:rsidR="00AC2D9B" w:rsidRPr="00AC2D9B" w:rsidRDefault="00AC2D9B" w:rsidP="00576CB4">
            <w:pPr>
              <w:spacing w:after="0" w:line="240" w:lineRule="auto"/>
              <w:jc w:val="center"/>
              <w:rPr>
                <w:sz w:val="16"/>
                <w:szCs w:val="16"/>
              </w:rPr>
            </w:pPr>
            <w:r w:rsidRPr="00AC2D9B">
              <w:rPr>
                <w:sz w:val="16"/>
                <w:szCs w:val="16"/>
              </w:rPr>
              <w:t>Mary Green</w:t>
            </w:r>
          </w:p>
        </w:tc>
        <w:tc>
          <w:tcPr>
            <w:tcW w:w="1276" w:type="dxa"/>
            <w:tcBorders>
              <w:left w:val="single" w:sz="12" w:space="0" w:color="auto"/>
              <w:bottom w:val="single" w:sz="12" w:space="0" w:color="auto"/>
              <w:right w:val="single" w:sz="12" w:space="0" w:color="auto"/>
            </w:tcBorders>
          </w:tcPr>
          <w:p w14:paraId="4753947B" w14:textId="77777777" w:rsidR="00AC2D9B" w:rsidRPr="00AC2D9B" w:rsidRDefault="00AC2D9B" w:rsidP="00576CB4">
            <w:pPr>
              <w:numPr>
                <w:ilvl w:val="0"/>
                <w:numId w:val="10"/>
              </w:numPr>
              <w:spacing w:after="0" w:line="240" w:lineRule="auto"/>
              <w:contextualSpacing/>
              <w:jc w:val="center"/>
              <w:rPr>
                <w:sz w:val="16"/>
                <w:szCs w:val="16"/>
              </w:rPr>
            </w:pPr>
          </w:p>
        </w:tc>
        <w:tc>
          <w:tcPr>
            <w:tcW w:w="708" w:type="dxa"/>
            <w:tcBorders>
              <w:left w:val="single" w:sz="12" w:space="0" w:color="auto"/>
              <w:bottom w:val="single" w:sz="12" w:space="0" w:color="auto"/>
              <w:right w:val="single" w:sz="12" w:space="0" w:color="auto"/>
            </w:tcBorders>
          </w:tcPr>
          <w:p w14:paraId="6C7405C7"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left w:val="single" w:sz="12" w:space="0" w:color="auto"/>
              <w:bottom w:val="single" w:sz="12" w:space="0" w:color="auto"/>
              <w:right w:val="single" w:sz="12" w:space="0" w:color="auto"/>
            </w:tcBorders>
          </w:tcPr>
          <w:p w14:paraId="3A0E8DFE" w14:textId="77777777" w:rsidR="00AC2D9B" w:rsidRPr="00AC2D9B" w:rsidRDefault="00AC2D9B" w:rsidP="00576CB4">
            <w:pPr>
              <w:spacing w:after="0" w:line="240" w:lineRule="auto"/>
              <w:jc w:val="center"/>
              <w:rPr>
                <w:sz w:val="16"/>
                <w:szCs w:val="16"/>
              </w:rPr>
            </w:pPr>
            <w:r w:rsidRPr="00AC2D9B">
              <w:rPr>
                <w:sz w:val="16"/>
                <w:szCs w:val="16"/>
              </w:rPr>
              <w:t>No</w:t>
            </w:r>
          </w:p>
        </w:tc>
        <w:tc>
          <w:tcPr>
            <w:tcW w:w="1134" w:type="dxa"/>
            <w:tcBorders>
              <w:left w:val="single" w:sz="12" w:space="0" w:color="auto"/>
              <w:bottom w:val="single" w:sz="12" w:space="0" w:color="auto"/>
              <w:right w:val="single" w:sz="12" w:space="0" w:color="auto"/>
            </w:tcBorders>
          </w:tcPr>
          <w:p w14:paraId="5B6A15EC" w14:textId="77777777" w:rsidR="00AC2D9B" w:rsidRPr="00AC2D9B" w:rsidRDefault="00AC2D9B" w:rsidP="00576CB4">
            <w:pPr>
              <w:spacing w:after="0" w:line="240" w:lineRule="auto"/>
              <w:jc w:val="center"/>
              <w:rPr>
                <w:sz w:val="16"/>
                <w:szCs w:val="16"/>
              </w:rPr>
            </w:pPr>
            <w:r w:rsidRPr="00AC2D9B">
              <w:rPr>
                <w:sz w:val="16"/>
                <w:szCs w:val="16"/>
              </w:rPr>
              <w:t>-</w:t>
            </w:r>
          </w:p>
        </w:tc>
        <w:tc>
          <w:tcPr>
            <w:tcW w:w="850" w:type="dxa"/>
            <w:tcBorders>
              <w:left w:val="single" w:sz="12" w:space="0" w:color="auto"/>
              <w:bottom w:val="single" w:sz="12" w:space="0" w:color="auto"/>
              <w:right w:val="single" w:sz="12" w:space="0" w:color="auto"/>
            </w:tcBorders>
          </w:tcPr>
          <w:p w14:paraId="0FD7F7F9"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left w:val="single" w:sz="12" w:space="0" w:color="auto"/>
              <w:bottom w:val="single" w:sz="12" w:space="0" w:color="auto"/>
              <w:right w:val="single" w:sz="12" w:space="0" w:color="auto"/>
            </w:tcBorders>
          </w:tcPr>
          <w:p w14:paraId="6B50BAE2"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left w:val="single" w:sz="12" w:space="0" w:color="auto"/>
              <w:bottom w:val="single" w:sz="12" w:space="0" w:color="auto"/>
              <w:right w:val="single" w:sz="12" w:space="0" w:color="auto"/>
            </w:tcBorders>
          </w:tcPr>
          <w:p w14:paraId="131E6F7C" w14:textId="77777777" w:rsidR="00AC2D9B" w:rsidRPr="00AC2D9B" w:rsidRDefault="00AC2D9B" w:rsidP="00576CB4">
            <w:pPr>
              <w:spacing w:after="0" w:line="240" w:lineRule="auto"/>
              <w:jc w:val="center"/>
              <w:rPr>
                <w:sz w:val="16"/>
                <w:szCs w:val="16"/>
              </w:rPr>
            </w:pPr>
            <w:r w:rsidRPr="00AC2D9B">
              <w:rPr>
                <w:sz w:val="16"/>
                <w:szCs w:val="16"/>
              </w:rPr>
              <w:t>Unknown</w:t>
            </w:r>
          </w:p>
        </w:tc>
      </w:tr>
      <w:tr w:rsidR="00AC2D9B" w:rsidRPr="00AC2D9B" w14:paraId="6407D524" w14:textId="77777777" w:rsidTr="00576CB4">
        <w:tc>
          <w:tcPr>
            <w:tcW w:w="978" w:type="dxa"/>
            <w:vMerge w:val="restart"/>
            <w:tcBorders>
              <w:top w:val="single" w:sz="12" w:space="0" w:color="auto"/>
              <w:left w:val="single" w:sz="12" w:space="0" w:color="auto"/>
              <w:right w:val="single" w:sz="12" w:space="0" w:color="auto"/>
            </w:tcBorders>
          </w:tcPr>
          <w:p w14:paraId="64CFC351" w14:textId="77777777" w:rsidR="00AC2D9B" w:rsidRPr="00AC2D9B" w:rsidRDefault="00AC2D9B" w:rsidP="00576CB4">
            <w:pPr>
              <w:spacing w:after="0" w:line="240" w:lineRule="auto"/>
              <w:jc w:val="center"/>
              <w:rPr>
                <w:sz w:val="16"/>
                <w:szCs w:val="16"/>
              </w:rPr>
            </w:pPr>
            <w:r w:rsidRPr="00AC2D9B">
              <w:rPr>
                <w:sz w:val="16"/>
                <w:szCs w:val="16"/>
              </w:rPr>
              <w:t>BLS</w:t>
            </w:r>
          </w:p>
        </w:tc>
        <w:tc>
          <w:tcPr>
            <w:tcW w:w="1275" w:type="dxa"/>
            <w:vMerge w:val="restart"/>
            <w:tcBorders>
              <w:top w:val="single" w:sz="12" w:space="0" w:color="auto"/>
              <w:left w:val="single" w:sz="12" w:space="0" w:color="auto"/>
              <w:right w:val="single" w:sz="12" w:space="0" w:color="auto"/>
            </w:tcBorders>
          </w:tcPr>
          <w:p w14:paraId="1184EAE5" w14:textId="77777777" w:rsidR="00AC2D9B" w:rsidRPr="00AC2D9B" w:rsidRDefault="00AC2D9B" w:rsidP="00576CB4">
            <w:pPr>
              <w:spacing w:after="0" w:line="240" w:lineRule="auto"/>
              <w:jc w:val="center"/>
              <w:rPr>
                <w:sz w:val="16"/>
                <w:szCs w:val="16"/>
              </w:rPr>
            </w:pPr>
            <w:r w:rsidRPr="00AC2D9B">
              <w:rPr>
                <w:sz w:val="16"/>
                <w:szCs w:val="16"/>
              </w:rPr>
              <w:t>End Cottage</w:t>
            </w:r>
          </w:p>
        </w:tc>
        <w:tc>
          <w:tcPr>
            <w:tcW w:w="993" w:type="dxa"/>
            <w:vMerge w:val="restart"/>
            <w:tcBorders>
              <w:top w:val="single" w:sz="12" w:space="0" w:color="auto"/>
              <w:left w:val="single" w:sz="12" w:space="0" w:color="auto"/>
              <w:right w:val="single" w:sz="12" w:space="0" w:color="auto"/>
            </w:tcBorders>
          </w:tcPr>
          <w:p w14:paraId="33341F52" w14:textId="77777777" w:rsidR="00AC2D9B" w:rsidRPr="00AC2D9B" w:rsidRDefault="00AC2D9B" w:rsidP="00576CB4">
            <w:pPr>
              <w:spacing w:after="0" w:line="240" w:lineRule="auto"/>
              <w:jc w:val="center"/>
              <w:rPr>
                <w:sz w:val="16"/>
                <w:szCs w:val="16"/>
              </w:rPr>
            </w:pPr>
            <w:r w:rsidRPr="00AC2D9B">
              <w:rPr>
                <w:sz w:val="16"/>
                <w:szCs w:val="16"/>
              </w:rPr>
              <w:t xml:space="preserve">W </w:t>
            </w:r>
            <w:r w:rsidRPr="00AC2D9B">
              <w:rPr>
                <w:sz w:val="16"/>
                <w:szCs w:val="16"/>
                <w:vertAlign w:val="superscript"/>
              </w:rPr>
              <w:t xml:space="preserve">H </w:t>
            </w:r>
            <w:r w:rsidRPr="00AC2D9B">
              <w:rPr>
                <w:sz w:val="16"/>
                <w:szCs w:val="16"/>
              </w:rPr>
              <w:t>I 1684</w:t>
            </w:r>
          </w:p>
        </w:tc>
        <w:tc>
          <w:tcPr>
            <w:tcW w:w="1134" w:type="dxa"/>
            <w:vMerge w:val="restart"/>
            <w:tcBorders>
              <w:top w:val="single" w:sz="12" w:space="0" w:color="auto"/>
              <w:left w:val="single" w:sz="12" w:space="0" w:color="auto"/>
              <w:right w:val="single" w:sz="12" w:space="0" w:color="auto"/>
            </w:tcBorders>
          </w:tcPr>
          <w:p w14:paraId="71A2553E" w14:textId="77777777" w:rsidR="00AC2D9B" w:rsidRPr="00AC2D9B" w:rsidRDefault="00AC2D9B" w:rsidP="00576CB4">
            <w:pPr>
              <w:spacing w:after="0" w:line="240" w:lineRule="auto"/>
              <w:jc w:val="center"/>
              <w:rPr>
                <w:sz w:val="16"/>
                <w:szCs w:val="16"/>
              </w:rPr>
            </w:pPr>
            <w:r w:rsidRPr="00AC2D9B">
              <w:rPr>
                <w:sz w:val="16"/>
                <w:szCs w:val="16"/>
              </w:rPr>
              <w:t>Façade, lintel</w:t>
            </w:r>
          </w:p>
        </w:tc>
        <w:tc>
          <w:tcPr>
            <w:tcW w:w="2126" w:type="dxa"/>
            <w:tcBorders>
              <w:top w:val="single" w:sz="12" w:space="0" w:color="auto"/>
              <w:left w:val="single" w:sz="12" w:space="0" w:color="auto"/>
              <w:right w:val="single" w:sz="12" w:space="0" w:color="auto"/>
            </w:tcBorders>
          </w:tcPr>
          <w:p w14:paraId="7BAD1E29" w14:textId="77777777" w:rsidR="00AC2D9B" w:rsidRPr="00AC2D9B" w:rsidRDefault="00AC2D9B" w:rsidP="00576CB4">
            <w:pPr>
              <w:spacing w:after="0" w:line="240" w:lineRule="auto"/>
              <w:jc w:val="center"/>
              <w:rPr>
                <w:sz w:val="16"/>
                <w:szCs w:val="16"/>
              </w:rPr>
            </w:pPr>
            <w:r w:rsidRPr="00AC2D9B">
              <w:rPr>
                <w:sz w:val="16"/>
                <w:szCs w:val="16"/>
              </w:rPr>
              <w:t>William Hall</w:t>
            </w:r>
          </w:p>
        </w:tc>
        <w:tc>
          <w:tcPr>
            <w:tcW w:w="1276" w:type="dxa"/>
            <w:tcBorders>
              <w:top w:val="single" w:sz="12" w:space="0" w:color="auto"/>
              <w:left w:val="single" w:sz="12" w:space="0" w:color="auto"/>
              <w:right w:val="single" w:sz="12" w:space="0" w:color="auto"/>
            </w:tcBorders>
          </w:tcPr>
          <w:p w14:paraId="3B6B07CD" w14:textId="77777777" w:rsidR="00AC2D9B" w:rsidRPr="00AC2D9B" w:rsidRDefault="00AC2D9B" w:rsidP="00576CB4">
            <w:pPr>
              <w:spacing w:after="0" w:line="240" w:lineRule="auto"/>
              <w:jc w:val="center"/>
              <w:rPr>
                <w:sz w:val="16"/>
                <w:szCs w:val="16"/>
              </w:rPr>
            </w:pPr>
            <w:r w:rsidRPr="00AC2D9B">
              <w:rPr>
                <w:sz w:val="16"/>
                <w:szCs w:val="16"/>
              </w:rPr>
              <w:t>Yeoman</w:t>
            </w:r>
          </w:p>
        </w:tc>
        <w:tc>
          <w:tcPr>
            <w:tcW w:w="708" w:type="dxa"/>
            <w:tcBorders>
              <w:top w:val="single" w:sz="12" w:space="0" w:color="auto"/>
              <w:left w:val="single" w:sz="12" w:space="0" w:color="auto"/>
              <w:right w:val="single" w:sz="12" w:space="0" w:color="auto"/>
            </w:tcBorders>
          </w:tcPr>
          <w:p w14:paraId="14171586" w14:textId="77777777" w:rsidR="00AC2D9B" w:rsidRPr="00AC2D9B" w:rsidRDefault="00AC2D9B" w:rsidP="00576CB4">
            <w:pPr>
              <w:spacing w:after="0" w:line="240" w:lineRule="auto"/>
              <w:jc w:val="center"/>
              <w:rPr>
                <w:sz w:val="16"/>
                <w:szCs w:val="16"/>
              </w:rPr>
            </w:pPr>
            <w:r w:rsidRPr="00AC2D9B">
              <w:rPr>
                <w:sz w:val="16"/>
                <w:szCs w:val="16"/>
              </w:rPr>
              <w:t>Yes</w:t>
            </w:r>
          </w:p>
        </w:tc>
        <w:tc>
          <w:tcPr>
            <w:tcW w:w="993" w:type="dxa"/>
            <w:tcBorders>
              <w:top w:val="single" w:sz="12" w:space="0" w:color="auto"/>
              <w:left w:val="single" w:sz="12" w:space="0" w:color="auto"/>
              <w:right w:val="single" w:sz="12" w:space="0" w:color="auto"/>
            </w:tcBorders>
          </w:tcPr>
          <w:p w14:paraId="54A1652F" w14:textId="77777777" w:rsidR="00AC2D9B" w:rsidRPr="00AC2D9B" w:rsidRDefault="00AC2D9B" w:rsidP="00576CB4">
            <w:pPr>
              <w:spacing w:after="0" w:line="240" w:lineRule="auto"/>
              <w:jc w:val="center"/>
              <w:rPr>
                <w:sz w:val="16"/>
                <w:szCs w:val="16"/>
              </w:rPr>
            </w:pPr>
            <w:r w:rsidRPr="00AC2D9B">
              <w:rPr>
                <w:sz w:val="16"/>
                <w:szCs w:val="16"/>
              </w:rPr>
              <w:t>Yes</w:t>
            </w:r>
          </w:p>
        </w:tc>
        <w:tc>
          <w:tcPr>
            <w:tcW w:w="1134" w:type="dxa"/>
            <w:tcBorders>
              <w:top w:val="single" w:sz="12" w:space="0" w:color="auto"/>
              <w:left w:val="single" w:sz="12" w:space="0" w:color="auto"/>
              <w:right w:val="single" w:sz="12" w:space="0" w:color="auto"/>
            </w:tcBorders>
          </w:tcPr>
          <w:p w14:paraId="4EB39C0F" w14:textId="77777777" w:rsidR="00AC2D9B" w:rsidRPr="00AC2D9B" w:rsidRDefault="00AC2D9B" w:rsidP="00576CB4">
            <w:pPr>
              <w:spacing w:after="0" w:line="240" w:lineRule="auto"/>
              <w:jc w:val="center"/>
              <w:rPr>
                <w:sz w:val="16"/>
                <w:szCs w:val="16"/>
              </w:rPr>
            </w:pPr>
            <w:r w:rsidRPr="00AC2D9B">
              <w:rPr>
                <w:sz w:val="16"/>
                <w:szCs w:val="16"/>
              </w:rPr>
              <w:t>£32 10s</w:t>
            </w:r>
          </w:p>
        </w:tc>
        <w:tc>
          <w:tcPr>
            <w:tcW w:w="850" w:type="dxa"/>
            <w:tcBorders>
              <w:top w:val="single" w:sz="12" w:space="0" w:color="auto"/>
              <w:left w:val="single" w:sz="12" w:space="0" w:color="auto"/>
              <w:right w:val="single" w:sz="12" w:space="0" w:color="auto"/>
            </w:tcBorders>
          </w:tcPr>
          <w:p w14:paraId="5B76B913"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top w:val="single" w:sz="12" w:space="0" w:color="auto"/>
              <w:left w:val="single" w:sz="12" w:space="0" w:color="auto"/>
              <w:right w:val="single" w:sz="12" w:space="0" w:color="auto"/>
            </w:tcBorders>
          </w:tcPr>
          <w:p w14:paraId="74A6EEA2" w14:textId="77777777" w:rsidR="00AC2D9B" w:rsidRPr="00AC2D9B" w:rsidRDefault="00AC2D9B" w:rsidP="00576CB4">
            <w:pPr>
              <w:spacing w:after="0" w:line="240" w:lineRule="auto"/>
              <w:jc w:val="center"/>
              <w:rPr>
                <w:sz w:val="16"/>
                <w:szCs w:val="16"/>
              </w:rPr>
            </w:pPr>
            <w:r w:rsidRPr="00AC2D9B">
              <w:rPr>
                <w:sz w:val="16"/>
                <w:szCs w:val="16"/>
              </w:rPr>
              <w:t>£36 5s</w:t>
            </w:r>
          </w:p>
        </w:tc>
        <w:tc>
          <w:tcPr>
            <w:tcW w:w="1469" w:type="dxa"/>
            <w:tcBorders>
              <w:top w:val="single" w:sz="12" w:space="0" w:color="auto"/>
              <w:left w:val="single" w:sz="12" w:space="0" w:color="auto"/>
              <w:right w:val="single" w:sz="12" w:space="0" w:color="auto"/>
            </w:tcBorders>
          </w:tcPr>
          <w:p w14:paraId="431DA9CC" w14:textId="77777777" w:rsidR="00AC2D9B" w:rsidRPr="00AC2D9B" w:rsidRDefault="00AC2D9B" w:rsidP="00576CB4">
            <w:pPr>
              <w:spacing w:after="0" w:line="240" w:lineRule="auto"/>
              <w:jc w:val="center"/>
              <w:rPr>
                <w:sz w:val="16"/>
                <w:szCs w:val="16"/>
              </w:rPr>
            </w:pPr>
            <w:r w:rsidRPr="00AC2D9B">
              <w:rPr>
                <w:sz w:val="16"/>
                <w:szCs w:val="16"/>
              </w:rPr>
              <w:t>One initial</w:t>
            </w:r>
          </w:p>
        </w:tc>
      </w:tr>
      <w:tr w:rsidR="00AC2D9B" w:rsidRPr="00AC2D9B" w14:paraId="27273FF4" w14:textId="77777777" w:rsidTr="00576CB4">
        <w:tc>
          <w:tcPr>
            <w:tcW w:w="978" w:type="dxa"/>
            <w:vMerge/>
            <w:tcBorders>
              <w:left w:val="single" w:sz="12" w:space="0" w:color="auto"/>
              <w:bottom w:val="single" w:sz="12" w:space="0" w:color="auto"/>
              <w:right w:val="single" w:sz="12" w:space="0" w:color="auto"/>
            </w:tcBorders>
          </w:tcPr>
          <w:p w14:paraId="1B88C4B6" w14:textId="77777777" w:rsidR="00AC2D9B" w:rsidRPr="00AC2D9B" w:rsidRDefault="00AC2D9B" w:rsidP="00576CB4">
            <w:pPr>
              <w:spacing w:after="0" w:line="240" w:lineRule="auto"/>
              <w:jc w:val="center"/>
              <w:rPr>
                <w:sz w:val="16"/>
                <w:szCs w:val="16"/>
              </w:rPr>
            </w:pPr>
          </w:p>
        </w:tc>
        <w:tc>
          <w:tcPr>
            <w:tcW w:w="1275" w:type="dxa"/>
            <w:vMerge/>
            <w:tcBorders>
              <w:left w:val="single" w:sz="12" w:space="0" w:color="auto"/>
              <w:bottom w:val="single" w:sz="12" w:space="0" w:color="auto"/>
              <w:right w:val="single" w:sz="12" w:space="0" w:color="auto"/>
            </w:tcBorders>
          </w:tcPr>
          <w:p w14:paraId="68EF2C8B" w14:textId="77777777" w:rsidR="00AC2D9B" w:rsidRPr="00AC2D9B" w:rsidRDefault="00AC2D9B" w:rsidP="00576CB4">
            <w:pPr>
              <w:spacing w:after="0" w:line="240" w:lineRule="auto"/>
              <w:jc w:val="center"/>
              <w:rPr>
                <w:sz w:val="16"/>
                <w:szCs w:val="16"/>
              </w:rPr>
            </w:pPr>
          </w:p>
        </w:tc>
        <w:tc>
          <w:tcPr>
            <w:tcW w:w="993" w:type="dxa"/>
            <w:vMerge/>
            <w:tcBorders>
              <w:left w:val="single" w:sz="12" w:space="0" w:color="auto"/>
              <w:bottom w:val="single" w:sz="12" w:space="0" w:color="auto"/>
              <w:right w:val="single" w:sz="12" w:space="0" w:color="auto"/>
            </w:tcBorders>
          </w:tcPr>
          <w:p w14:paraId="3A8CB3B4" w14:textId="77777777" w:rsidR="00AC2D9B" w:rsidRPr="00AC2D9B" w:rsidRDefault="00AC2D9B"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42D6C6C0" w14:textId="77777777" w:rsidR="00AC2D9B" w:rsidRPr="00AC2D9B" w:rsidRDefault="00AC2D9B" w:rsidP="00576CB4">
            <w:pPr>
              <w:spacing w:after="0" w:line="240" w:lineRule="auto"/>
              <w:jc w:val="center"/>
              <w:rPr>
                <w:sz w:val="16"/>
                <w:szCs w:val="16"/>
              </w:rPr>
            </w:pPr>
          </w:p>
        </w:tc>
        <w:tc>
          <w:tcPr>
            <w:tcW w:w="2126" w:type="dxa"/>
            <w:tcBorders>
              <w:left w:val="single" w:sz="12" w:space="0" w:color="auto"/>
              <w:bottom w:val="single" w:sz="12" w:space="0" w:color="auto"/>
              <w:right w:val="single" w:sz="12" w:space="0" w:color="auto"/>
            </w:tcBorders>
          </w:tcPr>
          <w:p w14:paraId="44937CBB" w14:textId="77777777" w:rsidR="00AC2D9B" w:rsidRPr="00AC2D9B" w:rsidRDefault="00AC2D9B" w:rsidP="00576CB4">
            <w:pPr>
              <w:spacing w:after="0" w:line="240" w:lineRule="auto"/>
              <w:jc w:val="center"/>
              <w:rPr>
                <w:sz w:val="16"/>
                <w:szCs w:val="16"/>
              </w:rPr>
            </w:pPr>
            <w:r w:rsidRPr="00AC2D9B">
              <w:rPr>
                <w:sz w:val="16"/>
                <w:szCs w:val="16"/>
              </w:rPr>
              <w:t>Jennet Hall</w:t>
            </w:r>
          </w:p>
        </w:tc>
        <w:tc>
          <w:tcPr>
            <w:tcW w:w="1276" w:type="dxa"/>
            <w:tcBorders>
              <w:left w:val="single" w:sz="12" w:space="0" w:color="auto"/>
              <w:bottom w:val="single" w:sz="12" w:space="0" w:color="auto"/>
              <w:right w:val="single" w:sz="12" w:space="0" w:color="auto"/>
            </w:tcBorders>
          </w:tcPr>
          <w:p w14:paraId="6924E8A0" w14:textId="77777777" w:rsidR="00AC2D9B" w:rsidRPr="00AC2D9B" w:rsidRDefault="00AC2D9B" w:rsidP="00576CB4">
            <w:pPr>
              <w:numPr>
                <w:ilvl w:val="0"/>
                <w:numId w:val="9"/>
              </w:numPr>
              <w:spacing w:after="0" w:line="240" w:lineRule="auto"/>
              <w:contextualSpacing/>
              <w:jc w:val="center"/>
              <w:rPr>
                <w:sz w:val="16"/>
                <w:szCs w:val="16"/>
              </w:rPr>
            </w:pPr>
          </w:p>
        </w:tc>
        <w:tc>
          <w:tcPr>
            <w:tcW w:w="708" w:type="dxa"/>
            <w:tcBorders>
              <w:left w:val="single" w:sz="12" w:space="0" w:color="auto"/>
              <w:bottom w:val="single" w:sz="12" w:space="0" w:color="auto"/>
              <w:right w:val="single" w:sz="12" w:space="0" w:color="auto"/>
            </w:tcBorders>
          </w:tcPr>
          <w:p w14:paraId="47FD2208"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left w:val="single" w:sz="12" w:space="0" w:color="auto"/>
              <w:bottom w:val="single" w:sz="12" w:space="0" w:color="auto"/>
              <w:right w:val="single" w:sz="12" w:space="0" w:color="auto"/>
            </w:tcBorders>
          </w:tcPr>
          <w:p w14:paraId="550F79ED" w14:textId="77777777" w:rsidR="00AC2D9B" w:rsidRPr="00AC2D9B" w:rsidRDefault="00AC2D9B" w:rsidP="00576CB4">
            <w:pPr>
              <w:spacing w:after="0" w:line="240" w:lineRule="auto"/>
              <w:jc w:val="center"/>
              <w:rPr>
                <w:sz w:val="16"/>
                <w:szCs w:val="16"/>
              </w:rPr>
            </w:pPr>
            <w:r w:rsidRPr="00AC2D9B">
              <w:rPr>
                <w:sz w:val="16"/>
                <w:szCs w:val="16"/>
              </w:rPr>
              <w:t>No</w:t>
            </w:r>
          </w:p>
        </w:tc>
        <w:tc>
          <w:tcPr>
            <w:tcW w:w="1134" w:type="dxa"/>
            <w:tcBorders>
              <w:left w:val="single" w:sz="12" w:space="0" w:color="auto"/>
              <w:bottom w:val="single" w:sz="12" w:space="0" w:color="auto"/>
              <w:right w:val="single" w:sz="12" w:space="0" w:color="auto"/>
            </w:tcBorders>
          </w:tcPr>
          <w:p w14:paraId="4DC55DF3" w14:textId="77777777" w:rsidR="00AC2D9B" w:rsidRPr="00AC2D9B" w:rsidRDefault="00AC2D9B" w:rsidP="00576CB4">
            <w:pPr>
              <w:spacing w:after="0" w:line="240" w:lineRule="auto"/>
              <w:jc w:val="center"/>
              <w:rPr>
                <w:sz w:val="16"/>
                <w:szCs w:val="16"/>
              </w:rPr>
            </w:pPr>
            <w:r w:rsidRPr="00AC2D9B">
              <w:rPr>
                <w:sz w:val="16"/>
                <w:szCs w:val="16"/>
              </w:rPr>
              <w:t>-</w:t>
            </w:r>
          </w:p>
        </w:tc>
        <w:tc>
          <w:tcPr>
            <w:tcW w:w="850" w:type="dxa"/>
            <w:tcBorders>
              <w:left w:val="single" w:sz="12" w:space="0" w:color="auto"/>
              <w:bottom w:val="single" w:sz="12" w:space="0" w:color="auto"/>
              <w:right w:val="single" w:sz="12" w:space="0" w:color="auto"/>
            </w:tcBorders>
          </w:tcPr>
          <w:p w14:paraId="27B21FDA"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left w:val="single" w:sz="12" w:space="0" w:color="auto"/>
              <w:bottom w:val="single" w:sz="12" w:space="0" w:color="auto"/>
              <w:right w:val="single" w:sz="12" w:space="0" w:color="auto"/>
            </w:tcBorders>
          </w:tcPr>
          <w:p w14:paraId="777CA93C"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left w:val="single" w:sz="12" w:space="0" w:color="auto"/>
              <w:bottom w:val="single" w:sz="12" w:space="0" w:color="auto"/>
              <w:right w:val="single" w:sz="12" w:space="0" w:color="auto"/>
            </w:tcBorders>
          </w:tcPr>
          <w:p w14:paraId="04756819" w14:textId="77777777" w:rsidR="00AC2D9B" w:rsidRPr="00AC2D9B" w:rsidRDefault="00AC2D9B" w:rsidP="00576CB4">
            <w:pPr>
              <w:spacing w:after="0" w:line="240" w:lineRule="auto"/>
              <w:jc w:val="center"/>
              <w:rPr>
                <w:sz w:val="16"/>
                <w:szCs w:val="16"/>
              </w:rPr>
            </w:pPr>
            <w:r w:rsidRPr="00AC2D9B">
              <w:rPr>
                <w:sz w:val="16"/>
                <w:szCs w:val="16"/>
              </w:rPr>
              <w:t>Unknown</w:t>
            </w:r>
          </w:p>
        </w:tc>
      </w:tr>
      <w:tr w:rsidR="00AC2D9B" w:rsidRPr="00AC2D9B" w14:paraId="04F033B2" w14:textId="77777777" w:rsidTr="00576CB4">
        <w:tc>
          <w:tcPr>
            <w:tcW w:w="978" w:type="dxa"/>
            <w:vMerge w:val="restart"/>
            <w:tcBorders>
              <w:top w:val="single" w:sz="12" w:space="0" w:color="auto"/>
              <w:left w:val="single" w:sz="12" w:space="0" w:color="auto"/>
              <w:right w:val="single" w:sz="12" w:space="0" w:color="auto"/>
            </w:tcBorders>
          </w:tcPr>
          <w:p w14:paraId="27CD4850" w14:textId="77777777" w:rsidR="00AC2D9B" w:rsidRPr="00AC2D9B" w:rsidRDefault="00AC2D9B" w:rsidP="00576CB4">
            <w:pPr>
              <w:spacing w:after="0" w:line="240" w:lineRule="auto"/>
              <w:jc w:val="center"/>
              <w:rPr>
                <w:sz w:val="16"/>
                <w:szCs w:val="16"/>
              </w:rPr>
            </w:pPr>
            <w:r w:rsidRPr="00AC2D9B">
              <w:rPr>
                <w:sz w:val="16"/>
                <w:szCs w:val="16"/>
              </w:rPr>
              <w:t>BLS</w:t>
            </w:r>
          </w:p>
        </w:tc>
        <w:tc>
          <w:tcPr>
            <w:tcW w:w="1275" w:type="dxa"/>
            <w:vMerge w:val="restart"/>
            <w:tcBorders>
              <w:top w:val="single" w:sz="12" w:space="0" w:color="auto"/>
              <w:left w:val="single" w:sz="12" w:space="0" w:color="auto"/>
              <w:right w:val="single" w:sz="12" w:space="0" w:color="auto"/>
            </w:tcBorders>
          </w:tcPr>
          <w:p w14:paraId="095BE248" w14:textId="7E0BBD92" w:rsidR="00AC2D9B" w:rsidRPr="00AC2D9B" w:rsidRDefault="00AC2D9B" w:rsidP="00576CB4">
            <w:pPr>
              <w:spacing w:after="0" w:line="240" w:lineRule="auto"/>
              <w:jc w:val="center"/>
              <w:rPr>
                <w:sz w:val="16"/>
                <w:szCs w:val="16"/>
              </w:rPr>
            </w:pPr>
            <w:r w:rsidRPr="00AC2D9B">
              <w:rPr>
                <w:sz w:val="16"/>
                <w:szCs w:val="16"/>
              </w:rPr>
              <w:t>Cobblers</w:t>
            </w:r>
            <w:r w:rsidR="006E674F">
              <w:rPr>
                <w:sz w:val="16"/>
                <w:szCs w:val="16"/>
              </w:rPr>
              <w:t>’</w:t>
            </w:r>
            <w:r w:rsidRPr="00AC2D9B">
              <w:rPr>
                <w:sz w:val="16"/>
                <w:szCs w:val="16"/>
              </w:rPr>
              <w:t xml:space="preserve"> Lodge</w:t>
            </w:r>
          </w:p>
        </w:tc>
        <w:tc>
          <w:tcPr>
            <w:tcW w:w="993" w:type="dxa"/>
            <w:vMerge w:val="restart"/>
            <w:tcBorders>
              <w:top w:val="single" w:sz="12" w:space="0" w:color="auto"/>
              <w:left w:val="single" w:sz="12" w:space="0" w:color="auto"/>
              <w:right w:val="single" w:sz="12" w:space="0" w:color="auto"/>
            </w:tcBorders>
          </w:tcPr>
          <w:p w14:paraId="2504A6FF" w14:textId="77777777" w:rsidR="00AC2D9B" w:rsidRPr="00AC2D9B" w:rsidRDefault="00AC2D9B" w:rsidP="00576CB4">
            <w:pPr>
              <w:spacing w:after="0" w:line="240" w:lineRule="auto"/>
              <w:jc w:val="center"/>
              <w:rPr>
                <w:sz w:val="16"/>
                <w:szCs w:val="16"/>
              </w:rPr>
            </w:pPr>
            <w:r w:rsidRPr="00AC2D9B">
              <w:rPr>
                <w:sz w:val="16"/>
                <w:szCs w:val="16"/>
              </w:rPr>
              <w:t xml:space="preserve">W </w:t>
            </w:r>
            <w:proofErr w:type="spellStart"/>
            <w:r w:rsidRPr="00AC2D9B">
              <w:rPr>
                <w:sz w:val="16"/>
                <w:szCs w:val="16"/>
                <w:vertAlign w:val="superscript"/>
              </w:rPr>
              <w:t>W</w:t>
            </w:r>
            <w:proofErr w:type="spellEnd"/>
            <w:r w:rsidRPr="00AC2D9B">
              <w:rPr>
                <w:sz w:val="16"/>
                <w:szCs w:val="16"/>
                <w:vertAlign w:val="superscript"/>
              </w:rPr>
              <w:t xml:space="preserve"> </w:t>
            </w:r>
            <w:r w:rsidRPr="00AC2D9B">
              <w:rPr>
                <w:sz w:val="16"/>
                <w:szCs w:val="16"/>
              </w:rPr>
              <w:t>E 1686</w:t>
            </w:r>
          </w:p>
        </w:tc>
        <w:tc>
          <w:tcPr>
            <w:tcW w:w="1134" w:type="dxa"/>
            <w:vMerge w:val="restart"/>
            <w:tcBorders>
              <w:top w:val="single" w:sz="12" w:space="0" w:color="auto"/>
              <w:left w:val="single" w:sz="12" w:space="0" w:color="auto"/>
              <w:right w:val="single" w:sz="12" w:space="0" w:color="auto"/>
            </w:tcBorders>
          </w:tcPr>
          <w:p w14:paraId="3E873903" w14:textId="77777777" w:rsidR="00AC2D9B" w:rsidRPr="00AC2D9B" w:rsidRDefault="00AC2D9B" w:rsidP="00576CB4">
            <w:pPr>
              <w:spacing w:after="0" w:line="240" w:lineRule="auto"/>
              <w:jc w:val="center"/>
              <w:rPr>
                <w:sz w:val="16"/>
                <w:szCs w:val="16"/>
              </w:rPr>
            </w:pPr>
            <w:r w:rsidRPr="00AC2D9B">
              <w:rPr>
                <w:sz w:val="16"/>
                <w:szCs w:val="16"/>
              </w:rPr>
              <w:t>Interior, fireplace</w:t>
            </w:r>
          </w:p>
        </w:tc>
        <w:tc>
          <w:tcPr>
            <w:tcW w:w="2126" w:type="dxa"/>
            <w:tcBorders>
              <w:top w:val="single" w:sz="12" w:space="0" w:color="auto"/>
              <w:left w:val="single" w:sz="12" w:space="0" w:color="auto"/>
              <w:right w:val="single" w:sz="12" w:space="0" w:color="auto"/>
            </w:tcBorders>
          </w:tcPr>
          <w:p w14:paraId="64A300A7" w14:textId="77777777" w:rsidR="00AC2D9B" w:rsidRPr="00AC2D9B" w:rsidRDefault="00AC2D9B" w:rsidP="00576CB4">
            <w:pPr>
              <w:spacing w:after="0" w:line="240" w:lineRule="auto"/>
              <w:jc w:val="center"/>
              <w:rPr>
                <w:sz w:val="16"/>
                <w:szCs w:val="16"/>
              </w:rPr>
            </w:pPr>
            <w:r w:rsidRPr="00AC2D9B">
              <w:rPr>
                <w:sz w:val="16"/>
                <w:szCs w:val="16"/>
              </w:rPr>
              <w:t>William Wilkinson</w:t>
            </w:r>
          </w:p>
        </w:tc>
        <w:tc>
          <w:tcPr>
            <w:tcW w:w="1276" w:type="dxa"/>
            <w:tcBorders>
              <w:top w:val="single" w:sz="12" w:space="0" w:color="auto"/>
              <w:left w:val="single" w:sz="12" w:space="0" w:color="auto"/>
              <w:right w:val="single" w:sz="12" w:space="0" w:color="auto"/>
            </w:tcBorders>
          </w:tcPr>
          <w:p w14:paraId="5C5CFB54" w14:textId="77777777" w:rsidR="00AC2D9B" w:rsidRPr="00AC2D9B" w:rsidRDefault="00AC2D9B" w:rsidP="00576CB4">
            <w:pPr>
              <w:spacing w:after="0" w:line="240" w:lineRule="auto"/>
              <w:jc w:val="center"/>
              <w:rPr>
                <w:sz w:val="16"/>
                <w:szCs w:val="16"/>
              </w:rPr>
            </w:pPr>
            <w:r w:rsidRPr="00AC2D9B">
              <w:rPr>
                <w:sz w:val="16"/>
                <w:szCs w:val="16"/>
              </w:rPr>
              <w:t>Yeoman/ Tradesman (Tailor)</w:t>
            </w:r>
          </w:p>
        </w:tc>
        <w:tc>
          <w:tcPr>
            <w:tcW w:w="708" w:type="dxa"/>
            <w:tcBorders>
              <w:top w:val="single" w:sz="12" w:space="0" w:color="auto"/>
              <w:left w:val="single" w:sz="12" w:space="0" w:color="auto"/>
              <w:right w:val="single" w:sz="12" w:space="0" w:color="auto"/>
            </w:tcBorders>
          </w:tcPr>
          <w:p w14:paraId="7622BE99" w14:textId="77777777" w:rsidR="00AC2D9B" w:rsidRPr="00AC2D9B" w:rsidRDefault="00AC2D9B" w:rsidP="00576CB4">
            <w:pPr>
              <w:spacing w:after="0" w:line="240" w:lineRule="auto"/>
              <w:jc w:val="center"/>
              <w:rPr>
                <w:sz w:val="16"/>
                <w:szCs w:val="16"/>
              </w:rPr>
            </w:pPr>
            <w:r w:rsidRPr="00AC2D9B">
              <w:rPr>
                <w:sz w:val="16"/>
                <w:szCs w:val="16"/>
              </w:rPr>
              <w:t>Yes</w:t>
            </w:r>
          </w:p>
        </w:tc>
        <w:tc>
          <w:tcPr>
            <w:tcW w:w="993" w:type="dxa"/>
            <w:tcBorders>
              <w:top w:val="single" w:sz="12" w:space="0" w:color="auto"/>
              <w:left w:val="single" w:sz="12" w:space="0" w:color="auto"/>
              <w:right w:val="single" w:sz="12" w:space="0" w:color="auto"/>
            </w:tcBorders>
          </w:tcPr>
          <w:p w14:paraId="2DF6E1CE" w14:textId="77777777" w:rsidR="00AC2D9B" w:rsidRPr="00AC2D9B" w:rsidRDefault="00AC2D9B" w:rsidP="00576CB4">
            <w:pPr>
              <w:spacing w:after="0" w:line="240" w:lineRule="auto"/>
              <w:jc w:val="center"/>
              <w:rPr>
                <w:sz w:val="16"/>
                <w:szCs w:val="16"/>
              </w:rPr>
            </w:pPr>
            <w:r w:rsidRPr="00AC2D9B">
              <w:rPr>
                <w:sz w:val="16"/>
                <w:szCs w:val="16"/>
              </w:rPr>
              <w:t>Yes</w:t>
            </w:r>
          </w:p>
        </w:tc>
        <w:tc>
          <w:tcPr>
            <w:tcW w:w="1134" w:type="dxa"/>
            <w:tcBorders>
              <w:top w:val="single" w:sz="12" w:space="0" w:color="auto"/>
              <w:left w:val="single" w:sz="12" w:space="0" w:color="auto"/>
              <w:right w:val="single" w:sz="12" w:space="0" w:color="auto"/>
            </w:tcBorders>
          </w:tcPr>
          <w:p w14:paraId="734156CD" w14:textId="77777777" w:rsidR="00AC2D9B" w:rsidRPr="00AC2D9B" w:rsidRDefault="00AC2D9B" w:rsidP="00576CB4">
            <w:pPr>
              <w:spacing w:after="0" w:line="240" w:lineRule="auto"/>
              <w:jc w:val="center"/>
              <w:rPr>
                <w:sz w:val="16"/>
                <w:szCs w:val="16"/>
              </w:rPr>
            </w:pPr>
            <w:r w:rsidRPr="00AC2D9B">
              <w:rPr>
                <w:sz w:val="16"/>
                <w:szCs w:val="16"/>
              </w:rPr>
              <w:t>£25 4.5d</w:t>
            </w:r>
          </w:p>
        </w:tc>
        <w:tc>
          <w:tcPr>
            <w:tcW w:w="850" w:type="dxa"/>
            <w:tcBorders>
              <w:top w:val="single" w:sz="12" w:space="0" w:color="auto"/>
              <w:left w:val="single" w:sz="12" w:space="0" w:color="auto"/>
              <w:right w:val="single" w:sz="12" w:space="0" w:color="auto"/>
            </w:tcBorders>
          </w:tcPr>
          <w:p w14:paraId="2CABF4CE"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top w:val="single" w:sz="12" w:space="0" w:color="auto"/>
              <w:left w:val="single" w:sz="12" w:space="0" w:color="auto"/>
              <w:right w:val="single" w:sz="12" w:space="0" w:color="auto"/>
            </w:tcBorders>
          </w:tcPr>
          <w:p w14:paraId="5BDB3FE7" w14:textId="77777777" w:rsidR="00AC2D9B" w:rsidRPr="00AC2D9B" w:rsidRDefault="00AC2D9B" w:rsidP="00576CB4">
            <w:pPr>
              <w:spacing w:after="0" w:line="240" w:lineRule="auto"/>
              <w:jc w:val="center"/>
              <w:rPr>
                <w:sz w:val="16"/>
                <w:szCs w:val="16"/>
              </w:rPr>
            </w:pPr>
            <w:r w:rsidRPr="00AC2D9B">
              <w:rPr>
                <w:sz w:val="16"/>
                <w:szCs w:val="16"/>
              </w:rPr>
              <w:t>£10</w:t>
            </w:r>
          </w:p>
        </w:tc>
        <w:tc>
          <w:tcPr>
            <w:tcW w:w="1469" w:type="dxa"/>
            <w:tcBorders>
              <w:top w:val="single" w:sz="12" w:space="0" w:color="auto"/>
              <w:left w:val="single" w:sz="12" w:space="0" w:color="auto"/>
              <w:right w:val="single" w:sz="12" w:space="0" w:color="auto"/>
            </w:tcBorders>
          </w:tcPr>
          <w:p w14:paraId="052F5C2F" w14:textId="77777777" w:rsidR="00AC2D9B" w:rsidRPr="00AC2D9B" w:rsidRDefault="00AC2D9B" w:rsidP="00576CB4">
            <w:pPr>
              <w:spacing w:after="0" w:line="240" w:lineRule="auto"/>
              <w:jc w:val="center"/>
              <w:rPr>
                <w:sz w:val="16"/>
                <w:szCs w:val="16"/>
              </w:rPr>
            </w:pPr>
            <w:r w:rsidRPr="00AC2D9B">
              <w:rPr>
                <w:sz w:val="16"/>
                <w:szCs w:val="16"/>
              </w:rPr>
              <w:t>Full signature</w:t>
            </w:r>
          </w:p>
        </w:tc>
      </w:tr>
      <w:tr w:rsidR="00AC2D9B" w:rsidRPr="00AC2D9B" w14:paraId="5E3DBB26" w14:textId="77777777" w:rsidTr="00576CB4">
        <w:tc>
          <w:tcPr>
            <w:tcW w:w="978" w:type="dxa"/>
            <w:vMerge/>
            <w:tcBorders>
              <w:left w:val="single" w:sz="12" w:space="0" w:color="auto"/>
              <w:bottom w:val="single" w:sz="12" w:space="0" w:color="auto"/>
              <w:right w:val="single" w:sz="12" w:space="0" w:color="auto"/>
            </w:tcBorders>
          </w:tcPr>
          <w:p w14:paraId="0DFBE51F" w14:textId="77777777" w:rsidR="00AC2D9B" w:rsidRPr="00AC2D9B" w:rsidRDefault="00AC2D9B" w:rsidP="00576CB4">
            <w:pPr>
              <w:spacing w:after="0" w:line="240" w:lineRule="auto"/>
              <w:jc w:val="center"/>
              <w:rPr>
                <w:sz w:val="16"/>
                <w:szCs w:val="16"/>
              </w:rPr>
            </w:pPr>
          </w:p>
        </w:tc>
        <w:tc>
          <w:tcPr>
            <w:tcW w:w="1275" w:type="dxa"/>
            <w:vMerge/>
            <w:tcBorders>
              <w:left w:val="single" w:sz="12" w:space="0" w:color="auto"/>
              <w:bottom w:val="single" w:sz="12" w:space="0" w:color="auto"/>
              <w:right w:val="single" w:sz="12" w:space="0" w:color="auto"/>
            </w:tcBorders>
          </w:tcPr>
          <w:p w14:paraId="1391853F" w14:textId="77777777" w:rsidR="00AC2D9B" w:rsidRPr="00AC2D9B" w:rsidRDefault="00AC2D9B" w:rsidP="00576CB4">
            <w:pPr>
              <w:spacing w:after="0" w:line="240" w:lineRule="auto"/>
              <w:jc w:val="center"/>
              <w:rPr>
                <w:sz w:val="16"/>
                <w:szCs w:val="16"/>
              </w:rPr>
            </w:pPr>
          </w:p>
        </w:tc>
        <w:tc>
          <w:tcPr>
            <w:tcW w:w="993" w:type="dxa"/>
            <w:vMerge/>
            <w:tcBorders>
              <w:left w:val="single" w:sz="12" w:space="0" w:color="auto"/>
              <w:bottom w:val="single" w:sz="12" w:space="0" w:color="auto"/>
              <w:right w:val="single" w:sz="12" w:space="0" w:color="auto"/>
            </w:tcBorders>
          </w:tcPr>
          <w:p w14:paraId="50B17117" w14:textId="77777777" w:rsidR="00AC2D9B" w:rsidRPr="00AC2D9B" w:rsidRDefault="00AC2D9B"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424C69D4" w14:textId="77777777" w:rsidR="00AC2D9B" w:rsidRPr="00AC2D9B" w:rsidRDefault="00AC2D9B" w:rsidP="00576CB4">
            <w:pPr>
              <w:spacing w:after="0" w:line="240" w:lineRule="auto"/>
              <w:jc w:val="center"/>
              <w:rPr>
                <w:sz w:val="16"/>
                <w:szCs w:val="16"/>
              </w:rPr>
            </w:pPr>
          </w:p>
        </w:tc>
        <w:tc>
          <w:tcPr>
            <w:tcW w:w="2126" w:type="dxa"/>
            <w:tcBorders>
              <w:left w:val="single" w:sz="12" w:space="0" w:color="auto"/>
              <w:bottom w:val="single" w:sz="12" w:space="0" w:color="auto"/>
              <w:right w:val="single" w:sz="12" w:space="0" w:color="auto"/>
            </w:tcBorders>
          </w:tcPr>
          <w:p w14:paraId="0884C821" w14:textId="77777777" w:rsidR="00AC2D9B" w:rsidRPr="00AC2D9B" w:rsidRDefault="00AC2D9B" w:rsidP="00576CB4">
            <w:pPr>
              <w:spacing w:after="0" w:line="240" w:lineRule="auto"/>
              <w:jc w:val="center"/>
              <w:rPr>
                <w:sz w:val="16"/>
                <w:szCs w:val="16"/>
              </w:rPr>
            </w:pPr>
            <w:r w:rsidRPr="00AC2D9B">
              <w:rPr>
                <w:sz w:val="16"/>
                <w:szCs w:val="16"/>
              </w:rPr>
              <w:t>Elizabeth Wilkinson</w:t>
            </w:r>
          </w:p>
        </w:tc>
        <w:tc>
          <w:tcPr>
            <w:tcW w:w="1276" w:type="dxa"/>
            <w:tcBorders>
              <w:left w:val="single" w:sz="12" w:space="0" w:color="auto"/>
              <w:bottom w:val="single" w:sz="12" w:space="0" w:color="auto"/>
              <w:right w:val="single" w:sz="12" w:space="0" w:color="auto"/>
            </w:tcBorders>
          </w:tcPr>
          <w:p w14:paraId="68FE52DB" w14:textId="77777777" w:rsidR="00AC2D9B" w:rsidRPr="00AC2D9B" w:rsidRDefault="00AC2D9B" w:rsidP="00576CB4">
            <w:pPr>
              <w:numPr>
                <w:ilvl w:val="0"/>
                <w:numId w:val="8"/>
              </w:numPr>
              <w:spacing w:after="0" w:line="240" w:lineRule="auto"/>
              <w:contextualSpacing/>
              <w:jc w:val="center"/>
              <w:rPr>
                <w:sz w:val="16"/>
                <w:szCs w:val="16"/>
              </w:rPr>
            </w:pPr>
          </w:p>
        </w:tc>
        <w:tc>
          <w:tcPr>
            <w:tcW w:w="708" w:type="dxa"/>
            <w:tcBorders>
              <w:left w:val="single" w:sz="12" w:space="0" w:color="auto"/>
              <w:bottom w:val="single" w:sz="12" w:space="0" w:color="auto"/>
              <w:right w:val="single" w:sz="12" w:space="0" w:color="auto"/>
            </w:tcBorders>
          </w:tcPr>
          <w:p w14:paraId="7FBD9696"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left w:val="single" w:sz="12" w:space="0" w:color="auto"/>
              <w:bottom w:val="single" w:sz="12" w:space="0" w:color="auto"/>
              <w:right w:val="single" w:sz="12" w:space="0" w:color="auto"/>
            </w:tcBorders>
          </w:tcPr>
          <w:p w14:paraId="27470270" w14:textId="77777777" w:rsidR="00AC2D9B" w:rsidRPr="00AC2D9B" w:rsidRDefault="00AC2D9B" w:rsidP="00576CB4">
            <w:pPr>
              <w:spacing w:after="0" w:line="240" w:lineRule="auto"/>
              <w:jc w:val="center"/>
              <w:rPr>
                <w:sz w:val="16"/>
                <w:szCs w:val="16"/>
              </w:rPr>
            </w:pPr>
            <w:r w:rsidRPr="00AC2D9B">
              <w:rPr>
                <w:sz w:val="16"/>
                <w:szCs w:val="16"/>
              </w:rPr>
              <w:t>No</w:t>
            </w:r>
          </w:p>
        </w:tc>
        <w:tc>
          <w:tcPr>
            <w:tcW w:w="1134" w:type="dxa"/>
            <w:tcBorders>
              <w:left w:val="single" w:sz="12" w:space="0" w:color="auto"/>
              <w:bottom w:val="single" w:sz="12" w:space="0" w:color="auto"/>
              <w:right w:val="single" w:sz="12" w:space="0" w:color="auto"/>
            </w:tcBorders>
          </w:tcPr>
          <w:p w14:paraId="6A354599" w14:textId="77777777" w:rsidR="00AC2D9B" w:rsidRPr="00AC2D9B" w:rsidRDefault="00AC2D9B" w:rsidP="00576CB4">
            <w:pPr>
              <w:spacing w:after="0" w:line="240" w:lineRule="auto"/>
              <w:jc w:val="center"/>
              <w:rPr>
                <w:sz w:val="16"/>
                <w:szCs w:val="16"/>
              </w:rPr>
            </w:pPr>
            <w:r w:rsidRPr="00AC2D9B">
              <w:rPr>
                <w:sz w:val="16"/>
                <w:szCs w:val="16"/>
              </w:rPr>
              <w:t>-</w:t>
            </w:r>
          </w:p>
        </w:tc>
        <w:tc>
          <w:tcPr>
            <w:tcW w:w="850" w:type="dxa"/>
            <w:tcBorders>
              <w:left w:val="single" w:sz="12" w:space="0" w:color="auto"/>
              <w:bottom w:val="single" w:sz="12" w:space="0" w:color="auto"/>
              <w:right w:val="single" w:sz="12" w:space="0" w:color="auto"/>
            </w:tcBorders>
          </w:tcPr>
          <w:p w14:paraId="18BBE04B"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left w:val="single" w:sz="12" w:space="0" w:color="auto"/>
              <w:bottom w:val="single" w:sz="12" w:space="0" w:color="auto"/>
              <w:right w:val="single" w:sz="12" w:space="0" w:color="auto"/>
            </w:tcBorders>
          </w:tcPr>
          <w:p w14:paraId="7A984B53"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left w:val="single" w:sz="12" w:space="0" w:color="auto"/>
              <w:bottom w:val="single" w:sz="12" w:space="0" w:color="auto"/>
              <w:right w:val="single" w:sz="12" w:space="0" w:color="auto"/>
            </w:tcBorders>
          </w:tcPr>
          <w:p w14:paraId="3F8EA431" w14:textId="77777777" w:rsidR="00AC2D9B" w:rsidRPr="00AC2D9B" w:rsidRDefault="00AC2D9B" w:rsidP="00576CB4">
            <w:pPr>
              <w:spacing w:after="0" w:line="240" w:lineRule="auto"/>
              <w:jc w:val="center"/>
              <w:rPr>
                <w:sz w:val="16"/>
                <w:szCs w:val="16"/>
              </w:rPr>
            </w:pPr>
            <w:r w:rsidRPr="00AC2D9B">
              <w:rPr>
                <w:sz w:val="16"/>
                <w:szCs w:val="16"/>
              </w:rPr>
              <w:t>Cross</w:t>
            </w:r>
          </w:p>
        </w:tc>
      </w:tr>
      <w:tr w:rsidR="00AC2D9B" w:rsidRPr="00AC2D9B" w14:paraId="4E29C1C6" w14:textId="77777777" w:rsidTr="00576CB4">
        <w:tc>
          <w:tcPr>
            <w:tcW w:w="978" w:type="dxa"/>
            <w:vMerge w:val="restart"/>
            <w:tcBorders>
              <w:top w:val="single" w:sz="12" w:space="0" w:color="auto"/>
              <w:left w:val="single" w:sz="12" w:space="0" w:color="auto"/>
              <w:right w:val="single" w:sz="12" w:space="0" w:color="auto"/>
            </w:tcBorders>
          </w:tcPr>
          <w:p w14:paraId="0141885C" w14:textId="77777777" w:rsidR="00AC2D9B" w:rsidRPr="00AC2D9B" w:rsidRDefault="00AC2D9B" w:rsidP="00576CB4">
            <w:pPr>
              <w:spacing w:after="0" w:line="240" w:lineRule="auto"/>
              <w:jc w:val="center"/>
              <w:rPr>
                <w:sz w:val="16"/>
                <w:szCs w:val="16"/>
              </w:rPr>
            </w:pPr>
            <w:r w:rsidRPr="00AC2D9B">
              <w:rPr>
                <w:sz w:val="16"/>
                <w:szCs w:val="16"/>
              </w:rPr>
              <w:t>BLS</w:t>
            </w:r>
          </w:p>
        </w:tc>
        <w:tc>
          <w:tcPr>
            <w:tcW w:w="1275" w:type="dxa"/>
            <w:vMerge w:val="restart"/>
            <w:tcBorders>
              <w:top w:val="single" w:sz="12" w:space="0" w:color="auto"/>
              <w:left w:val="single" w:sz="12" w:space="0" w:color="auto"/>
              <w:right w:val="single" w:sz="12" w:space="0" w:color="auto"/>
            </w:tcBorders>
          </w:tcPr>
          <w:p w14:paraId="4A18E5F2" w14:textId="77777777" w:rsidR="00AC2D9B" w:rsidRPr="00AC2D9B" w:rsidRDefault="00AC2D9B" w:rsidP="00576CB4">
            <w:pPr>
              <w:spacing w:after="0" w:line="240" w:lineRule="auto"/>
              <w:jc w:val="center"/>
              <w:rPr>
                <w:sz w:val="16"/>
                <w:szCs w:val="16"/>
              </w:rPr>
            </w:pPr>
            <w:r w:rsidRPr="00AC2D9B">
              <w:rPr>
                <w:sz w:val="16"/>
                <w:szCs w:val="16"/>
              </w:rPr>
              <w:t>Thwaite End</w:t>
            </w:r>
          </w:p>
        </w:tc>
        <w:tc>
          <w:tcPr>
            <w:tcW w:w="993" w:type="dxa"/>
            <w:vMerge w:val="restart"/>
            <w:tcBorders>
              <w:top w:val="single" w:sz="12" w:space="0" w:color="auto"/>
              <w:left w:val="single" w:sz="12" w:space="0" w:color="auto"/>
              <w:right w:val="single" w:sz="12" w:space="0" w:color="auto"/>
            </w:tcBorders>
          </w:tcPr>
          <w:p w14:paraId="383A5B6B" w14:textId="77777777" w:rsidR="00AC2D9B" w:rsidRPr="00AC2D9B" w:rsidRDefault="00AC2D9B" w:rsidP="00576CB4">
            <w:pPr>
              <w:spacing w:after="0" w:line="240" w:lineRule="auto"/>
              <w:jc w:val="center"/>
              <w:rPr>
                <w:sz w:val="16"/>
                <w:szCs w:val="16"/>
              </w:rPr>
            </w:pPr>
            <w:r w:rsidRPr="00AC2D9B">
              <w:rPr>
                <w:sz w:val="16"/>
                <w:szCs w:val="16"/>
              </w:rPr>
              <w:t xml:space="preserve">R </w:t>
            </w:r>
            <w:r w:rsidRPr="00AC2D9B">
              <w:rPr>
                <w:sz w:val="16"/>
                <w:szCs w:val="16"/>
                <w:vertAlign w:val="superscript"/>
              </w:rPr>
              <w:t xml:space="preserve">B </w:t>
            </w:r>
            <w:r w:rsidRPr="00AC2D9B">
              <w:rPr>
                <w:sz w:val="16"/>
                <w:szCs w:val="16"/>
              </w:rPr>
              <w:t>I 1687</w:t>
            </w:r>
          </w:p>
        </w:tc>
        <w:tc>
          <w:tcPr>
            <w:tcW w:w="1134" w:type="dxa"/>
            <w:vMerge w:val="restart"/>
            <w:tcBorders>
              <w:top w:val="single" w:sz="12" w:space="0" w:color="auto"/>
              <w:left w:val="single" w:sz="12" w:space="0" w:color="auto"/>
              <w:right w:val="single" w:sz="12" w:space="0" w:color="auto"/>
            </w:tcBorders>
          </w:tcPr>
          <w:p w14:paraId="31D1E965" w14:textId="77777777" w:rsidR="00AC2D9B" w:rsidRPr="00AC2D9B" w:rsidRDefault="00AC2D9B" w:rsidP="00576CB4">
            <w:pPr>
              <w:spacing w:after="0" w:line="240" w:lineRule="auto"/>
              <w:jc w:val="center"/>
              <w:rPr>
                <w:sz w:val="16"/>
                <w:szCs w:val="16"/>
              </w:rPr>
            </w:pPr>
            <w:r w:rsidRPr="00AC2D9B">
              <w:rPr>
                <w:sz w:val="16"/>
                <w:szCs w:val="16"/>
              </w:rPr>
              <w:t>Façade, lintel</w:t>
            </w:r>
          </w:p>
        </w:tc>
        <w:tc>
          <w:tcPr>
            <w:tcW w:w="2126" w:type="dxa"/>
            <w:tcBorders>
              <w:top w:val="single" w:sz="12" w:space="0" w:color="auto"/>
              <w:left w:val="single" w:sz="12" w:space="0" w:color="auto"/>
              <w:right w:val="single" w:sz="12" w:space="0" w:color="auto"/>
            </w:tcBorders>
          </w:tcPr>
          <w:p w14:paraId="5CF39325" w14:textId="77777777" w:rsidR="00AC2D9B" w:rsidRPr="00AC2D9B" w:rsidRDefault="00AC2D9B" w:rsidP="00576CB4">
            <w:pPr>
              <w:spacing w:after="0" w:line="240" w:lineRule="auto"/>
              <w:jc w:val="center"/>
              <w:rPr>
                <w:sz w:val="16"/>
                <w:szCs w:val="16"/>
              </w:rPr>
            </w:pPr>
            <w:r w:rsidRPr="00AC2D9B">
              <w:rPr>
                <w:sz w:val="16"/>
                <w:szCs w:val="16"/>
              </w:rPr>
              <w:t>Richard Barker</w:t>
            </w:r>
          </w:p>
        </w:tc>
        <w:tc>
          <w:tcPr>
            <w:tcW w:w="1276" w:type="dxa"/>
            <w:tcBorders>
              <w:top w:val="single" w:sz="12" w:space="0" w:color="auto"/>
              <w:left w:val="single" w:sz="12" w:space="0" w:color="auto"/>
              <w:right w:val="single" w:sz="12" w:space="0" w:color="auto"/>
            </w:tcBorders>
          </w:tcPr>
          <w:p w14:paraId="0760C8EA" w14:textId="77777777" w:rsidR="00AC2D9B" w:rsidRPr="00AC2D9B" w:rsidRDefault="00AC2D9B" w:rsidP="00576CB4">
            <w:pPr>
              <w:spacing w:after="0" w:line="240" w:lineRule="auto"/>
              <w:jc w:val="center"/>
              <w:rPr>
                <w:sz w:val="16"/>
                <w:szCs w:val="16"/>
              </w:rPr>
            </w:pPr>
            <w:r w:rsidRPr="00AC2D9B">
              <w:rPr>
                <w:sz w:val="16"/>
                <w:szCs w:val="16"/>
              </w:rPr>
              <w:t>Husbandman</w:t>
            </w:r>
          </w:p>
        </w:tc>
        <w:tc>
          <w:tcPr>
            <w:tcW w:w="708" w:type="dxa"/>
            <w:tcBorders>
              <w:top w:val="single" w:sz="12" w:space="0" w:color="auto"/>
              <w:left w:val="single" w:sz="12" w:space="0" w:color="auto"/>
              <w:right w:val="single" w:sz="12" w:space="0" w:color="auto"/>
            </w:tcBorders>
          </w:tcPr>
          <w:p w14:paraId="27085DA6"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top w:val="single" w:sz="12" w:space="0" w:color="auto"/>
              <w:left w:val="single" w:sz="12" w:space="0" w:color="auto"/>
              <w:right w:val="single" w:sz="12" w:space="0" w:color="auto"/>
            </w:tcBorders>
          </w:tcPr>
          <w:p w14:paraId="06FD7C54" w14:textId="77777777" w:rsidR="00AC2D9B" w:rsidRPr="00AC2D9B" w:rsidRDefault="00AC2D9B" w:rsidP="00576CB4">
            <w:pPr>
              <w:spacing w:after="0" w:line="240" w:lineRule="auto"/>
              <w:jc w:val="center"/>
              <w:rPr>
                <w:sz w:val="16"/>
                <w:szCs w:val="16"/>
              </w:rPr>
            </w:pPr>
            <w:r w:rsidRPr="00AC2D9B">
              <w:rPr>
                <w:sz w:val="16"/>
                <w:szCs w:val="16"/>
              </w:rPr>
              <w:t>Yes</w:t>
            </w:r>
          </w:p>
        </w:tc>
        <w:tc>
          <w:tcPr>
            <w:tcW w:w="1134" w:type="dxa"/>
            <w:tcBorders>
              <w:top w:val="single" w:sz="12" w:space="0" w:color="auto"/>
              <w:left w:val="single" w:sz="12" w:space="0" w:color="auto"/>
              <w:right w:val="single" w:sz="12" w:space="0" w:color="auto"/>
            </w:tcBorders>
          </w:tcPr>
          <w:p w14:paraId="45975FE2" w14:textId="77777777" w:rsidR="00AC2D9B" w:rsidRPr="00AC2D9B" w:rsidRDefault="00AC2D9B" w:rsidP="00576CB4">
            <w:pPr>
              <w:spacing w:after="0" w:line="240" w:lineRule="auto"/>
              <w:jc w:val="center"/>
              <w:rPr>
                <w:sz w:val="16"/>
                <w:szCs w:val="16"/>
              </w:rPr>
            </w:pPr>
            <w:r w:rsidRPr="00AC2D9B">
              <w:rPr>
                <w:sz w:val="16"/>
                <w:szCs w:val="16"/>
              </w:rPr>
              <w:t>£38 10s</w:t>
            </w:r>
          </w:p>
        </w:tc>
        <w:tc>
          <w:tcPr>
            <w:tcW w:w="850" w:type="dxa"/>
            <w:tcBorders>
              <w:top w:val="single" w:sz="12" w:space="0" w:color="auto"/>
              <w:left w:val="single" w:sz="12" w:space="0" w:color="auto"/>
              <w:right w:val="single" w:sz="12" w:space="0" w:color="auto"/>
            </w:tcBorders>
          </w:tcPr>
          <w:p w14:paraId="5B4631DF"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top w:val="single" w:sz="12" w:space="0" w:color="auto"/>
              <w:left w:val="single" w:sz="12" w:space="0" w:color="auto"/>
              <w:right w:val="single" w:sz="12" w:space="0" w:color="auto"/>
            </w:tcBorders>
          </w:tcPr>
          <w:p w14:paraId="2EF430DF"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top w:val="single" w:sz="12" w:space="0" w:color="auto"/>
              <w:left w:val="single" w:sz="12" w:space="0" w:color="auto"/>
              <w:right w:val="single" w:sz="12" w:space="0" w:color="auto"/>
            </w:tcBorders>
          </w:tcPr>
          <w:p w14:paraId="6903B453" w14:textId="77777777" w:rsidR="00AC2D9B" w:rsidRPr="00AC2D9B" w:rsidRDefault="00AC2D9B" w:rsidP="00576CB4">
            <w:pPr>
              <w:spacing w:after="0" w:line="240" w:lineRule="auto"/>
              <w:jc w:val="center"/>
              <w:rPr>
                <w:sz w:val="16"/>
                <w:szCs w:val="16"/>
              </w:rPr>
            </w:pPr>
            <w:r w:rsidRPr="00AC2D9B">
              <w:rPr>
                <w:sz w:val="16"/>
                <w:szCs w:val="16"/>
              </w:rPr>
              <w:t>Unknown</w:t>
            </w:r>
          </w:p>
        </w:tc>
      </w:tr>
      <w:tr w:rsidR="00AC2D9B" w:rsidRPr="00AC2D9B" w14:paraId="410CC913" w14:textId="77777777" w:rsidTr="00576CB4">
        <w:tc>
          <w:tcPr>
            <w:tcW w:w="978" w:type="dxa"/>
            <w:vMerge/>
            <w:tcBorders>
              <w:left w:val="single" w:sz="12" w:space="0" w:color="auto"/>
              <w:bottom w:val="single" w:sz="12" w:space="0" w:color="auto"/>
              <w:right w:val="single" w:sz="12" w:space="0" w:color="auto"/>
            </w:tcBorders>
          </w:tcPr>
          <w:p w14:paraId="32FB98CE" w14:textId="77777777" w:rsidR="00AC2D9B" w:rsidRPr="00AC2D9B" w:rsidRDefault="00AC2D9B" w:rsidP="00576CB4">
            <w:pPr>
              <w:spacing w:after="0" w:line="240" w:lineRule="auto"/>
              <w:jc w:val="center"/>
              <w:rPr>
                <w:sz w:val="16"/>
                <w:szCs w:val="16"/>
              </w:rPr>
            </w:pPr>
          </w:p>
        </w:tc>
        <w:tc>
          <w:tcPr>
            <w:tcW w:w="1275" w:type="dxa"/>
            <w:vMerge/>
            <w:tcBorders>
              <w:left w:val="single" w:sz="12" w:space="0" w:color="auto"/>
              <w:bottom w:val="single" w:sz="12" w:space="0" w:color="auto"/>
              <w:right w:val="single" w:sz="12" w:space="0" w:color="auto"/>
            </w:tcBorders>
          </w:tcPr>
          <w:p w14:paraId="7921E26F" w14:textId="77777777" w:rsidR="00AC2D9B" w:rsidRPr="00AC2D9B" w:rsidRDefault="00AC2D9B" w:rsidP="00576CB4">
            <w:pPr>
              <w:spacing w:after="0" w:line="240" w:lineRule="auto"/>
              <w:jc w:val="center"/>
              <w:rPr>
                <w:sz w:val="16"/>
                <w:szCs w:val="16"/>
              </w:rPr>
            </w:pPr>
          </w:p>
        </w:tc>
        <w:tc>
          <w:tcPr>
            <w:tcW w:w="993" w:type="dxa"/>
            <w:vMerge/>
            <w:tcBorders>
              <w:left w:val="single" w:sz="12" w:space="0" w:color="auto"/>
              <w:bottom w:val="single" w:sz="12" w:space="0" w:color="auto"/>
              <w:right w:val="single" w:sz="12" w:space="0" w:color="auto"/>
            </w:tcBorders>
          </w:tcPr>
          <w:p w14:paraId="23F8C718" w14:textId="77777777" w:rsidR="00AC2D9B" w:rsidRPr="00AC2D9B" w:rsidRDefault="00AC2D9B"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19FAA67C" w14:textId="77777777" w:rsidR="00AC2D9B" w:rsidRPr="00AC2D9B" w:rsidRDefault="00AC2D9B" w:rsidP="00576CB4">
            <w:pPr>
              <w:spacing w:after="0" w:line="240" w:lineRule="auto"/>
              <w:jc w:val="center"/>
              <w:rPr>
                <w:sz w:val="16"/>
                <w:szCs w:val="16"/>
              </w:rPr>
            </w:pPr>
          </w:p>
        </w:tc>
        <w:tc>
          <w:tcPr>
            <w:tcW w:w="2126" w:type="dxa"/>
            <w:tcBorders>
              <w:left w:val="single" w:sz="12" w:space="0" w:color="auto"/>
              <w:bottom w:val="single" w:sz="12" w:space="0" w:color="auto"/>
              <w:right w:val="single" w:sz="12" w:space="0" w:color="auto"/>
            </w:tcBorders>
          </w:tcPr>
          <w:p w14:paraId="3FD19074" w14:textId="77777777" w:rsidR="00AC2D9B" w:rsidRPr="00AC2D9B" w:rsidRDefault="00AC2D9B" w:rsidP="00576CB4">
            <w:pPr>
              <w:spacing w:after="0" w:line="240" w:lineRule="auto"/>
              <w:jc w:val="center"/>
              <w:rPr>
                <w:sz w:val="16"/>
                <w:szCs w:val="16"/>
              </w:rPr>
            </w:pPr>
            <w:r w:rsidRPr="00AC2D9B">
              <w:rPr>
                <w:sz w:val="16"/>
                <w:szCs w:val="16"/>
              </w:rPr>
              <w:t>Isabell Barker</w:t>
            </w:r>
          </w:p>
        </w:tc>
        <w:tc>
          <w:tcPr>
            <w:tcW w:w="1276" w:type="dxa"/>
            <w:tcBorders>
              <w:left w:val="single" w:sz="12" w:space="0" w:color="auto"/>
              <w:bottom w:val="single" w:sz="12" w:space="0" w:color="auto"/>
              <w:right w:val="single" w:sz="12" w:space="0" w:color="auto"/>
            </w:tcBorders>
          </w:tcPr>
          <w:p w14:paraId="659F8ED3" w14:textId="77777777" w:rsidR="00AC2D9B" w:rsidRPr="00AC2D9B" w:rsidRDefault="00AC2D9B" w:rsidP="00576CB4">
            <w:pPr>
              <w:numPr>
                <w:ilvl w:val="0"/>
                <w:numId w:val="8"/>
              </w:numPr>
              <w:spacing w:after="0" w:line="240" w:lineRule="auto"/>
              <w:contextualSpacing/>
              <w:jc w:val="center"/>
              <w:rPr>
                <w:sz w:val="16"/>
                <w:szCs w:val="16"/>
              </w:rPr>
            </w:pPr>
          </w:p>
        </w:tc>
        <w:tc>
          <w:tcPr>
            <w:tcW w:w="708" w:type="dxa"/>
            <w:tcBorders>
              <w:left w:val="single" w:sz="12" w:space="0" w:color="auto"/>
              <w:bottom w:val="single" w:sz="12" w:space="0" w:color="auto"/>
              <w:right w:val="single" w:sz="12" w:space="0" w:color="auto"/>
            </w:tcBorders>
          </w:tcPr>
          <w:p w14:paraId="353728F1" w14:textId="77777777" w:rsidR="00AC2D9B" w:rsidRPr="00AC2D9B" w:rsidRDefault="00AC2D9B" w:rsidP="00576CB4">
            <w:pPr>
              <w:spacing w:after="0" w:line="240" w:lineRule="auto"/>
              <w:jc w:val="center"/>
              <w:rPr>
                <w:sz w:val="16"/>
                <w:szCs w:val="16"/>
              </w:rPr>
            </w:pPr>
            <w:r w:rsidRPr="00AC2D9B">
              <w:rPr>
                <w:sz w:val="16"/>
                <w:szCs w:val="16"/>
              </w:rPr>
              <w:t>Yes</w:t>
            </w:r>
          </w:p>
        </w:tc>
        <w:tc>
          <w:tcPr>
            <w:tcW w:w="993" w:type="dxa"/>
            <w:tcBorders>
              <w:left w:val="single" w:sz="12" w:space="0" w:color="auto"/>
              <w:bottom w:val="single" w:sz="12" w:space="0" w:color="auto"/>
              <w:right w:val="single" w:sz="12" w:space="0" w:color="auto"/>
            </w:tcBorders>
          </w:tcPr>
          <w:p w14:paraId="202A7BCC" w14:textId="77777777" w:rsidR="00AC2D9B" w:rsidRPr="00AC2D9B" w:rsidRDefault="00AC2D9B" w:rsidP="00576CB4">
            <w:pPr>
              <w:spacing w:after="0" w:line="240" w:lineRule="auto"/>
              <w:jc w:val="center"/>
              <w:rPr>
                <w:sz w:val="16"/>
                <w:szCs w:val="16"/>
              </w:rPr>
            </w:pPr>
            <w:r w:rsidRPr="00AC2D9B">
              <w:rPr>
                <w:sz w:val="16"/>
                <w:szCs w:val="16"/>
              </w:rPr>
              <w:t>Yes</w:t>
            </w:r>
          </w:p>
        </w:tc>
        <w:tc>
          <w:tcPr>
            <w:tcW w:w="1134" w:type="dxa"/>
            <w:tcBorders>
              <w:left w:val="single" w:sz="12" w:space="0" w:color="auto"/>
              <w:bottom w:val="single" w:sz="12" w:space="0" w:color="auto"/>
              <w:right w:val="single" w:sz="12" w:space="0" w:color="auto"/>
            </w:tcBorders>
          </w:tcPr>
          <w:p w14:paraId="18DBF736" w14:textId="77777777" w:rsidR="00AC2D9B" w:rsidRPr="00AC2D9B" w:rsidRDefault="00AC2D9B" w:rsidP="00576CB4">
            <w:pPr>
              <w:spacing w:after="0" w:line="240" w:lineRule="auto"/>
              <w:jc w:val="center"/>
              <w:rPr>
                <w:sz w:val="16"/>
                <w:szCs w:val="16"/>
              </w:rPr>
            </w:pPr>
            <w:r w:rsidRPr="00AC2D9B">
              <w:rPr>
                <w:sz w:val="16"/>
                <w:szCs w:val="16"/>
              </w:rPr>
              <w:t>£140 14s 9d</w:t>
            </w:r>
          </w:p>
        </w:tc>
        <w:tc>
          <w:tcPr>
            <w:tcW w:w="850" w:type="dxa"/>
            <w:tcBorders>
              <w:left w:val="single" w:sz="12" w:space="0" w:color="auto"/>
              <w:bottom w:val="single" w:sz="12" w:space="0" w:color="auto"/>
              <w:right w:val="single" w:sz="12" w:space="0" w:color="auto"/>
            </w:tcBorders>
          </w:tcPr>
          <w:p w14:paraId="49A78BA3"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left w:val="single" w:sz="12" w:space="0" w:color="auto"/>
              <w:bottom w:val="single" w:sz="12" w:space="0" w:color="auto"/>
              <w:right w:val="single" w:sz="12" w:space="0" w:color="auto"/>
            </w:tcBorders>
          </w:tcPr>
          <w:p w14:paraId="3BA4CED2" w14:textId="77777777" w:rsidR="00AC2D9B" w:rsidRPr="00AC2D9B" w:rsidRDefault="00AC2D9B" w:rsidP="00576CB4">
            <w:pPr>
              <w:spacing w:after="0" w:line="240" w:lineRule="auto"/>
              <w:jc w:val="center"/>
              <w:rPr>
                <w:sz w:val="16"/>
                <w:szCs w:val="16"/>
              </w:rPr>
            </w:pPr>
            <w:r w:rsidRPr="00AC2D9B">
              <w:rPr>
                <w:sz w:val="16"/>
                <w:szCs w:val="16"/>
              </w:rPr>
              <w:t>£60 5s</w:t>
            </w:r>
          </w:p>
        </w:tc>
        <w:tc>
          <w:tcPr>
            <w:tcW w:w="1469" w:type="dxa"/>
            <w:tcBorders>
              <w:left w:val="single" w:sz="12" w:space="0" w:color="auto"/>
              <w:bottom w:val="single" w:sz="12" w:space="0" w:color="auto"/>
              <w:right w:val="single" w:sz="12" w:space="0" w:color="auto"/>
            </w:tcBorders>
          </w:tcPr>
          <w:p w14:paraId="3C9F29A1" w14:textId="77777777" w:rsidR="00AC2D9B" w:rsidRPr="00AC2D9B" w:rsidRDefault="00AC2D9B" w:rsidP="00576CB4">
            <w:pPr>
              <w:spacing w:after="0" w:line="240" w:lineRule="auto"/>
              <w:jc w:val="center"/>
              <w:rPr>
                <w:sz w:val="16"/>
                <w:szCs w:val="16"/>
              </w:rPr>
            </w:pPr>
            <w:r w:rsidRPr="00AC2D9B">
              <w:rPr>
                <w:sz w:val="16"/>
                <w:szCs w:val="16"/>
              </w:rPr>
              <w:t>Full signature</w:t>
            </w:r>
          </w:p>
        </w:tc>
      </w:tr>
      <w:tr w:rsidR="00AC2D9B" w:rsidRPr="00AC2D9B" w14:paraId="19B7B262" w14:textId="77777777" w:rsidTr="00576CB4">
        <w:tc>
          <w:tcPr>
            <w:tcW w:w="978" w:type="dxa"/>
            <w:vMerge w:val="restart"/>
            <w:tcBorders>
              <w:top w:val="single" w:sz="12" w:space="0" w:color="auto"/>
              <w:left w:val="single" w:sz="12" w:space="0" w:color="auto"/>
              <w:right w:val="single" w:sz="12" w:space="0" w:color="auto"/>
            </w:tcBorders>
          </w:tcPr>
          <w:p w14:paraId="228AB199" w14:textId="77777777" w:rsidR="00AC2D9B" w:rsidRPr="00AC2D9B" w:rsidRDefault="00AC2D9B" w:rsidP="00576CB4">
            <w:pPr>
              <w:spacing w:after="0" w:line="240" w:lineRule="auto"/>
              <w:jc w:val="center"/>
              <w:rPr>
                <w:sz w:val="16"/>
                <w:szCs w:val="16"/>
              </w:rPr>
            </w:pPr>
            <w:r w:rsidRPr="00AC2D9B">
              <w:rPr>
                <w:sz w:val="16"/>
                <w:szCs w:val="16"/>
              </w:rPr>
              <w:t>BLS</w:t>
            </w:r>
          </w:p>
        </w:tc>
        <w:tc>
          <w:tcPr>
            <w:tcW w:w="1275" w:type="dxa"/>
            <w:vMerge w:val="restart"/>
            <w:tcBorders>
              <w:top w:val="single" w:sz="12" w:space="0" w:color="auto"/>
              <w:left w:val="single" w:sz="12" w:space="0" w:color="auto"/>
              <w:right w:val="single" w:sz="12" w:space="0" w:color="auto"/>
            </w:tcBorders>
          </w:tcPr>
          <w:p w14:paraId="3DCC104D" w14:textId="77777777" w:rsidR="00AC2D9B" w:rsidRPr="00AC2D9B" w:rsidRDefault="00AC2D9B" w:rsidP="00576CB4">
            <w:pPr>
              <w:spacing w:after="0" w:line="240" w:lineRule="auto"/>
              <w:jc w:val="center"/>
              <w:rPr>
                <w:sz w:val="16"/>
                <w:szCs w:val="16"/>
              </w:rPr>
            </w:pPr>
            <w:r w:rsidRPr="00AC2D9B">
              <w:rPr>
                <w:sz w:val="16"/>
                <w:szCs w:val="16"/>
              </w:rPr>
              <w:t>McGaffigan’s Yard</w:t>
            </w:r>
          </w:p>
        </w:tc>
        <w:tc>
          <w:tcPr>
            <w:tcW w:w="993" w:type="dxa"/>
            <w:vMerge w:val="restart"/>
            <w:tcBorders>
              <w:top w:val="single" w:sz="12" w:space="0" w:color="auto"/>
              <w:left w:val="single" w:sz="12" w:space="0" w:color="auto"/>
              <w:right w:val="single" w:sz="12" w:space="0" w:color="auto"/>
            </w:tcBorders>
          </w:tcPr>
          <w:p w14:paraId="589A2C05" w14:textId="77777777" w:rsidR="00AC2D9B" w:rsidRPr="00AC2D9B" w:rsidRDefault="00AC2D9B" w:rsidP="00576CB4">
            <w:pPr>
              <w:spacing w:after="0" w:line="240" w:lineRule="auto"/>
              <w:jc w:val="center"/>
              <w:rPr>
                <w:sz w:val="16"/>
                <w:szCs w:val="16"/>
              </w:rPr>
            </w:pPr>
            <w:r w:rsidRPr="00AC2D9B">
              <w:rPr>
                <w:sz w:val="16"/>
                <w:szCs w:val="16"/>
              </w:rPr>
              <w:t xml:space="preserve">G </w:t>
            </w:r>
            <w:r w:rsidRPr="00AC2D9B">
              <w:rPr>
                <w:sz w:val="16"/>
                <w:szCs w:val="16"/>
                <w:vertAlign w:val="superscript"/>
              </w:rPr>
              <w:t xml:space="preserve">P </w:t>
            </w:r>
            <w:r w:rsidRPr="00AC2D9B">
              <w:rPr>
                <w:sz w:val="16"/>
                <w:szCs w:val="16"/>
              </w:rPr>
              <w:t>A 1694</w:t>
            </w:r>
          </w:p>
        </w:tc>
        <w:tc>
          <w:tcPr>
            <w:tcW w:w="1134" w:type="dxa"/>
            <w:vMerge w:val="restart"/>
            <w:tcBorders>
              <w:top w:val="single" w:sz="12" w:space="0" w:color="auto"/>
              <w:left w:val="single" w:sz="12" w:space="0" w:color="auto"/>
              <w:right w:val="single" w:sz="12" w:space="0" w:color="auto"/>
            </w:tcBorders>
          </w:tcPr>
          <w:p w14:paraId="2D9791B0" w14:textId="77777777" w:rsidR="00AC2D9B" w:rsidRPr="00AC2D9B" w:rsidRDefault="00AC2D9B" w:rsidP="00576CB4">
            <w:pPr>
              <w:spacing w:after="0" w:line="240" w:lineRule="auto"/>
              <w:jc w:val="center"/>
              <w:rPr>
                <w:sz w:val="16"/>
                <w:szCs w:val="16"/>
              </w:rPr>
            </w:pPr>
            <w:r w:rsidRPr="00AC2D9B">
              <w:rPr>
                <w:sz w:val="16"/>
                <w:szCs w:val="16"/>
              </w:rPr>
              <w:t>Façade, lintel</w:t>
            </w:r>
          </w:p>
        </w:tc>
        <w:tc>
          <w:tcPr>
            <w:tcW w:w="2126" w:type="dxa"/>
            <w:tcBorders>
              <w:top w:val="single" w:sz="12" w:space="0" w:color="auto"/>
              <w:left w:val="single" w:sz="12" w:space="0" w:color="auto"/>
              <w:right w:val="single" w:sz="12" w:space="0" w:color="auto"/>
            </w:tcBorders>
          </w:tcPr>
          <w:p w14:paraId="2ABCC68F" w14:textId="77777777" w:rsidR="00AC2D9B" w:rsidRPr="00AC2D9B" w:rsidRDefault="00AC2D9B" w:rsidP="00576CB4">
            <w:pPr>
              <w:spacing w:after="0" w:line="240" w:lineRule="auto"/>
              <w:jc w:val="center"/>
              <w:rPr>
                <w:sz w:val="16"/>
                <w:szCs w:val="16"/>
              </w:rPr>
            </w:pPr>
            <w:r w:rsidRPr="00AC2D9B">
              <w:rPr>
                <w:sz w:val="16"/>
                <w:szCs w:val="16"/>
              </w:rPr>
              <w:t>George Preston</w:t>
            </w:r>
          </w:p>
        </w:tc>
        <w:tc>
          <w:tcPr>
            <w:tcW w:w="1276" w:type="dxa"/>
            <w:tcBorders>
              <w:top w:val="single" w:sz="12" w:space="0" w:color="auto"/>
              <w:left w:val="single" w:sz="12" w:space="0" w:color="auto"/>
              <w:right w:val="single" w:sz="12" w:space="0" w:color="auto"/>
            </w:tcBorders>
          </w:tcPr>
          <w:p w14:paraId="271A2994" w14:textId="77777777" w:rsidR="00AC2D9B" w:rsidRPr="00AC2D9B" w:rsidRDefault="00AC2D9B" w:rsidP="00576CB4">
            <w:pPr>
              <w:spacing w:after="0" w:line="240" w:lineRule="auto"/>
              <w:jc w:val="center"/>
              <w:rPr>
                <w:sz w:val="16"/>
                <w:szCs w:val="16"/>
              </w:rPr>
            </w:pPr>
            <w:r w:rsidRPr="00AC2D9B">
              <w:rPr>
                <w:sz w:val="16"/>
                <w:szCs w:val="16"/>
              </w:rPr>
              <w:t>Yeoman</w:t>
            </w:r>
          </w:p>
        </w:tc>
        <w:tc>
          <w:tcPr>
            <w:tcW w:w="708" w:type="dxa"/>
            <w:tcBorders>
              <w:top w:val="single" w:sz="12" w:space="0" w:color="auto"/>
              <w:left w:val="single" w:sz="12" w:space="0" w:color="auto"/>
              <w:right w:val="single" w:sz="12" w:space="0" w:color="auto"/>
            </w:tcBorders>
          </w:tcPr>
          <w:p w14:paraId="31B9CD23" w14:textId="77777777" w:rsidR="00AC2D9B" w:rsidRPr="00AC2D9B" w:rsidRDefault="00AC2D9B" w:rsidP="00576CB4">
            <w:pPr>
              <w:spacing w:after="0" w:line="240" w:lineRule="auto"/>
              <w:jc w:val="center"/>
              <w:rPr>
                <w:sz w:val="16"/>
                <w:szCs w:val="16"/>
              </w:rPr>
            </w:pPr>
            <w:r w:rsidRPr="00AC2D9B">
              <w:rPr>
                <w:sz w:val="16"/>
                <w:szCs w:val="16"/>
              </w:rPr>
              <w:t>Yes</w:t>
            </w:r>
          </w:p>
        </w:tc>
        <w:tc>
          <w:tcPr>
            <w:tcW w:w="993" w:type="dxa"/>
            <w:tcBorders>
              <w:top w:val="single" w:sz="12" w:space="0" w:color="auto"/>
              <w:left w:val="single" w:sz="12" w:space="0" w:color="auto"/>
              <w:right w:val="single" w:sz="12" w:space="0" w:color="auto"/>
            </w:tcBorders>
          </w:tcPr>
          <w:p w14:paraId="3FFF7E4C" w14:textId="77777777" w:rsidR="00AC2D9B" w:rsidRPr="00AC2D9B" w:rsidRDefault="00AC2D9B" w:rsidP="00576CB4">
            <w:pPr>
              <w:spacing w:after="0" w:line="240" w:lineRule="auto"/>
              <w:jc w:val="center"/>
              <w:rPr>
                <w:sz w:val="16"/>
                <w:szCs w:val="16"/>
              </w:rPr>
            </w:pPr>
            <w:r w:rsidRPr="00AC2D9B">
              <w:rPr>
                <w:sz w:val="16"/>
                <w:szCs w:val="16"/>
              </w:rPr>
              <w:t>Yes</w:t>
            </w:r>
          </w:p>
        </w:tc>
        <w:tc>
          <w:tcPr>
            <w:tcW w:w="1134" w:type="dxa"/>
            <w:tcBorders>
              <w:top w:val="single" w:sz="12" w:space="0" w:color="auto"/>
              <w:left w:val="single" w:sz="12" w:space="0" w:color="auto"/>
              <w:right w:val="single" w:sz="12" w:space="0" w:color="auto"/>
            </w:tcBorders>
          </w:tcPr>
          <w:p w14:paraId="479D077F" w14:textId="77777777" w:rsidR="00AC2D9B" w:rsidRPr="00AC2D9B" w:rsidRDefault="00AC2D9B" w:rsidP="00576CB4">
            <w:pPr>
              <w:spacing w:after="0" w:line="240" w:lineRule="auto"/>
              <w:jc w:val="center"/>
              <w:rPr>
                <w:sz w:val="16"/>
                <w:szCs w:val="16"/>
              </w:rPr>
            </w:pPr>
            <w:r w:rsidRPr="00AC2D9B">
              <w:rPr>
                <w:sz w:val="16"/>
                <w:szCs w:val="16"/>
              </w:rPr>
              <w:t>£45 4s 10d</w:t>
            </w:r>
          </w:p>
        </w:tc>
        <w:tc>
          <w:tcPr>
            <w:tcW w:w="850" w:type="dxa"/>
            <w:tcBorders>
              <w:top w:val="single" w:sz="12" w:space="0" w:color="auto"/>
              <w:left w:val="single" w:sz="12" w:space="0" w:color="auto"/>
              <w:right w:val="single" w:sz="12" w:space="0" w:color="auto"/>
            </w:tcBorders>
          </w:tcPr>
          <w:p w14:paraId="6E355D77"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top w:val="single" w:sz="12" w:space="0" w:color="auto"/>
              <w:left w:val="single" w:sz="12" w:space="0" w:color="auto"/>
              <w:right w:val="single" w:sz="12" w:space="0" w:color="auto"/>
            </w:tcBorders>
          </w:tcPr>
          <w:p w14:paraId="104F7F44" w14:textId="77777777" w:rsidR="00AC2D9B" w:rsidRPr="00AC2D9B" w:rsidRDefault="00AC2D9B" w:rsidP="00576CB4">
            <w:pPr>
              <w:spacing w:after="0" w:line="240" w:lineRule="auto"/>
              <w:jc w:val="center"/>
              <w:rPr>
                <w:sz w:val="16"/>
                <w:szCs w:val="16"/>
              </w:rPr>
            </w:pPr>
            <w:r w:rsidRPr="00AC2D9B">
              <w:rPr>
                <w:sz w:val="16"/>
                <w:szCs w:val="16"/>
              </w:rPr>
              <w:t>£2 6s</w:t>
            </w:r>
          </w:p>
        </w:tc>
        <w:tc>
          <w:tcPr>
            <w:tcW w:w="1469" w:type="dxa"/>
            <w:tcBorders>
              <w:top w:val="single" w:sz="12" w:space="0" w:color="auto"/>
              <w:left w:val="single" w:sz="12" w:space="0" w:color="auto"/>
              <w:right w:val="single" w:sz="12" w:space="0" w:color="auto"/>
            </w:tcBorders>
          </w:tcPr>
          <w:p w14:paraId="54D20FDF" w14:textId="77777777" w:rsidR="00AC2D9B" w:rsidRPr="00AC2D9B" w:rsidRDefault="00AC2D9B" w:rsidP="00576CB4">
            <w:pPr>
              <w:spacing w:after="0" w:line="240" w:lineRule="auto"/>
              <w:jc w:val="center"/>
              <w:rPr>
                <w:sz w:val="16"/>
                <w:szCs w:val="16"/>
              </w:rPr>
            </w:pPr>
            <w:r w:rsidRPr="00AC2D9B">
              <w:rPr>
                <w:sz w:val="16"/>
                <w:szCs w:val="16"/>
              </w:rPr>
              <w:t>One initial</w:t>
            </w:r>
          </w:p>
        </w:tc>
      </w:tr>
      <w:tr w:rsidR="00AC2D9B" w:rsidRPr="00AC2D9B" w14:paraId="5B9F3A82" w14:textId="77777777" w:rsidTr="00576CB4">
        <w:tc>
          <w:tcPr>
            <w:tcW w:w="978" w:type="dxa"/>
            <w:vMerge/>
            <w:tcBorders>
              <w:left w:val="single" w:sz="12" w:space="0" w:color="auto"/>
              <w:bottom w:val="single" w:sz="12" w:space="0" w:color="auto"/>
              <w:right w:val="single" w:sz="12" w:space="0" w:color="auto"/>
            </w:tcBorders>
          </w:tcPr>
          <w:p w14:paraId="3743214F" w14:textId="77777777" w:rsidR="00AC2D9B" w:rsidRPr="00AC2D9B" w:rsidRDefault="00AC2D9B" w:rsidP="00576CB4">
            <w:pPr>
              <w:spacing w:after="0" w:line="240" w:lineRule="auto"/>
              <w:jc w:val="center"/>
              <w:rPr>
                <w:sz w:val="16"/>
                <w:szCs w:val="16"/>
              </w:rPr>
            </w:pPr>
          </w:p>
        </w:tc>
        <w:tc>
          <w:tcPr>
            <w:tcW w:w="1275" w:type="dxa"/>
            <w:vMerge/>
            <w:tcBorders>
              <w:left w:val="single" w:sz="12" w:space="0" w:color="auto"/>
              <w:bottom w:val="single" w:sz="12" w:space="0" w:color="auto"/>
              <w:right w:val="single" w:sz="12" w:space="0" w:color="auto"/>
            </w:tcBorders>
          </w:tcPr>
          <w:p w14:paraId="2561A705" w14:textId="77777777" w:rsidR="00AC2D9B" w:rsidRPr="00AC2D9B" w:rsidRDefault="00AC2D9B" w:rsidP="00576CB4">
            <w:pPr>
              <w:spacing w:after="0" w:line="240" w:lineRule="auto"/>
              <w:jc w:val="center"/>
              <w:rPr>
                <w:sz w:val="16"/>
                <w:szCs w:val="16"/>
              </w:rPr>
            </w:pPr>
          </w:p>
        </w:tc>
        <w:tc>
          <w:tcPr>
            <w:tcW w:w="993" w:type="dxa"/>
            <w:vMerge/>
            <w:tcBorders>
              <w:left w:val="single" w:sz="12" w:space="0" w:color="auto"/>
              <w:bottom w:val="single" w:sz="12" w:space="0" w:color="auto"/>
              <w:right w:val="single" w:sz="12" w:space="0" w:color="auto"/>
            </w:tcBorders>
          </w:tcPr>
          <w:p w14:paraId="2E51440F" w14:textId="77777777" w:rsidR="00AC2D9B" w:rsidRPr="00AC2D9B" w:rsidRDefault="00AC2D9B"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7EACB3BC" w14:textId="77777777" w:rsidR="00AC2D9B" w:rsidRPr="00AC2D9B" w:rsidRDefault="00AC2D9B" w:rsidP="00576CB4">
            <w:pPr>
              <w:spacing w:after="0" w:line="240" w:lineRule="auto"/>
              <w:jc w:val="center"/>
              <w:rPr>
                <w:sz w:val="16"/>
                <w:szCs w:val="16"/>
              </w:rPr>
            </w:pPr>
          </w:p>
        </w:tc>
        <w:tc>
          <w:tcPr>
            <w:tcW w:w="2126" w:type="dxa"/>
            <w:tcBorders>
              <w:left w:val="single" w:sz="12" w:space="0" w:color="auto"/>
              <w:bottom w:val="single" w:sz="12" w:space="0" w:color="auto"/>
              <w:right w:val="single" w:sz="12" w:space="0" w:color="auto"/>
            </w:tcBorders>
          </w:tcPr>
          <w:p w14:paraId="42782DA8" w14:textId="77777777" w:rsidR="00AC2D9B" w:rsidRPr="00AC2D9B" w:rsidRDefault="00AC2D9B" w:rsidP="00576CB4">
            <w:pPr>
              <w:spacing w:after="0" w:line="240" w:lineRule="auto"/>
              <w:jc w:val="center"/>
              <w:rPr>
                <w:sz w:val="16"/>
                <w:szCs w:val="16"/>
              </w:rPr>
            </w:pPr>
            <w:r w:rsidRPr="00AC2D9B">
              <w:rPr>
                <w:sz w:val="16"/>
                <w:szCs w:val="16"/>
              </w:rPr>
              <w:t>Alice Preston</w:t>
            </w:r>
          </w:p>
        </w:tc>
        <w:tc>
          <w:tcPr>
            <w:tcW w:w="1276" w:type="dxa"/>
            <w:tcBorders>
              <w:left w:val="single" w:sz="12" w:space="0" w:color="auto"/>
              <w:bottom w:val="single" w:sz="12" w:space="0" w:color="auto"/>
              <w:right w:val="single" w:sz="12" w:space="0" w:color="auto"/>
            </w:tcBorders>
          </w:tcPr>
          <w:p w14:paraId="177C5156" w14:textId="77777777" w:rsidR="00AC2D9B" w:rsidRPr="00AC2D9B" w:rsidRDefault="00AC2D9B" w:rsidP="00576CB4">
            <w:pPr>
              <w:numPr>
                <w:ilvl w:val="0"/>
                <w:numId w:val="8"/>
              </w:numPr>
              <w:spacing w:after="0" w:line="240" w:lineRule="auto"/>
              <w:contextualSpacing/>
              <w:jc w:val="center"/>
              <w:rPr>
                <w:sz w:val="16"/>
                <w:szCs w:val="16"/>
              </w:rPr>
            </w:pPr>
          </w:p>
        </w:tc>
        <w:tc>
          <w:tcPr>
            <w:tcW w:w="708" w:type="dxa"/>
            <w:tcBorders>
              <w:left w:val="single" w:sz="12" w:space="0" w:color="auto"/>
              <w:bottom w:val="single" w:sz="12" w:space="0" w:color="auto"/>
              <w:right w:val="single" w:sz="12" w:space="0" w:color="auto"/>
            </w:tcBorders>
          </w:tcPr>
          <w:p w14:paraId="174918C7"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left w:val="single" w:sz="12" w:space="0" w:color="auto"/>
              <w:bottom w:val="single" w:sz="12" w:space="0" w:color="auto"/>
              <w:right w:val="single" w:sz="12" w:space="0" w:color="auto"/>
            </w:tcBorders>
          </w:tcPr>
          <w:p w14:paraId="6A48372C" w14:textId="77777777" w:rsidR="00AC2D9B" w:rsidRPr="00AC2D9B" w:rsidRDefault="00AC2D9B" w:rsidP="00576CB4">
            <w:pPr>
              <w:spacing w:after="0" w:line="240" w:lineRule="auto"/>
              <w:jc w:val="center"/>
              <w:rPr>
                <w:sz w:val="16"/>
                <w:szCs w:val="16"/>
              </w:rPr>
            </w:pPr>
            <w:r w:rsidRPr="00AC2D9B">
              <w:rPr>
                <w:sz w:val="16"/>
                <w:szCs w:val="16"/>
              </w:rPr>
              <w:t>No</w:t>
            </w:r>
          </w:p>
        </w:tc>
        <w:tc>
          <w:tcPr>
            <w:tcW w:w="1134" w:type="dxa"/>
            <w:tcBorders>
              <w:left w:val="single" w:sz="12" w:space="0" w:color="auto"/>
              <w:bottom w:val="single" w:sz="12" w:space="0" w:color="auto"/>
              <w:right w:val="single" w:sz="12" w:space="0" w:color="auto"/>
            </w:tcBorders>
          </w:tcPr>
          <w:p w14:paraId="6F798B9E" w14:textId="77777777" w:rsidR="00AC2D9B" w:rsidRPr="00AC2D9B" w:rsidRDefault="00AC2D9B" w:rsidP="00576CB4">
            <w:pPr>
              <w:spacing w:after="0" w:line="240" w:lineRule="auto"/>
              <w:jc w:val="center"/>
              <w:rPr>
                <w:sz w:val="16"/>
                <w:szCs w:val="16"/>
              </w:rPr>
            </w:pPr>
            <w:r w:rsidRPr="00AC2D9B">
              <w:rPr>
                <w:sz w:val="16"/>
                <w:szCs w:val="16"/>
              </w:rPr>
              <w:t>-</w:t>
            </w:r>
          </w:p>
        </w:tc>
        <w:tc>
          <w:tcPr>
            <w:tcW w:w="850" w:type="dxa"/>
            <w:tcBorders>
              <w:left w:val="single" w:sz="12" w:space="0" w:color="auto"/>
              <w:bottom w:val="single" w:sz="12" w:space="0" w:color="auto"/>
              <w:right w:val="single" w:sz="12" w:space="0" w:color="auto"/>
            </w:tcBorders>
          </w:tcPr>
          <w:p w14:paraId="24EE172C"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left w:val="single" w:sz="12" w:space="0" w:color="auto"/>
              <w:bottom w:val="single" w:sz="12" w:space="0" w:color="auto"/>
              <w:right w:val="single" w:sz="12" w:space="0" w:color="auto"/>
            </w:tcBorders>
          </w:tcPr>
          <w:p w14:paraId="5CFBC6AE"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left w:val="single" w:sz="12" w:space="0" w:color="auto"/>
              <w:bottom w:val="single" w:sz="12" w:space="0" w:color="auto"/>
              <w:right w:val="single" w:sz="12" w:space="0" w:color="auto"/>
            </w:tcBorders>
          </w:tcPr>
          <w:p w14:paraId="4201D6EE" w14:textId="77777777" w:rsidR="00AC2D9B" w:rsidRPr="00AC2D9B" w:rsidRDefault="00AC2D9B" w:rsidP="00576CB4">
            <w:pPr>
              <w:spacing w:after="0" w:line="240" w:lineRule="auto"/>
              <w:jc w:val="center"/>
              <w:rPr>
                <w:sz w:val="16"/>
                <w:szCs w:val="16"/>
              </w:rPr>
            </w:pPr>
            <w:r w:rsidRPr="00AC2D9B">
              <w:rPr>
                <w:sz w:val="16"/>
                <w:szCs w:val="16"/>
              </w:rPr>
              <w:t>Unknown</w:t>
            </w:r>
          </w:p>
        </w:tc>
      </w:tr>
      <w:tr w:rsidR="00AC2D9B" w:rsidRPr="00AC2D9B" w14:paraId="58CCB820" w14:textId="77777777" w:rsidTr="00576CB4">
        <w:tc>
          <w:tcPr>
            <w:tcW w:w="978" w:type="dxa"/>
            <w:vMerge w:val="restart"/>
            <w:tcBorders>
              <w:top w:val="single" w:sz="12" w:space="0" w:color="auto"/>
              <w:left w:val="single" w:sz="12" w:space="0" w:color="auto"/>
              <w:right w:val="single" w:sz="12" w:space="0" w:color="auto"/>
            </w:tcBorders>
          </w:tcPr>
          <w:p w14:paraId="06946319" w14:textId="77777777" w:rsidR="00AC2D9B" w:rsidRPr="00AC2D9B" w:rsidRDefault="00AC2D9B" w:rsidP="00576CB4">
            <w:pPr>
              <w:spacing w:after="0" w:line="240" w:lineRule="auto"/>
              <w:jc w:val="center"/>
              <w:rPr>
                <w:sz w:val="16"/>
                <w:szCs w:val="16"/>
              </w:rPr>
            </w:pPr>
            <w:r w:rsidRPr="00AC2D9B">
              <w:rPr>
                <w:sz w:val="16"/>
                <w:szCs w:val="16"/>
              </w:rPr>
              <w:t>OK</w:t>
            </w:r>
          </w:p>
        </w:tc>
        <w:tc>
          <w:tcPr>
            <w:tcW w:w="1275" w:type="dxa"/>
            <w:vMerge w:val="restart"/>
            <w:tcBorders>
              <w:top w:val="single" w:sz="12" w:space="0" w:color="auto"/>
              <w:left w:val="single" w:sz="12" w:space="0" w:color="auto"/>
              <w:right w:val="single" w:sz="12" w:space="0" w:color="auto"/>
            </w:tcBorders>
          </w:tcPr>
          <w:p w14:paraId="05AA6FB5" w14:textId="77777777" w:rsidR="00AC2D9B" w:rsidRPr="00AC2D9B" w:rsidRDefault="00AC2D9B" w:rsidP="00576CB4">
            <w:pPr>
              <w:spacing w:after="0" w:line="240" w:lineRule="auto"/>
              <w:jc w:val="center"/>
              <w:rPr>
                <w:sz w:val="16"/>
                <w:szCs w:val="16"/>
              </w:rPr>
            </w:pPr>
            <w:r w:rsidRPr="00AC2D9B">
              <w:rPr>
                <w:sz w:val="16"/>
                <w:szCs w:val="16"/>
              </w:rPr>
              <w:t>Hall Farmhouse</w:t>
            </w:r>
          </w:p>
        </w:tc>
        <w:tc>
          <w:tcPr>
            <w:tcW w:w="993" w:type="dxa"/>
            <w:tcBorders>
              <w:top w:val="single" w:sz="12" w:space="0" w:color="auto"/>
              <w:left w:val="single" w:sz="12" w:space="0" w:color="auto"/>
              <w:right w:val="single" w:sz="12" w:space="0" w:color="auto"/>
            </w:tcBorders>
          </w:tcPr>
          <w:p w14:paraId="768C1A03" w14:textId="77777777" w:rsidR="00AC2D9B" w:rsidRPr="00AC2D9B" w:rsidRDefault="00AC2D9B" w:rsidP="00576CB4">
            <w:pPr>
              <w:spacing w:after="0" w:line="240" w:lineRule="auto"/>
              <w:jc w:val="center"/>
              <w:rPr>
                <w:sz w:val="16"/>
                <w:szCs w:val="16"/>
              </w:rPr>
            </w:pPr>
            <w:r w:rsidRPr="00AC2D9B">
              <w:rPr>
                <w:sz w:val="16"/>
                <w:szCs w:val="16"/>
              </w:rPr>
              <w:t xml:space="preserve">R </w:t>
            </w:r>
            <w:r w:rsidRPr="00AC2D9B">
              <w:rPr>
                <w:sz w:val="16"/>
                <w:szCs w:val="16"/>
                <w:vertAlign w:val="superscript"/>
              </w:rPr>
              <w:t xml:space="preserve">G </w:t>
            </w:r>
            <w:r w:rsidRPr="00AC2D9B">
              <w:rPr>
                <w:sz w:val="16"/>
                <w:szCs w:val="16"/>
              </w:rPr>
              <w:t>D 1704</w:t>
            </w:r>
          </w:p>
        </w:tc>
        <w:tc>
          <w:tcPr>
            <w:tcW w:w="1134" w:type="dxa"/>
            <w:tcBorders>
              <w:top w:val="single" w:sz="12" w:space="0" w:color="auto"/>
              <w:left w:val="single" w:sz="12" w:space="0" w:color="auto"/>
              <w:right w:val="single" w:sz="12" w:space="0" w:color="auto"/>
            </w:tcBorders>
          </w:tcPr>
          <w:p w14:paraId="77CEEC2F" w14:textId="77777777" w:rsidR="00AC2D9B" w:rsidRPr="00AC2D9B" w:rsidRDefault="00AC2D9B" w:rsidP="00576CB4">
            <w:pPr>
              <w:spacing w:after="0" w:line="240" w:lineRule="auto"/>
              <w:jc w:val="center"/>
              <w:rPr>
                <w:sz w:val="16"/>
                <w:szCs w:val="16"/>
              </w:rPr>
            </w:pPr>
            <w:r w:rsidRPr="00AC2D9B">
              <w:rPr>
                <w:sz w:val="16"/>
                <w:szCs w:val="16"/>
              </w:rPr>
              <w:t>Façade, lintel</w:t>
            </w:r>
          </w:p>
        </w:tc>
        <w:tc>
          <w:tcPr>
            <w:tcW w:w="2126" w:type="dxa"/>
            <w:tcBorders>
              <w:top w:val="single" w:sz="12" w:space="0" w:color="auto"/>
              <w:left w:val="single" w:sz="12" w:space="0" w:color="auto"/>
              <w:right w:val="single" w:sz="12" w:space="0" w:color="auto"/>
            </w:tcBorders>
          </w:tcPr>
          <w:p w14:paraId="5847B418" w14:textId="77777777" w:rsidR="00AC2D9B" w:rsidRPr="00AC2D9B" w:rsidRDefault="00AC2D9B" w:rsidP="00576CB4">
            <w:pPr>
              <w:spacing w:after="0" w:line="240" w:lineRule="auto"/>
              <w:jc w:val="center"/>
              <w:rPr>
                <w:sz w:val="16"/>
                <w:szCs w:val="16"/>
              </w:rPr>
            </w:pPr>
            <w:r w:rsidRPr="00AC2D9B">
              <w:rPr>
                <w:sz w:val="16"/>
                <w:szCs w:val="16"/>
              </w:rPr>
              <w:t>Robert Gibson</w:t>
            </w:r>
          </w:p>
        </w:tc>
        <w:tc>
          <w:tcPr>
            <w:tcW w:w="1276" w:type="dxa"/>
            <w:tcBorders>
              <w:top w:val="single" w:sz="12" w:space="0" w:color="auto"/>
              <w:left w:val="single" w:sz="12" w:space="0" w:color="auto"/>
              <w:right w:val="single" w:sz="12" w:space="0" w:color="auto"/>
            </w:tcBorders>
          </w:tcPr>
          <w:p w14:paraId="51D4E1A5" w14:textId="77777777" w:rsidR="00AC2D9B" w:rsidRPr="00AC2D9B" w:rsidRDefault="00AC2D9B" w:rsidP="00576CB4">
            <w:pPr>
              <w:spacing w:after="0" w:line="240" w:lineRule="auto"/>
              <w:jc w:val="center"/>
              <w:rPr>
                <w:sz w:val="16"/>
                <w:szCs w:val="16"/>
              </w:rPr>
            </w:pPr>
            <w:r w:rsidRPr="00AC2D9B">
              <w:rPr>
                <w:sz w:val="16"/>
                <w:szCs w:val="16"/>
              </w:rPr>
              <w:t>Yeoman</w:t>
            </w:r>
          </w:p>
        </w:tc>
        <w:tc>
          <w:tcPr>
            <w:tcW w:w="708" w:type="dxa"/>
            <w:tcBorders>
              <w:top w:val="single" w:sz="12" w:space="0" w:color="auto"/>
              <w:left w:val="single" w:sz="12" w:space="0" w:color="auto"/>
              <w:right w:val="single" w:sz="12" w:space="0" w:color="auto"/>
            </w:tcBorders>
          </w:tcPr>
          <w:p w14:paraId="6EE16A7A" w14:textId="77777777" w:rsidR="00AC2D9B" w:rsidRPr="00AC2D9B" w:rsidRDefault="00AC2D9B" w:rsidP="00576CB4">
            <w:pPr>
              <w:spacing w:after="0" w:line="240" w:lineRule="auto"/>
              <w:jc w:val="center"/>
              <w:rPr>
                <w:sz w:val="16"/>
                <w:szCs w:val="16"/>
              </w:rPr>
            </w:pPr>
            <w:r w:rsidRPr="00AC2D9B">
              <w:rPr>
                <w:sz w:val="16"/>
                <w:szCs w:val="16"/>
              </w:rPr>
              <w:t>Yes</w:t>
            </w:r>
          </w:p>
        </w:tc>
        <w:tc>
          <w:tcPr>
            <w:tcW w:w="993" w:type="dxa"/>
            <w:tcBorders>
              <w:top w:val="single" w:sz="12" w:space="0" w:color="auto"/>
              <w:left w:val="single" w:sz="12" w:space="0" w:color="auto"/>
              <w:right w:val="single" w:sz="12" w:space="0" w:color="auto"/>
            </w:tcBorders>
          </w:tcPr>
          <w:p w14:paraId="58BECDF8" w14:textId="77777777" w:rsidR="00AC2D9B" w:rsidRPr="00AC2D9B" w:rsidRDefault="00AC2D9B" w:rsidP="00576CB4">
            <w:pPr>
              <w:spacing w:after="0" w:line="240" w:lineRule="auto"/>
              <w:jc w:val="center"/>
              <w:rPr>
                <w:sz w:val="16"/>
                <w:szCs w:val="16"/>
              </w:rPr>
            </w:pPr>
            <w:r w:rsidRPr="00AC2D9B">
              <w:rPr>
                <w:sz w:val="16"/>
                <w:szCs w:val="16"/>
              </w:rPr>
              <w:t>Yes</w:t>
            </w:r>
          </w:p>
        </w:tc>
        <w:tc>
          <w:tcPr>
            <w:tcW w:w="1134" w:type="dxa"/>
            <w:tcBorders>
              <w:top w:val="single" w:sz="12" w:space="0" w:color="auto"/>
              <w:left w:val="single" w:sz="12" w:space="0" w:color="auto"/>
              <w:right w:val="single" w:sz="12" w:space="0" w:color="auto"/>
            </w:tcBorders>
          </w:tcPr>
          <w:p w14:paraId="2AF0827B" w14:textId="77777777" w:rsidR="00AC2D9B" w:rsidRPr="00AC2D9B" w:rsidRDefault="00AC2D9B" w:rsidP="00576CB4">
            <w:pPr>
              <w:spacing w:after="0" w:line="240" w:lineRule="auto"/>
              <w:jc w:val="center"/>
              <w:rPr>
                <w:sz w:val="16"/>
                <w:szCs w:val="16"/>
              </w:rPr>
            </w:pPr>
            <w:r w:rsidRPr="00AC2D9B">
              <w:rPr>
                <w:sz w:val="16"/>
                <w:szCs w:val="16"/>
              </w:rPr>
              <w:t>£104 19s</w:t>
            </w:r>
          </w:p>
        </w:tc>
        <w:tc>
          <w:tcPr>
            <w:tcW w:w="850" w:type="dxa"/>
            <w:tcBorders>
              <w:top w:val="single" w:sz="12" w:space="0" w:color="auto"/>
              <w:left w:val="single" w:sz="12" w:space="0" w:color="auto"/>
              <w:right w:val="single" w:sz="12" w:space="0" w:color="auto"/>
            </w:tcBorders>
          </w:tcPr>
          <w:p w14:paraId="67CA64ED"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top w:val="single" w:sz="12" w:space="0" w:color="auto"/>
              <w:left w:val="single" w:sz="12" w:space="0" w:color="auto"/>
              <w:right w:val="single" w:sz="12" w:space="0" w:color="auto"/>
            </w:tcBorders>
          </w:tcPr>
          <w:p w14:paraId="5A8EB36F" w14:textId="77777777" w:rsidR="00AC2D9B" w:rsidRPr="00AC2D9B" w:rsidRDefault="00AC2D9B" w:rsidP="00576CB4">
            <w:pPr>
              <w:spacing w:after="0" w:line="240" w:lineRule="auto"/>
              <w:jc w:val="center"/>
              <w:rPr>
                <w:sz w:val="16"/>
                <w:szCs w:val="16"/>
              </w:rPr>
            </w:pPr>
            <w:r w:rsidRPr="00AC2D9B">
              <w:rPr>
                <w:sz w:val="16"/>
                <w:szCs w:val="16"/>
              </w:rPr>
              <w:t>£200</w:t>
            </w:r>
          </w:p>
        </w:tc>
        <w:tc>
          <w:tcPr>
            <w:tcW w:w="1469" w:type="dxa"/>
            <w:tcBorders>
              <w:top w:val="single" w:sz="12" w:space="0" w:color="auto"/>
              <w:left w:val="single" w:sz="12" w:space="0" w:color="auto"/>
              <w:right w:val="single" w:sz="12" w:space="0" w:color="auto"/>
            </w:tcBorders>
          </w:tcPr>
          <w:p w14:paraId="2F869346" w14:textId="77777777" w:rsidR="00AC2D9B" w:rsidRPr="00AC2D9B" w:rsidRDefault="00AC2D9B" w:rsidP="00576CB4">
            <w:pPr>
              <w:spacing w:after="0" w:line="240" w:lineRule="auto"/>
              <w:jc w:val="center"/>
              <w:rPr>
                <w:sz w:val="16"/>
                <w:szCs w:val="16"/>
              </w:rPr>
            </w:pPr>
            <w:r w:rsidRPr="00AC2D9B">
              <w:rPr>
                <w:sz w:val="16"/>
                <w:szCs w:val="16"/>
              </w:rPr>
              <w:t>Full signature</w:t>
            </w:r>
          </w:p>
        </w:tc>
      </w:tr>
      <w:tr w:rsidR="00AC2D9B" w:rsidRPr="00AC2D9B" w14:paraId="446EE2A4" w14:textId="77777777" w:rsidTr="00576CB4">
        <w:tc>
          <w:tcPr>
            <w:tcW w:w="978" w:type="dxa"/>
            <w:vMerge/>
            <w:tcBorders>
              <w:left w:val="single" w:sz="12" w:space="0" w:color="auto"/>
              <w:bottom w:val="single" w:sz="12" w:space="0" w:color="auto"/>
              <w:right w:val="single" w:sz="12" w:space="0" w:color="auto"/>
            </w:tcBorders>
          </w:tcPr>
          <w:p w14:paraId="40C07958" w14:textId="77777777" w:rsidR="00AC2D9B" w:rsidRPr="00AC2D9B" w:rsidRDefault="00AC2D9B" w:rsidP="00576CB4">
            <w:pPr>
              <w:spacing w:after="0" w:line="240" w:lineRule="auto"/>
              <w:jc w:val="center"/>
              <w:rPr>
                <w:sz w:val="16"/>
                <w:szCs w:val="16"/>
              </w:rPr>
            </w:pPr>
          </w:p>
        </w:tc>
        <w:tc>
          <w:tcPr>
            <w:tcW w:w="1275" w:type="dxa"/>
            <w:vMerge/>
            <w:tcBorders>
              <w:left w:val="single" w:sz="12" w:space="0" w:color="auto"/>
              <w:bottom w:val="single" w:sz="12" w:space="0" w:color="auto"/>
              <w:right w:val="single" w:sz="12" w:space="0" w:color="auto"/>
            </w:tcBorders>
          </w:tcPr>
          <w:p w14:paraId="32FBF704" w14:textId="77777777" w:rsidR="00AC2D9B" w:rsidRPr="00AC2D9B" w:rsidRDefault="00AC2D9B" w:rsidP="00576CB4">
            <w:pPr>
              <w:spacing w:after="0" w:line="240" w:lineRule="auto"/>
              <w:jc w:val="center"/>
              <w:rPr>
                <w:sz w:val="16"/>
                <w:szCs w:val="16"/>
              </w:rPr>
            </w:pPr>
          </w:p>
        </w:tc>
        <w:tc>
          <w:tcPr>
            <w:tcW w:w="993" w:type="dxa"/>
            <w:tcBorders>
              <w:left w:val="single" w:sz="12" w:space="0" w:color="auto"/>
              <w:bottom w:val="single" w:sz="12" w:space="0" w:color="auto"/>
              <w:right w:val="single" w:sz="12" w:space="0" w:color="auto"/>
            </w:tcBorders>
          </w:tcPr>
          <w:p w14:paraId="07402A53" w14:textId="77777777" w:rsidR="00AC2D9B" w:rsidRPr="00AC2D9B" w:rsidRDefault="00AC2D9B" w:rsidP="00576CB4">
            <w:pPr>
              <w:spacing w:after="0" w:line="240" w:lineRule="auto"/>
              <w:jc w:val="center"/>
              <w:rPr>
                <w:sz w:val="16"/>
                <w:szCs w:val="16"/>
              </w:rPr>
            </w:pPr>
            <w:r w:rsidRPr="00AC2D9B">
              <w:rPr>
                <w:sz w:val="16"/>
                <w:szCs w:val="16"/>
              </w:rPr>
              <w:t>RG DG 1715</w:t>
            </w:r>
          </w:p>
        </w:tc>
        <w:tc>
          <w:tcPr>
            <w:tcW w:w="1134" w:type="dxa"/>
            <w:tcBorders>
              <w:left w:val="single" w:sz="12" w:space="0" w:color="auto"/>
              <w:bottom w:val="single" w:sz="12" w:space="0" w:color="auto"/>
              <w:right w:val="single" w:sz="12" w:space="0" w:color="auto"/>
            </w:tcBorders>
          </w:tcPr>
          <w:p w14:paraId="43A46BC6" w14:textId="77777777" w:rsidR="00AC2D9B" w:rsidRPr="00AC2D9B" w:rsidRDefault="00AC2D9B" w:rsidP="00576CB4">
            <w:pPr>
              <w:spacing w:after="0" w:line="240" w:lineRule="auto"/>
              <w:jc w:val="center"/>
              <w:rPr>
                <w:sz w:val="16"/>
                <w:szCs w:val="16"/>
              </w:rPr>
            </w:pPr>
            <w:r w:rsidRPr="00AC2D9B">
              <w:rPr>
                <w:sz w:val="16"/>
                <w:szCs w:val="16"/>
              </w:rPr>
              <w:t>Interior, cupboard</w:t>
            </w:r>
          </w:p>
        </w:tc>
        <w:tc>
          <w:tcPr>
            <w:tcW w:w="2126" w:type="dxa"/>
            <w:tcBorders>
              <w:left w:val="single" w:sz="12" w:space="0" w:color="auto"/>
              <w:bottom w:val="single" w:sz="12" w:space="0" w:color="auto"/>
              <w:right w:val="single" w:sz="12" w:space="0" w:color="auto"/>
            </w:tcBorders>
          </w:tcPr>
          <w:p w14:paraId="15C7588F" w14:textId="77777777" w:rsidR="00AC2D9B" w:rsidRPr="00AC2D9B" w:rsidRDefault="00AC2D9B" w:rsidP="00576CB4">
            <w:pPr>
              <w:spacing w:after="0" w:line="240" w:lineRule="auto"/>
              <w:jc w:val="center"/>
              <w:rPr>
                <w:sz w:val="16"/>
                <w:szCs w:val="16"/>
              </w:rPr>
            </w:pPr>
            <w:r w:rsidRPr="00AC2D9B">
              <w:rPr>
                <w:sz w:val="16"/>
                <w:szCs w:val="16"/>
              </w:rPr>
              <w:t>Deborah Gibson</w:t>
            </w:r>
          </w:p>
        </w:tc>
        <w:tc>
          <w:tcPr>
            <w:tcW w:w="1276" w:type="dxa"/>
            <w:tcBorders>
              <w:left w:val="single" w:sz="12" w:space="0" w:color="auto"/>
              <w:bottom w:val="single" w:sz="12" w:space="0" w:color="auto"/>
              <w:right w:val="single" w:sz="12" w:space="0" w:color="auto"/>
            </w:tcBorders>
          </w:tcPr>
          <w:p w14:paraId="1B9D2052" w14:textId="77777777" w:rsidR="00AC2D9B" w:rsidRPr="00AC2D9B" w:rsidRDefault="00AC2D9B" w:rsidP="00576CB4">
            <w:pPr>
              <w:numPr>
                <w:ilvl w:val="0"/>
                <w:numId w:val="8"/>
              </w:numPr>
              <w:spacing w:after="0" w:line="240" w:lineRule="auto"/>
              <w:contextualSpacing/>
              <w:jc w:val="center"/>
              <w:rPr>
                <w:sz w:val="16"/>
                <w:szCs w:val="16"/>
              </w:rPr>
            </w:pPr>
          </w:p>
        </w:tc>
        <w:tc>
          <w:tcPr>
            <w:tcW w:w="708" w:type="dxa"/>
            <w:tcBorders>
              <w:left w:val="single" w:sz="12" w:space="0" w:color="auto"/>
              <w:bottom w:val="single" w:sz="12" w:space="0" w:color="auto"/>
              <w:right w:val="single" w:sz="12" w:space="0" w:color="auto"/>
            </w:tcBorders>
          </w:tcPr>
          <w:p w14:paraId="75EDB05E"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left w:val="single" w:sz="12" w:space="0" w:color="auto"/>
              <w:bottom w:val="single" w:sz="12" w:space="0" w:color="auto"/>
              <w:right w:val="single" w:sz="12" w:space="0" w:color="auto"/>
            </w:tcBorders>
          </w:tcPr>
          <w:p w14:paraId="3A940A66" w14:textId="77777777" w:rsidR="00AC2D9B" w:rsidRPr="00AC2D9B" w:rsidRDefault="00AC2D9B" w:rsidP="00576CB4">
            <w:pPr>
              <w:spacing w:after="0" w:line="240" w:lineRule="auto"/>
              <w:jc w:val="center"/>
              <w:rPr>
                <w:sz w:val="16"/>
                <w:szCs w:val="16"/>
              </w:rPr>
            </w:pPr>
            <w:r w:rsidRPr="00AC2D9B">
              <w:rPr>
                <w:sz w:val="16"/>
                <w:szCs w:val="16"/>
              </w:rPr>
              <w:t>No</w:t>
            </w:r>
          </w:p>
        </w:tc>
        <w:tc>
          <w:tcPr>
            <w:tcW w:w="1134" w:type="dxa"/>
            <w:tcBorders>
              <w:left w:val="single" w:sz="12" w:space="0" w:color="auto"/>
              <w:bottom w:val="single" w:sz="12" w:space="0" w:color="auto"/>
              <w:right w:val="single" w:sz="12" w:space="0" w:color="auto"/>
            </w:tcBorders>
          </w:tcPr>
          <w:p w14:paraId="5C5FB575" w14:textId="77777777" w:rsidR="00AC2D9B" w:rsidRPr="00AC2D9B" w:rsidRDefault="00AC2D9B" w:rsidP="00576CB4">
            <w:pPr>
              <w:spacing w:after="0" w:line="240" w:lineRule="auto"/>
              <w:jc w:val="center"/>
              <w:rPr>
                <w:sz w:val="16"/>
                <w:szCs w:val="16"/>
              </w:rPr>
            </w:pPr>
            <w:r w:rsidRPr="00AC2D9B">
              <w:rPr>
                <w:sz w:val="16"/>
                <w:szCs w:val="16"/>
              </w:rPr>
              <w:t>-</w:t>
            </w:r>
          </w:p>
        </w:tc>
        <w:tc>
          <w:tcPr>
            <w:tcW w:w="850" w:type="dxa"/>
            <w:tcBorders>
              <w:left w:val="single" w:sz="12" w:space="0" w:color="auto"/>
              <w:bottom w:val="single" w:sz="12" w:space="0" w:color="auto"/>
              <w:right w:val="single" w:sz="12" w:space="0" w:color="auto"/>
            </w:tcBorders>
          </w:tcPr>
          <w:p w14:paraId="5EC13181"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left w:val="single" w:sz="12" w:space="0" w:color="auto"/>
              <w:bottom w:val="single" w:sz="12" w:space="0" w:color="auto"/>
              <w:right w:val="single" w:sz="12" w:space="0" w:color="auto"/>
            </w:tcBorders>
          </w:tcPr>
          <w:p w14:paraId="34950033"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left w:val="single" w:sz="12" w:space="0" w:color="auto"/>
              <w:bottom w:val="single" w:sz="12" w:space="0" w:color="auto"/>
              <w:right w:val="single" w:sz="12" w:space="0" w:color="auto"/>
            </w:tcBorders>
          </w:tcPr>
          <w:p w14:paraId="5335724D" w14:textId="77777777" w:rsidR="00AC2D9B" w:rsidRPr="00AC2D9B" w:rsidRDefault="00AC2D9B" w:rsidP="00576CB4">
            <w:pPr>
              <w:spacing w:after="0" w:line="240" w:lineRule="auto"/>
              <w:jc w:val="center"/>
              <w:rPr>
                <w:sz w:val="16"/>
                <w:szCs w:val="16"/>
              </w:rPr>
            </w:pPr>
            <w:r w:rsidRPr="00AC2D9B">
              <w:rPr>
                <w:sz w:val="16"/>
                <w:szCs w:val="16"/>
              </w:rPr>
              <w:t>Unknown</w:t>
            </w:r>
          </w:p>
        </w:tc>
      </w:tr>
      <w:tr w:rsidR="00AC2D9B" w:rsidRPr="00AC2D9B" w14:paraId="2090F3B9" w14:textId="77777777" w:rsidTr="00576CB4">
        <w:tc>
          <w:tcPr>
            <w:tcW w:w="978" w:type="dxa"/>
            <w:tcBorders>
              <w:top w:val="single" w:sz="12" w:space="0" w:color="auto"/>
              <w:left w:val="single" w:sz="12" w:space="0" w:color="auto"/>
              <w:bottom w:val="single" w:sz="12" w:space="0" w:color="auto"/>
              <w:right w:val="single" w:sz="12" w:space="0" w:color="auto"/>
            </w:tcBorders>
          </w:tcPr>
          <w:p w14:paraId="6CF99248" w14:textId="77777777" w:rsidR="00AC2D9B" w:rsidRPr="00AC2D9B" w:rsidRDefault="00AC2D9B" w:rsidP="00576CB4">
            <w:pPr>
              <w:spacing w:after="0" w:line="240" w:lineRule="auto"/>
              <w:jc w:val="center"/>
              <w:rPr>
                <w:sz w:val="16"/>
                <w:szCs w:val="16"/>
              </w:rPr>
            </w:pPr>
            <w:r w:rsidRPr="00AC2D9B">
              <w:rPr>
                <w:sz w:val="16"/>
                <w:szCs w:val="16"/>
              </w:rPr>
              <w:t>OK</w:t>
            </w:r>
          </w:p>
        </w:tc>
        <w:tc>
          <w:tcPr>
            <w:tcW w:w="1275" w:type="dxa"/>
            <w:tcBorders>
              <w:top w:val="single" w:sz="12" w:space="0" w:color="auto"/>
              <w:left w:val="single" w:sz="12" w:space="0" w:color="auto"/>
              <w:bottom w:val="single" w:sz="12" w:space="0" w:color="auto"/>
              <w:right w:val="single" w:sz="12" w:space="0" w:color="auto"/>
            </w:tcBorders>
          </w:tcPr>
          <w:p w14:paraId="3D6DB2CB" w14:textId="77777777" w:rsidR="00AC2D9B" w:rsidRPr="00AC2D9B" w:rsidRDefault="00AC2D9B" w:rsidP="00576CB4">
            <w:pPr>
              <w:spacing w:after="0" w:line="240" w:lineRule="auto"/>
              <w:jc w:val="center"/>
              <w:rPr>
                <w:sz w:val="16"/>
                <w:szCs w:val="16"/>
              </w:rPr>
            </w:pPr>
            <w:r w:rsidRPr="00AC2D9B">
              <w:rPr>
                <w:sz w:val="16"/>
                <w:szCs w:val="16"/>
              </w:rPr>
              <w:t>Old Hall</w:t>
            </w:r>
          </w:p>
        </w:tc>
        <w:tc>
          <w:tcPr>
            <w:tcW w:w="993" w:type="dxa"/>
            <w:tcBorders>
              <w:top w:val="single" w:sz="12" w:space="0" w:color="auto"/>
              <w:left w:val="single" w:sz="12" w:space="0" w:color="auto"/>
              <w:bottom w:val="single" w:sz="12" w:space="0" w:color="auto"/>
              <w:right w:val="single" w:sz="12" w:space="0" w:color="auto"/>
            </w:tcBorders>
          </w:tcPr>
          <w:p w14:paraId="3470D91C" w14:textId="77777777" w:rsidR="00AC2D9B" w:rsidRPr="00AC2D9B" w:rsidRDefault="00AC2D9B" w:rsidP="00576CB4">
            <w:pPr>
              <w:spacing w:after="0" w:line="240" w:lineRule="auto"/>
              <w:jc w:val="center"/>
              <w:rPr>
                <w:sz w:val="16"/>
                <w:szCs w:val="16"/>
              </w:rPr>
            </w:pPr>
            <w:r w:rsidRPr="00AC2D9B">
              <w:rPr>
                <w:sz w:val="16"/>
                <w:szCs w:val="16"/>
              </w:rPr>
              <w:t xml:space="preserve">W </w:t>
            </w:r>
            <w:r w:rsidRPr="00AC2D9B">
              <w:rPr>
                <w:sz w:val="16"/>
                <w:szCs w:val="16"/>
                <w:vertAlign w:val="superscript"/>
              </w:rPr>
              <w:t>C</w:t>
            </w:r>
            <w:r w:rsidRPr="00AC2D9B">
              <w:rPr>
                <w:sz w:val="16"/>
                <w:szCs w:val="16"/>
              </w:rPr>
              <w:t xml:space="preserve"> 1715</w:t>
            </w:r>
          </w:p>
        </w:tc>
        <w:tc>
          <w:tcPr>
            <w:tcW w:w="1134" w:type="dxa"/>
            <w:tcBorders>
              <w:top w:val="single" w:sz="12" w:space="0" w:color="auto"/>
              <w:left w:val="single" w:sz="12" w:space="0" w:color="auto"/>
              <w:bottom w:val="single" w:sz="12" w:space="0" w:color="auto"/>
              <w:right w:val="single" w:sz="12" w:space="0" w:color="auto"/>
            </w:tcBorders>
          </w:tcPr>
          <w:p w14:paraId="6845C5F6" w14:textId="77777777" w:rsidR="00AC2D9B" w:rsidRPr="00AC2D9B" w:rsidRDefault="00AC2D9B" w:rsidP="00576CB4">
            <w:pPr>
              <w:spacing w:after="0" w:line="240" w:lineRule="auto"/>
              <w:jc w:val="center"/>
              <w:rPr>
                <w:sz w:val="16"/>
                <w:szCs w:val="16"/>
              </w:rPr>
            </w:pPr>
            <w:r w:rsidRPr="00AC2D9B">
              <w:rPr>
                <w:sz w:val="16"/>
                <w:szCs w:val="16"/>
              </w:rPr>
              <w:t>Façade, lintel</w:t>
            </w:r>
          </w:p>
        </w:tc>
        <w:tc>
          <w:tcPr>
            <w:tcW w:w="2126" w:type="dxa"/>
            <w:tcBorders>
              <w:top w:val="single" w:sz="12" w:space="0" w:color="auto"/>
              <w:left w:val="single" w:sz="12" w:space="0" w:color="auto"/>
              <w:bottom w:val="single" w:sz="12" w:space="0" w:color="auto"/>
              <w:right w:val="single" w:sz="12" w:space="0" w:color="auto"/>
            </w:tcBorders>
          </w:tcPr>
          <w:p w14:paraId="57C85072" w14:textId="77777777" w:rsidR="00AC2D9B" w:rsidRPr="00AC2D9B" w:rsidRDefault="00AC2D9B" w:rsidP="00576CB4">
            <w:pPr>
              <w:spacing w:after="0" w:line="240" w:lineRule="auto"/>
              <w:jc w:val="center"/>
              <w:rPr>
                <w:sz w:val="16"/>
                <w:szCs w:val="16"/>
              </w:rPr>
            </w:pPr>
            <w:r w:rsidRPr="00AC2D9B">
              <w:rPr>
                <w:sz w:val="16"/>
                <w:szCs w:val="16"/>
              </w:rPr>
              <w:t>Walter Cocke</w:t>
            </w:r>
          </w:p>
        </w:tc>
        <w:tc>
          <w:tcPr>
            <w:tcW w:w="1276" w:type="dxa"/>
            <w:tcBorders>
              <w:top w:val="single" w:sz="12" w:space="0" w:color="auto"/>
              <w:left w:val="single" w:sz="12" w:space="0" w:color="auto"/>
              <w:bottom w:val="single" w:sz="12" w:space="0" w:color="auto"/>
              <w:right w:val="single" w:sz="12" w:space="0" w:color="auto"/>
            </w:tcBorders>
          </w:tcPr>
          <w:p w14:paraId="3AC31CB3" w14:textId="77777777" w:rsidR="00AC2D9B" w:rsidRPr="00AC2D9B" w:rsidRDefault="00AC2D9B" w:rsidP="00576CB4">
            <w:pPr>
              <w:spacing w:after="0" w:line="240" w:lineRule="auto"/>
              <w:jc w:val="center"/>
              <w:rPr>
                <w:sz w:val="16"/>
                <w:szCs w:val="16"/>
              </w:rPr>
            </w:pPr>
            <w:r w:rsidRPr="00AC2D9B">
              <w:rPr>
                <w:sz w:val="16"/>
                <w:szCs w:val="16"/>
              </w:rPr>
              <w:t>Tradesman (Carpenter)</w:t>
            </w:r>
          </w:p>
        </w:tc>
        <w:tc>
          <w:tcPr>
            <w:tcW w:w="708" w:type="dxa"/>
            <w:tcBorders>
              <w:top w:val="single" w:sz="12" w:space="0" w:color="auto"/>
              <w:left w:val="single" w:sz="12" w:space="0" w:color="auto"/>
              <w:bottom w:val="single" w:sz="12" w:space="0" w:color="auto"/>
              <w:right w:val="single" w:sz="12" w:space="0" w:color="auto"/>
            </w:tcBorders>
          </w:tcPr>
          <w:p w14:paraId="6A30DF75" w14:textId="77777777" w:rsidR="00AC2D9B" w:rsidRPr="00AC2D9B" w:rsidRDefault="00AC2D9B" w:rsidP="00576CB4">
            <w:pPr>
              <w:spacing w:after="0" w:line="240" w:lineRule="auto"/>
              <w:jc w:val="center"/>
              <w:rPr>
                <w:sz w:val="16"/>
                <w:szCs w:val="16"/>
              </w:rPr>
            </w:pPr>
            <w:r w:rsidRPr="00AC2D9B">
              <w:rPr>
                <w:sz w:val="16"/>
                <w:szCs w:val="16"/>
              </w:rPr>
              <w:t>Yes</w:t>
            </w:r>
          </w:p>
        </w:tc>
        <w:tc>
          <w:tcPr>
            <w:tcW w:w="993" w:type="dxa"/>
            <w:tcBorders>
              <w:top w:val="single" w:sz="12" w:space="0" w:color="auto"/>
              <w:left w:val="single" w:sz="12" w:space="0" w:color="auto"/>
              <w:bottom w:val="single" w:sz="12" w:space="0" w:color="auto"/>
              <w:right w:val="single" w:sz="12" w:space="0" w:color="auto"/>
            </w:tcBorders>
          </w:tcPr>
          <w:p w14:paraId="6FF982F0" w14:textId="77777777" w:rsidR="00AC2D9B" w:rsidRPr="00AC2D9B" w:rsidRDefault="00AC2D9B" w:rsidP="00576CB4">
            <w:pPr>
              <w:spacing w:after="0" w:line="240" w:lineRule="auto"/>
              <w:jc w:val="center"/>
              <w:rPr>
                <w:sz w:val="16"/>
                <w:szCs w:val="16"/>
              </w:rPr>
            </w:pPr>
            <w:r w:rsidRPr="00AC2D9B">
              <w:rPr>
                <w:sz w:val="16"/>
                <w:szCs w:val="16"/>
              </w:rPr>
              <w:t>No</w:t>
            </w:r>
          </w:p>
        </w:tc>
        <w:tc>
          <w:tcPr>
            <w:tcW w:w="1134" w:type="dxa"/>
            <w:tcBorders>
              <w:top w:val="single" w:sz="12" w:space="0" w:color="auto"/>
              <w:left w:val="single" w:sz="12" w:space="0" w:color="auto"/>
              <w:bottom w:val="single" w:sz="12" w:space="0" w:color="auto"/>
              <w:right w:val="single" w:sz="12" w:space="0" w:color="auto"/>
            </w:tcBorders>
          </w:tcPr>
          <w:p w14:paraId="52211F8E" w14:textId="77777777" w:rsidR="00AC2D9B" w:rsidRPr="00AC2D9B" w:rsidRDefault="00AC2D9B" w:rsidP="00576CB4">
            <w:pPr>
              <w:spacing w:after="0" w:line="240" w:lineRule="auto"/>
              <w:jc w:val="center"/>
              <w:rPr>
                <w:sz w:val="16"/>
                <w:szCs w:val="16"/>
              </w:rPr>
            </w:pPr>
            <w:r w:rsidRPr="00AC2D9B">
              <w:rPr>
                <w:sz w:val="16"/>
                <w:szCs w:val="16"/>
              </w:rPr>
              <w:t>-</w:t>
            </w:r>
          </w:p>
        </w:tc>
        <w:tc>
          <w:tcPr>
            <w:tcW w:w="850" w:type="dxa"/>
            <w:tcBorders>
              <w:top w:val="single" w:sz="12" w:space="0" w:color="auto"/>
              <w:left w:val="single" w:sz="12" w:space="0" w:color="auto"/>
              <w:bottom w:val="single" w:sz="12" w:space="0" w:color="auto"/>
              <w:right w:val="single" w:sz="12" w:space="0" w:color="auto"/>
            </w:tcBorders>
          </w:tcPr>
          <w:p w14:paraId="5BC479DA"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top w:val="single" w:sz="12" w:space="0" w:color="auto"/>
              <w:left w:val="single" w:sz="12" w:space="0" w:color="auto"/>
              <w:bottom w:val="single" w:sz="12" w:space="0" w:color="auto"/>
              <w:right w:val="single" w:sz="12" w:space="0" w:color="auto"/>
            </w:tcBorders>
          </w:tcPr>
          <w:p w14:paraId="1B839649" w14:textId="77777777" w:rsidR="00AC2D9B" w:rsidRPr="00AC2D9B" w:rsidRDefault="00AC2D9B" w:rsidP="00576CB4">
            <w:pPr>
              <w:spacing w:after="0" w:line="240" w:lineRule="auto"/>
              <w:jc w:val="center"/>
              <w:rPr>
                <w:sz w:val="16"/>
                <w:szCs w:val="16"/>
              </w:rPr>
            </w:pPr>
            <w:r w:rsidRPr="00AC2D9B">
              <w:rPr>
                <w:sz w:val="16"/>
                <w:szCs w:val="16"/>
              </w:rPr>
              <w:t>£180 5s</w:t>
            </w:r>
          </w:p>
        </w:tc>
        <w:tc>
          <w:tcPr>
            <w:tcW w:w="1469" w:type="dxa"/>
            <w:tcBorders>
              <w:top w:val="single" w:sz="12" w:space="0" w:color="auto"/>
              <w:left w:val="single" w:sz="12" w:space="0" w:color="auto"/>
              <w:bottom w:val="single" w:sz="12" w:space="0" w:color="auto"/>
              <w:right w:val="single" w:sz="12" w:space="0" w:color="auto"/>
            </w:tcBorders>
          </w:tcPr>
          <w:p w14:paraId="22292C30" w14:textId="77777777" w:rsidR="00AC2D9B" w:rsidRPr="00AC2D9B" w:rsidRDefault="00AC2D9B" w:rsidP="00576CB4">
            <w:pPr>
              <w:spacing w:after="0" w:line="240" w:lineRule="auto"/>
              <w:jc w:val="center"/>
              <w:rPr>
                <w:sz w:val="16"/>
                <w:szCs w:val="16"/>
              </w:rPr>
            </w:pPr>
            <w:r w:rsidRPr="00AC2D9B">
              <w:rPr>
                <w:sz w:val="16"/>
                <w:szCs w:val="16"/>
              </w:rPr>
              <w:t>Full signature</w:t>
            </w:r>
          </w:p>
        </w:tc>
      </w:tr>
      <w:tr w:rsidR="00AC2D9B" w:rsidRPr="00AC2D9B" w14:paraId="493D1973" w14:textId="77777777" w:rsidTr="00576CB4">
        <w:tc>
          <w:tcPr>
            <w:tcW w:w="978" w:type="dxa"/>
            <w:vMerge w:val="restart"/>
            <w:tcBorders>
              <w:top w:val="single" w:sz="12" w:space="0" w:color="auto"/>
              <w:left w:val="single" w:sz="12" w:space="0" w:color="auto"/>
              <w:right w:val="single" w:sz="12" w:space="0" w:color="auto"/>
            </w:tcBorders>
          </w:tcPr>
          <w:p w14:paraId="73E2C237" w14:textId="77777777" w:rsidR="00AC2D9B" w:rsidRPr="00AC2D9B" w:rsidRDefault="00AC2D9B" w:rsidP="00576CB4">
            <w:pPr>
              <w:spacing w:after="0" w:line="240" w:lineRule="auto"/>
              <w:jc w:val="center"/>
              <w:rPr>
                <w:sz w:val="16"/>
                <w:szCs w:val="16"/>
              </w:rPr>
            </w:pPr>
            <w:proofErr w:type="spellStart"/>
            <w:r w:rsidRPr="00AC2D9B">
              <w:rPr>
                <w:sz w:val="16"/>
                <w:szCs w:val="16"/>
              </w:rPr>
              <w:t>SwH</w:t>
            </w:r>
            <w:proofErr w:type="spellEnd"/>
          </w:p>
        </w:tc>
        <w:tc>
          <w:tcPr>
            <w:tcW w:w="1275" w:type="dxa"/>
            <w:vMerge w:val="restart"/>
            <w:tcBorders>
              <w:top w:val="single" w:sz="12" w:space="0" w:color="auto"/>
              <w:left w:val="single" w:sz="12" w:space="0" w:color="auto"/>
              <w:right w:val="single" w:sz="12" w:space="0" w:color="auto"/>
            </w:tcBorders>
          </w:tcPr>
          <w:p w14:paraId="5D41B928" w14:textId="77777777" w:rsidR="00AC2D9B" w:rsidRPr="00AC2D9B" w:rsidRDefault="00AC2D9B" w:rsidP="00576CB4">
            <w:pPr>
              <w:spacing w:after="0" w:line="240" w:lineRule="auto"/>
              <w:jc w:val="center"/>
              <w:rPr>
                <w:sz w:val="16"/>
                <w:szCs w:val="16"/>
              </w:rPr>
            </w:pPr>
            <w:r w:rsidRPr="00AC2D9B">
              <w:rPr>
                <w:sz w:val="16"/>
                <w:szCs w:val="16"/>
              </w:rPr>
              <w:t>The Malthouse</w:t>
            </w:r>
          </w:p>
        </w:tc>
        <w:tc>
          <w:tcPr>
            <w:tcW w:w="993" w:type="dxa"/>
            <w:vMerge w:val="restart"/>
            <w:tcBorders>
              <w:top w:val="single" w:sz="12" w:space="0" w:color="auto"/>
              <w:left w:val="single" w:sz="12" w:space="0" w:color="auto"/>
              <w:right w:val="single" w:sz="12" w:space="0" w:color="auto"/>
            </w:tcBorders>
          </w:tcPr>
          <w:p w14:paraId="3D691311" w14:textId="77777777" w:rsidR="00AC2D9B" w:rsidRPr="00AC2D9B" w:rsidRDefault="00AC2D9B" w:rsidP="00576CB4">
            <w:pPr>
              <w:spacing w:after="0" w:line="240" w:lineRule="auto"/>
              <w:jc w:val="center"/>
              <w:rPr>
                <w:sz w:val="16"/>
                <w:szCs w:val="16"/>
              </w:rPr>
            </w:pPr>
            <w:r w:rsidRPr="00AC2D9B">
              <w:rPr>
                <w:sz w:val="16"/>
                <w:szCs w:val="16"/>
              </w:rPr>
              <w:t xml:space="preserve">M </w:t>
            </w:r>
            <w:r w:rsidRPr="00AC2D9B">
              <w:rPr>
                <w:sz w:val="16"/>
                <w:szCs w:val="16"/>
                <w:vertAlign w:val="superscript"/>
              </w:rPr>
              <w:t xml:space="preserve">R </w:t>
            </w:r>
            <w:r w:rsidRPr="00AC2D9B">
              <w:rPr>
                <w:sz w:val="16"/>
                <w:szCs w:val="16"/>
              </w:rPr>
              <w:t>A 1750</w:t>
            </w:r>
          </w:p>
        </w:tc>
        <w:tc>
          <w:tcPr>
            <w:tcW w:w="1134" w:type="dxa"/>
            <w:vMerge w:val="restart"/>
            <w:tcBorders>
              <w:top w:val="single" w:sz="12" w:space="0" w:color="auto"/>
              <w:left w:val="single" w:sz="12" w:space="0" w:color="auto"/>
              <w:right w:val="single" w:sz="12" w:space="0" w:color="auto"/>
            </w:tcBorders>
          </w:tcPr>
          <w:p w14:paraId="030D3D5C" w14:textId="77777777" w:rsidR="00AC2D9B" w:rsidRPr="00AC2D9B" w:rsidRDefault="00AC2D9B" w:rsidP="00576CB4">
            <w:pPr>
              <w:spacing w:after="0" w:line="240" w:lineRule="auto"/>
              <w:jc w:val="center"/>
              <w:rPr>
                <w:sz w:val="16"/>
                <w:szCs w:val="16"/>
              </w:rPr>
            </w:pPr>
            <w:r w:rsidRPr="00AC2D9B">
              <w:rPr>
                <w:sz w:val="16"/>
                <w:szCs w:val="16"/>
              </w:rPr>
              <w:t>Façade, datestone</w:t>
            </w:r>
          </w:p>
        </w:tc>
        <w:tc>
          <w:tcPr>
            <w:tcW w:w="2126" w:type="dxa"/>
            <w:tcBorders>
              <w:top w:val="single" w:sz="12" w:space="0" w:color="auto"/>
              <w:left w:val="single" w:sz="12" w:space="0" w:color="auto"/>
              <w:right w:val="single" w:sz="12" w:space="0" w:color="auto"/>
            </w:tcBorders>
          </w:tcPr>
          <w:p w14:paraId="2DF79F28" w14:textId="77777777" w:rsidR="00AC2D9B" w:rsidRPr="00AC2D9B" w:rsidRDefault="00AC2D9B" w:rsidP="00576CB4">
            <w:pPr>
              <w:spacing w:after="0" w:line="240" w:lineRule="auto"/>
              <w:jc w:val="center"/>
              <w:rPr>
                <w:sz w:val="16"/>
                <w:szCs w:val="16"/>
              </w:rPr>
            </w:pPr>
            <w:r w:rsidRPr="00AC2D9B">
              <w:rPr>
                <w:sz w:val="16"/>
                <w:szCs w:val="16"/>
              </w:rPr>
              <w:t>Matthew Redhead</w:t>
            </w:r>
          </w:p>
        </w:tc>
        <w:tc>
          <w:tcPr>
            <w:tcW w:w="1276" w:type="dxa"/>
            <w:tcBorders>
              <w:top w:val="single" w:sz="12" w:space="0" w:color="auto"/>
              <w:left w:val="single" w:sz="12" w:space="0" w:color="auto"/>
              <w:right w:val="single" w:sz="12" w:space="0" w:color="auto"/>
            </w:tcBorders>
          </w:tcPr>
          <w:p w14:paraId="0FA185DF" w14:textId="77777777" w:rsidR="00AC2D9B" w:rsidRPr="00AC2D9B" w:rsidRDefault="00AC2D9B" w:rsidP="00576CB4">
            <w:pPr>
              <w:spacing w:after="0" w:line="240" w:lineRule="auto"/>
              <w:jc w:val="center"/>
              <w:rPr>
                <w:sz w:val="16"/>
                <w:szCs w:val="16"/>
              </w:rPr>
            </w:pPr>
            <w:r w:rsidRPr="00AC2D9B">
              <w:rPr>
                <w:sz w:val="16"/>
                <w:szCs w:val="16"/>
              </w:rPr>
              <w:t>Unknown</w:t>
            </w:r>
          </w:p>
        </w:tc>
        <w:tc>
          <w:tcPr>
            <w:tcW w:w="708" w:type="dxa"/>
            <w:tcBorders>
              <w:top w:val="single" w:sz="12" w:space="0" w:color="auto"/>
              <w:left w:val="single" w:sz="12" w:space="0" w:color="auto"/>
              <w:right w:val="single" w:sz="12" w:space="0" w:color="auto"/>
            </w:tcBorders>
          </w:tcPr>
          <w:p w14:paraId="4299794E"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top w:val="single" w:sz="12" w:space="0" w:color="auto"/>
              <w:left w:val="single" w:sz="12" w:space="0" w:color="auto"/>
              <w:right w:val="single" w:sz="12" w:space="0" w:color="auto"/>
            </w:tcBorders>
          </w:tcPr>
          <w:p w14:paraId="14CF6F25" w14:textId="77777777" w:rsidR="00AC2D9B" w:rsidRPr="00AC2D9B" w:rsidRDefault="00AC2D9B" w:rsidP="00576CB4">
            <w:pPr>
              <w:spacing w:after="0" w:line="240" w:lineRule="auto"/>
              <w:jc w:val="center"/>
              <w:rPr>
                <w:sz w:val="16"/>
                <w:szCs w:val="16"/>
              </w:rPr>
            </w:pPr>
            <w:r w:rsidRPr="00AC2D9B">
              <w:rPr>
                <w:sz w:val="16"/>
                <w:szCs w:val="16"/>
              </w:rPr>
              <w:t>No</w:t>
            </w:r>
          </w:p>
        </w:tc>
        <w:tc>
          <w:tcPr>
            <w:tcW w:w="1134" w:type="dxa"/>
            <w:tcBorders>
              <w:top w:val="single" w:sz="12" w:space="0" w:color="auto"/>
              <w:left w:val="single" w:sz="12" w:space="0" w:color="auto"/>
              <w:right w:val="single" w:sz="12" w:space="0" w:color="auto"/>
            </w:tcBorders>
          </w:tcPr>
          <w:p w14:paraId="74E78EB1" w14:textId="77777777" w:rsidR="00AC2D9B" w:rsidRPr="00AC2D9B" w:rsidRDefault="00AC2D9B" w:rsidP="00576CB4">
            <w:pPr>
              <w:spacing w:after="0" w:line="240" w:lineRule="auto"/>
              <w:jc w:val="center"/>
              <w:rPr>
                <w:sz w:val="16"/>
                <w:szCs w:val="16"/>
              </w:rPr>
            </w:pPr>
            <w:r w:rsidRPr="00AC2D9B">
              <w:rPr>
                <w:sz w:val="16"/>
                <w:szCs w:val="16"/>
              </w:rPr>
              <w:t>-</w:t>
            </w:r>
          </w:p>
        </w:tc>
        <w:tc>
          <w:tcPr>
            <w:tcW w:w="850" w:type="dxa"/>
            <w:tcBorders>
              <w:top w:val="single" w:sz="12" w:space="0" w:color="auto"/>
              <w:left w:val="single" w:sz="12" w:space="0" w:color="auto"/>
              <w:right w:val="single" w:sz="12" w:space="0" w:color="auto"/>
            </w:tcBorders>
          </w:tcPr>
          <w:p w14:paraId="725A1B9A"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top w:val="single" w:sz="12" w:space="0" w:color="auto"/>
              <w:left w:val="single" w:sz="12" w:space="0" w:color="auto"/>
              <w:right w:val="single" w:sz="12" w:space="0" w:color="auto"/>
            </w:tcBorders>
          </w:tcPr>
          <w:p w14:paraId="05E1D42A"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top w:val="single" w:sz="12" w:space="0" w:color="auto"/>
              <w:left w:val="single" w:sz="12" w:space="0" w:color="auto"/>
              <w:right w:val="single" w:sz="12" w:space="0" w:color="auto"/>
            </w:tcBorders>
          </w:tcPr>
          <w:p w14:paraId="4395146B" w14:textId="77777777" w:rsidR="00AC2D9B" w:rsidRPr="00AC2D9B" w:rsidRDefault="00AC2D9B" w:rsidP="00576CB4">
            <w:pPr>
              <w:spacing w:after="0" w:line="240" w:lineRule="auto"/>
              <w:jc w:val="center"/>
              <w:rPr>
                <w:sz w:val="16"/>
                <w:szCs w:val="16"/>
              </w:rPr>
            </w:pPr>
            <w:r w:rsidRPr="00AC2D9B">
              <w:rPr>
                <w:sz w:val="16"/>
                <w:szCs w:val="16"/>
              </w:rPr>
              <w:t>Unknown</w:t>
            </w:r>
          </w:p>
        </w:tc>
      </w:tr>
      <w:tr w:rsidR="00AC2D9B" w:rsidRPr="00AC2D9B" w14:paraId="1F370A6B" w14:textId="77777777" w:rsidTr="00576CB4">
        <w:tc>
          <w:tcPr>
            <w:tcW w:w="978" w:type="dxa"/>
            <w:vMerge/>
            <w:tcBorders>
              <w:left w:val="single" w:sz="12" w:space="0" w:color="auto"/>
              <w:bottom w:val="single" w:sz="12" w:space="0" w:color="auto"/>
              <w:right w:val="single" w:sz="12" w:space="0" w:color="auto"/>
            </w:tcBorders>
          </w:tcPr>
          <w:p w14:paraId="48061CAE" w14:textId="77777777" w:rsidR="00AC2D9B" w:rsidRPr="00AC2D9B" w:rsidRDefault="00AC2D9B" w:rsidP="00576CB4">
            <w:pPr>
              <w:spacing w:after="0" w:line="240" w:lineRule="auto"/>
              <w:jc w:val="center"/>
              <w:rPr>
                <w:sz w:val="16"/>
                <w:szCs w:val="16"/>
              </w:rPr>
            </w:pPr>
          </w:p>
        </w:tc>
        <w:tc>
          <w:tcPr>
            <w:tcW w:w="1275" w:type="dxa"/>
            <w:vMerge/>
            <w:tcBorders>
              <w:left w:val="single" w:sz="12" w:space="0" w:color="auto"/>
              <w:bottom w:val="single" w:sz="12" w:space="0" w:color="auto"/>
              <w:right w:val="single" w:sz="12" w:space="0" w:color="auto"/>
            </w:tcBorders>
          </w:tcPr>
          <w:p w14:paraId="2D871920" w14:textId="77777777" w:rsidR="00AC2D9B" w:rsidRPr="00AC2D9B" w:rsidRDefault="00AC2D9B" w:rsidP="00576CB4">
            <w:pPr>
              <w:spacing w:after="0" w:line="240" w:lineRule="auto"/>
              <w:jc w:val="center"/>
              <w:rPr>
                <w:sz w:val="16"/>
                <w:szCs w:val="16"/>
              </w:rPr>
            </w:pPr>
          </w:p>
        </w:tc>
        <w:tc>
          <w:tcPr>
            <w:tcW w:w="993" w:type="dxa"/>
            <w:vMerge/>
            <w:tcBorders>
              <w:left w:val="single" w:sz="12" w:space="0" w:color="auto"/>
              <w:bottom w:val="single" w:sz="12" w:space="0" w:color="auto"/>
              <w:right w:val="single" w:sz="12" w:space="0" w:color="auto"/>
            </w:tcBorders>
          </w:tcPr>
          <w:p w14:paraId="32DBB944" w14:textId="77777777" w:rsidR="00AC2D9B" w:rsidRPr="00AC2D9B" w:rsidRDefault="00AC2D9B"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325F3AF9" w14:textId="77777777" w:rsidR="00AC2D9B" w:rsidRPr="00AC2D9B" w:rsidRDefault="00AC2D9B" w:rsidP="00576CB4">
            <w:pPr>
              <w:spacing w:after="0" w:line="240" w:lineRule="auto"/>
              <w:jc w:val="center"/>
              <w:rPr>
                <w:sz w:val="16"/>
                <w:szCs w:val="16"/>
              </w:rPr>
            </w:pPr>
          </w:p>
        </w:tc>
        <w:tc>
          <w:tcPr>
            <w:tcW w:w="2126" w:type="dxa"/>
            <w:tcBorders>
              <w:left w:val="single" w:sz="12" w:space="0" w:color="auto"/>
              <w:bottom w:val="single" w:sz="12" w:space="0" w:color="auto"/>
              <w:right w:val="single" w:sz="12" w:space="0" w:color="auto"/>
            </w:tcBorders>
          </w:tcPr>
          <w:p w14:paraId="0A66310F" w14:textId="77777777" w:rsidR="00AC2D9B" w:rsidRPr="00AC2D9B" w:rsidRDefault="00AC2D9B" w:rsidP="00576CB4">
            <w:pPr>
              <w:spacing w:after="0" w:line="240" w:lineRule="auto"/>
              <w:jc w:val="center"/>
              <w:rPr>
                <w:sz w:val="16"/>
                <w:szCs w:val="16"/>
              </w:rPr>
            </w:pPr>
            <w:r w:rsidRPr="00AC2D9B">
              <w:rPr>
                <w:sz w:val="16"/>
                <w:szCs w:val="16"/>
              </w:rPr>
              <w:t>Anne Redhead</w:t>
            </w:r>
          </w:p>
        </w:tc>
        <w:tc>
          <w:tcPr>
            <w:tcW w:w="1276" w:type="dxa"/>
            <w:tcBorders>
              <w:left w:val="single" w:sz="12" w:space="0" w:color="auto"/>
              <w:bottom w:val="single" w:sz="12" w:space="0" w:color="auto"/>
              <w:right w:val="single" w:sz="12" w:space="0" w:color="auto"/>
            </w:tcBorders>
          </w:tcPr>
          <w:p w14:paraId="0D74D4AF" w14:textId="77777777" w:rsidR="00AC2D9B" w:rsidRPr="00AC2D9B" w:rsidRDefault="00AC2D9B" w:rsidP="00576CB4">
            <w:pPr>
              <w:numPr>
                <w:ilvl w:val="0"/>
                <w:numId w:val="8"/>
              </w:numPr>
              <w:spacing w:after="0" w:line="240" w:lineRule="auto"/>
              <w:contextualSpacing/>
              <w:jc w:val="center"/>
              <w:rPr>
                <w:sz w:val="16"/>
                <w:szCs w:val="16"/>
              </w:rPr>
            </w:pPr>
          </w:p>
        </w:tc>
        <w:tc>
          <w:tcPr>
            <w:tcW w:w="708" w:type="dxa"/>
            <w:tcBorders>
              <w:left w:val="single" w:sz="12" w:space="0" w:color="auto"/>
              <w:bottom w:val="single" w:sz="12" w:space="0" w:color="auto"/>
              <w:right w:val="single" w:sz="12" w:space="0" w:color="auto"/>
            </w:tcBorders>
          </w:tcPr>
          <w:p w14:paraId="560FF4F2" w14:textId="77777777" w:rsidR="00AC2D9B" w:rsidRPr="00AC2D9B" w:rsidRDefault="00AC2D9B" w:rsidP="00576CB4">
            <w:pPr>
              <w:spacing w:after="0" w:line="240" w:lineRule="auto"/>
              <w:jc w:val="center"/>
              <w:rPr>
                <w:sz w:val="16"/>
                <w:szCs w:val="16"/>
              </w:rPr>
            </w:pPr>
            <w:r w:rsidRPr="00AC2D9B">
              <w:rPr>
                <w:sz w:val="16"/>
                <w:szCs w:val="16"/>
              </w:rPr>
              <w:t>No</w:t>
            </w:r>
          </w:p>
        </w:tc>
        <w:tc>
          <w:tcPr>
            <w:tcW w:w="993" w:type="dxa"/>
            <w:tcBorders>
              <w:left w:val="single" w:sz="12" w:space="0" w:color="auto"/>
              <w:bottom w:val="single" w:sz="12" w:space="0" w:color="auto"/>
              <w:right w:val="single" w:sz="12" w:space="0" w:color="auto"/>
            </w:tcBorders>
          </w:tcPr>
          <w:p w14:paraId="3D34CAAC" w14:textId="77777777" w:rsidR="00AC2D9B" w:rsidRPr="00AC2D9B" w:rsidRDefault="00AC2D9B" w:rsidP="00576CB4">
            <w:pPr>
              <w:spacing w:after="0" w:line="240" w:lineRule="auto"/>
              <w:jc w:val="center"/>
              <w:rPr>
                <w:sz w:val="16"/>
                <w:szCs w:val="16"/>
              </w:rPr>
            </w:pPr>
            <w:r w:rsidRPr="00AC2D9B">
              <w:rPr>
                <w:sz w:val="16"/>
                <w:szCs w:val="16"/>
              </w:rPr>
              <w:t>No</w:t>
            </w:r>
          </w:p>
        </w:tc>
        <w:tc>
          <w:tcPr>
            <w:tcW w:w="1134" w:type="dxa"/>
            <w:tcBorders>
              <w:left w:val="single" w:sz="12" w:space="0" w:color="auto"/>
              <w:bottom w:val="single" w:sz="12" w:space="0" w:color="auto"/>
              <w:right w:val="single" w:sz="12" w:space="0" w:color="auto"/>
            </w:tcBorders>
          </w:tcPr>
          <w:p w14:paraId="2D4FEB66" w14:textId="77777777" w:rsidR="00AC2D9B" w:rsidRPr="00AC2D9B" w:rsidRDefault="00AC2D9B" w:rsidP="00576CB4">
            <w:pPr>
              <w:spacing w:after="0" w:line="240" w:lineRule="auto"/>
              <w:jc w:val="center"/>
              <w:rPr>
                <w:sz w:val="16"/>
                <w:szCs w:val="16"/>
              </w:rPr>
            </w:pPr>
            <w:r w:rsidRPr="00AC2D9B">
              <w:rPr>
                <w:sz w:val="16"/>
                <w:szCs w:val="16"/>
              </w:rPr>
              <w:t>-</w:t>
            </w:r>
          </w:p>
        </w:tc>
        <w:tc>
          <w:tcPr>
            <w:tcW w:w="850" w:type="dxa"/>
            <w:tcBorders>
              <w:left w:val="single" w:sz="12" w:space="0" w:color="auto"/>
              <w:bottom w:val="single" w:sz="12" w:space="0" w:color="auto"/>
              <w:right w:val="single" w:sz="12" w:space="0" w:color="auto"/>
            </w:tcBorders>
          </w:tcPr>
          <w:p w14:paraId="6E066365" w14:textId="77777777" w:rsidR="00AC2D9B" w:rsidRPr="00AC2D9B" w:rsidRDefault="00AC2D9B" w:rsidP="00576CB4">
            <w:pPr>
              <w:spacing w:after="0" w:line="240" w:lineRule="auto"/>
              <w:jc w:val="center"/>
              <w:rPr>
                <w:sz w:val="16"/>
                <w:szCs w:val="16"/>
              </w:rPr>
            </w:pPr>
            <w:r w:rsidRPr="00AC2D9B">
              <w:rPr>
                <w:sz w:val="16"/>
                <w:szCs w:val="16"/>
              </w:rPr>
              <w:t>None</w:t>
            </w:r>
          </w:p>
        </w:tc>
        <w:tc>
          <w:tcPr>
            <w:tcW w:w="992" w:type="dxa"/>
            <w:tcBorders>
              <w:left w:val="single" w:sz="12" w:space="0" w:color="auto"/>
              <w:bottom w:val="single" w:sz="12" w:space="0" w:color="auto"/>
              <w:right w:val="single" w:sz="12" w:space="0" w:color="auto"/>
            </w:tcBorders>
          </w:tcPr>
          <w:p w14:paraId="06201481" w14:textId="77777777" w:rsidR="00AC2D9B" w:rsidRPr="00AC2D9B" w:rsidRDefault="00AC2D9B" w:rsidP="00576CB4">
            <w:pPr>
              <w:spacing w:after="0" w:line="240" w:lineRule="auto"/>
              <w:jc w:val="center"/>
              <w:rPr>
                <w:sz w:val="16"/>
                <w:szCs w:val="16"/>
              </w:rPr>
            </w:pPr>
            <w:r w:rsidRPr="00AC2D9B">
              <w:rPr>
                <w:sz w:val="16"/>
                <w:szCs w:val="16"/>
              </w:rPr>
              <w:t>-</w:t>
            </w:r>
          </w:p>
        </w:tc>
        <w:tc>
          <w:tcPr>
            <w:tcW w:w="1469" w:type="dxa"/>
            <w:tcBorders>
              <w:left w:val="single" w:sz="12" w:space="0" w:color="auto"/>
              <w:bottom w:val="single" w:sz="12" w:space="0" w:color="auto"/>
              <w:right w:val="single" w:sz="12" w:space="0" w:color="auto"/>
            </w:tcBorders>
          </w:tcPr>
          <w:p w14:paraId="17BF4141" w14:textId="77777777" w:rsidR="00AC2D9B" w:rsidRPr="00AC2D9B" w:rsidRDefault="00AC2D9B" w:rsidP="00576CB4">
            <w:pPr>
              <w:spacing w:after="0" w:line="240" w:lineRule="auto"/>
              <w:jc w:val="center"/>
              <w:rPr>
                <w:sz w:val="16"/>
                <w:szCs w:val="16"/>
              </w:rPr>
            </w:pPr>
            <w:r w:rsidRPr="00AC2D9B">
              <w:rPr>
                <w:sz w:val="16"/>
                <w:szCs w:val="16"/>
              </w:rPr>
              <w:t>Unknown</w:t>
            </w:r>
          </w:p>
        </w:tc>
      </w:tr>
      <w:tr w:rsidR="00AC2D9B" w:rsidRPr="00AC2D9B" w14:paraId="3824DEBC" w14:textId="77777777" w:rsidTr="00576CB4">
        <w:tc>
          <w:tcPr>
            <w:tcW w:w="978" w:type="dxa"/>
            <w:tcBorders>
              <w:top w:val="single" w:sz="12" w:space="0" w:color="auto"/>
              <w:left w:val="single" w:sz="12" w:space="0" w:color="auto"/>
              <w:bottom w:val="single" w:sz="12" w:space="0" w:color="auto"/>
              <w:right w:val="single" w:sz="12" w:space="0" w:color="auto"/>
            </w:tcBorders>
          </w:tcPr>
          <w:p w14:paraId="1D97805E" w14:textId="77777777" w:rsidR="00AC2D9B" w:rsidRPr="00AC2D9B" w:rsidRDefault="00AC2D9B" w:rsidP="00576CB4">
            <w:pPr>
              <w:spacing w:after="0" w:line="240" w:lineRule="auto"/>
              <w:jc w:val="center"/>
              <w:rPr>
                <w:b/>
                <w:bCs/>
                <w:sz w:val="16"/>
                <w:szCs w:val="16"/>
              </w:rPr>
            </w:pPr>
            <w:r w:rsidRPr="00AC2D9B">
              <w:rPr>
                <w:b/>
                <w:bCs/>
                <w:sz w:val="16"/>
                <w:szCs w:val="16"/>
              </w:rPr>
              <w:t>Total Number:</w:t>
            </w:r>
          </w:p>
        </w:tc>
        <w:tc>
          <w:tcPr>
            <w:tcW w:w="1275" w:type="dxa"/>
            <w:tcBorders>
              <w:top w:val="single" w:sz="12" w:space="0" w:color="auto"/>
              <w:left w:val="single" w:sz="12" w:space="0" w:color="auto"/>
              <w:bottom w:val="single" w:sz="12" w:space="0" w:color="auto"/>
              <w:right w:val="single" w:sz="12" w:space="0" w:color="auto"/>
            </w:tcBorders>
          </w:tcPr>
          <w:p w14:paraId="5824534A" w14:textId="77777777" w:rsidR="00AC2D9B" w:rsidRPr="00AC2D9B" w:rsidRDefault="00AC2D9B" w:rsidP="00576CB4">
            <w:pPr>
              <w:spacing w:after="0" w:line="240" w:lineRule="auto"/>
              <w:jc w:val="center"/>
              <w:rPr>
                <w:b/>
                <w:bCs/>
                <w:sz w:val="16"/>
                <w:szCs w:val="16"/>
              </w:rPr>
            </w:pPr>
            <w:r w:rsidRPr="00AC2D9B">
              <w:rPr>
                <w:b/>
                <w:bCs/>
                <w:sz w:val="16"/>
                <w:szCs w:val="16"/>
              </w:rPr>
              <w:t>10</w:t>
            </w:r>
          </w:p>
        </w:tc>
        <w:tc>
          <w:tcPr>
            <w:tcW w:w="993" w:type="dxa"/>
            <w:tcBorders>
              <w:top w:val="single" w:sz="12" w:space="0" w:color="auto"/>
              <w:left w:val="single" w:sz="12" w:space="0" w:color="auto"/>
              <w:bottom w:val="single" w:sz="12" w:space="0" w:color="auto"/>
              <w:right w:val="single" w:sz="12" w:space="0" w:color="auto"/>
            </w:tcBorders>
          </w:tcPr>
          <w:p w14:paraId="049C201E" w14:textId="77777777" w:rsidR="00AC2D9B" w:rsidRPr="00AC2D9B" w:rsidRDefault="00AC2D9B" w:rsidP="00576CB4">
            <w:pPr>
              <w:spacing w:after="0" w:line="240" w:lineRule="auto"/>
              <w:jc w:val="center"/>
              <w:rPr>
                <w:b/>
                <w:bCs/>
                <w:sz w:val="16"/>
                <w:szCs w:val="16"/>
              </w:rPr>
            </w:pPr>
            <w:r w:rsidRPr="00AC2D9B">
              <w:rPr>
                <w:b/>
                <w:bCs/>
                <w:sz w:val="16"/>
                <w:szCs w:val="16"/>
              </w:rPr>
              <w:t>12</w:t>
            </w:r>
          </w:p>
        </w:tc>
        <w:tc>
          <w:tcPr>
            <w:tcW w:w="1134" w:type="dxa"/>
            <w:tcBorders>
              <w:top w:val="single" w:sz="12" w:space="0" w:color="auto"/>
              <w:left w:val="single" w:sz="12" w:space="0" w:color="auto"/>
              <w:bottom w:val="single" w:sz="12" w:space="0" w:color="auto"/>
              <w:right w:val="single" w:sz="12" w:space="0" w:color="auto"/>
            </w:tcBorders>
          </w:tcPr>
          <w:p w14:paraId="7488D764" w14:textId="77777777" w:rsidR="00AC2D9B" w:rsidRPr="00AC2D9B" w:rsidRDefault="00AC2D9B" w:rsidP="00576CB4">
            <w:pPr>
              <w:spacing w:after="0" w:line="240" w:lineRule="auto"/>
              <w:jc w:val="center"/>
              <w:rPr>
                <w:b/>
                <w:bCs/>
                <w:sz w:val="16"/>
                <w:szCs w:val="16"/>
              </w:rPr>
            </w:pPr>
            <w:r w:rsidRPr="00AC2D9B">
              <w:rPr>
                <w:b/>
                <w:bCs/>
                <w:sz w:val="16"/>
                <w:szCs w:val="16"/>
              </w:rPr>
              <w:t>12</w:t>
            </w:r>
          </w:p>
        </w:tc>
        <w:tc>
          <w:tcPr>
            <w:tcW w:w="2126" w:type="dxa"/>
            <w:tcBorders>
              <w:top w:val="single" w:sz="12" w:space="0" w:color="auto"/>
              <w:left w:val="single" w:sz="12" w:space="0" w:color="auto"/>
              <w:bottom w:val="single" w:sz="12" w:space="0" w:color="auto"/>
              <w:right w:val="single" w:sz="12" w:space="0" w:color="auto"/>
            </w:tcBorders>
          </w:tcPr>
          <w:p w14:paraId="40BC15E2" w14:textId="77777777" w:rsidR="00AC2D9B" w:rsidRPr="00AC2D9B" w:rsidRDefault="00AC2D9B" w:rsidP="00576CB4">
            <w:pPr>
              <w:spacing w:after="0" w:line="240" w:lineRule="auto"/>
              <w:jc w:val="center"/>
              <w:rPr>
                <w:b/>
                <w:bCs/>
                <w:sz w:val="16"/>
                <w:szCs w:val="16"/>
              </w:rPr>
            </w:pPr>
            <w:r w:rsidRPr="00AC2D9B">
              <w:rPr>
                <w:b/>
                <w:bCs/>
                <w:sz w:val="16"/>
                <w:szCs w:val="16"/>
              </w:rPr>
              <w:t>19</w:t>
            </w:r>
          </w:p>
        </w:tc>
        <w:tc>
          <w:tcPr>
            <w:tcW w:w="1276" w:type="dxa"/>
            <w:tcBorders>
              <w:top w:val="single" w:sz="12" w:space="0" w:color="auto"/>
              <w:left w:val="single" w:sz="12" w:space="0" w:color="auto"/>
              <w:bottom w:val="single" w:sz="12" w:space="0" w:color="auto"/>
              <w:right w:val="single" w:sz="12" w:space="0" w:color="auto"/>
            </w:tcBorders>
          </w:tcPr>
          <w:p w14:paraId="0AA05100" w14:textId="77777777" w:rsidR="00AC2D9B" w:rsidRPr="00AC2D9B" w:rsidRDefault="00AC2D9B" w:rsidP="00576CB4">
            <w:pPr>
              <w:numPr>
                <w:ilvl w:val="0"/>
                <w:numId w:val="8"/>
              </w:numPr>
              <w:spacing w:after="0" w:line="240" w:lineRule="auto"/>
              <w:contextualSpacing/>
              <w:jc w:val="center"/>
              <w:rPr>
                <w:b/>
                <w:bCs/>
                <w:sz w:val="16"/>
                <w:szCs w:val="16"/>
              </w:rPr>
            </w:pPr>
          </w:p>
        </w:tc>
        <w:tc>
          <w:tcPr>
            <w:tcW w:w="708" w:type="dxa"/>
            <w:tcBorders>
              <w:top w:val="single" w:sz="12" w:space="0" w:color="auto"/>
              <w:left w:val="single" w:sz="12" w:space="0" w:color="auto"/>
              <w:bottom w:val="single" w:sz="12" w:space="0" w:color="auto"/>
              <w:right w:val="single" w:sz="12" w:space="0" w:color="auto"/>
            </w:tcBorders>
          </w:tcPr>
          <w:p w14:paraId="435034EE" w14:textId="77777777" w:rsidR="00AC2D9B" w:rsidRPr="00AC2D9B" w:rsidRDefault="00AC2D9B" w:rsidP="00576CB4">
            <w:pPr>
              <w:spacing w:after="0" w:line="240" w:lineRule="auto"/>
              <w:jc w:val="center"/>
              <w:rPr>
                <w:b/>
                <w:bCs/>
                <w:sz w:val="16"/>
                <w:szCs w:val="16"/>
              </w:rPr>
            </w:pPr>
            <w:r w:rsidRPr="00AC2D9B">
              <w:rPr>
                <w:b/>
                <w:bCs/>
                <w:sz w:val="16"/>
                <w:szCs w:val="16"/>
              </w:rPr>
              <w:t>7</w:t>
            </w:r>
          </w:p>
        </w:tc>
        <w:tc>
          <w:tcPr>
            <w:tcW w:w="993" w:type="dxa"/>
            <w:tcBorders>
              <w:top w:val="single" w:sz="12" w:space="0" w:color="auto"/>
              <w:left w:val="single" w:sz="12" w:space="0" w:color="auto"/>
              <w:bottom w:val="single" w:sz="12" w:space="0" w:color="auto"/>
              <w:right w:val="single" w:sz="12" w:space="0" w:color="auto"/>
            </w:tcBorders>
          </w:tcPr>
          <w:p w14:paraId="770B76AF" w14:textId="77777777" w:rsidR="00AC2D9B" w:rsidRPr="00AC2D9B" w:rsidRDefault="00AC2D9B" w:rsidP="00576CB4">
            <w:pPr>
              <w:spacing w:after="0" w:line="240" w:lineRule="auto"/>
              <w:jc w:val="center"/>
              <w:rPr>
                <w:b/>
                <w:bCs/>
                <w:sz w:val="16"/>
                <w:szCs w:val="16"/>
              </w:rPr>
            </w:pPr>
            <w:r w:rsidRPr="00AC2D9B">
              <w:rPr>
                <w:b/>
                <w:bCs/>
                <w:sz w:val="16"/>
                <w:szCs w:val="16"/>
              </w:rPr>
              <w:t>8</w:t>
            </w:r>
          </w:p>
        </w:tc>
        <w:tc>
          <w:tcPr>
            <w:tcW w:w="1134" w:type="dxa"/>
            <w:tcBorders>
              <w:top w:val="single" w:sz="12" w:space="0" w:color="auto"/>
              <w:left w:val="single" w:sz="12" w:space="0" w:color="auto"/>
              <w:bottom w:val="single" w:sz="12" w:space="0" w:color="auto"/>
              <w:right w:val="single" w:sz="12" w:space="0" w:color="auto"/>
            </w:tcBorders>
          </w:tcPr>
          <w:p w14:paraId="0DD50AD1" w14:textId="77777777" w:rsidR="00AC2D9B" w:rsidRPr="00AC2D9B" w:rsidRDefault="00AC2D9B" w:rsidP="00576CB4">
            <w:pPr>
              <w:spacing w:after="0" w:line="240" w:lineRule="auto"/>
              <w:jc w:val="center"/>
              <w:rPr>
                <w:b/>
                <w:bCs/>
                <w:sz w:val="16"/>
                <w:szCs w:val="16"/>
              </w:rPr>
            </w:pPr>
            <w:r w:rsidRPr="00AC2D9B">
              <w:rPr>
                <w:b/>
                <w:bCs/>
                <w:sz w:val="16"/>
                <w:szCs w:val="16"/>
              </w:rPr>
              <w:t>7</w:t>
            </w:r>
          </w:p>
        </w:tc>
        <w:tc>
          <w:tcPr>
            <w:tcW w:w="850" w:type="dxa"/>
            <w:tcBorders>
              <w:top w:val="single" w:sz="12" w:space="0" w:color="auto"/>
              <w:left w:val="single" w:sz="12" w:space="0" w:color="auto"/>
              <w:bottom w:val="single" w:sz="12" w:space="0" w:color="auto"/>
              <w:right w:val="single" w:sz="12" w:space="0" w:color="auto"/>
            </w:tcBorders>
          </w:tcPr>
          <w:p w14:paraId="410CB57D" w14:textId="77777777" w:rsidR="00AC2D9B" w:rsidRPr="00AC2D9B" w:rsidRDefault="00AC2D9B" w:rsidP="00576CB4">
            <w:pPr>
              <w:spacing w:after="0" w:line="240" w:lineRule="auto"/>
              <w:jc w:val="center"/>
              <w:rPr>
                <w:b/>
                <w:bCs/>
                <w:sz w:val="16"/>
                <w:szCs w:val="16"/>
              </w:rPr>
            </w:pPr>
            <w:r w:rsidRPr="00AC2D9B">
              <w:rPr>
                <w:b/>
                <w:bCs/>
                <w:sz w:val="16"/>
                <w:szCs w:val="16"/>
              </w:rPr>
              <w:t>1</w:t>
            </w:r>
          </w:p>
        </w:tc>
        <w:tc>
          <w:tcPr>
            <w:tcW w:w="992" w:type="dxa"/>
            <w:tcBorders>
              <w:top w:val="single" w:sz="12" w:space="0" w:color="auto"/>
              <w:left w:val="single" w:sz="12" w:space="0" w:color="auto"/>
              <w:bottom w:val="single" w:sz="12" w:space="0" w:color="auto"/>
              <w:right w:val="single" w:sz="12" w:space="0" w:color="auto"/>
            </w:tcBorders>
          </w:tcPr>
          <w:p w14:paraId="1F9B53C7" w14:textId="77777777" w:rsidR="00AC2D9B" w:rsidRPr="00AC2D9B" w:rsidRDefault="00AC2D9B" w:rsidP="00576CB4">
            <w:pPr>
              <w:spacing w:after="0" w:line="240" w:lineRule="auto"/>
              <w:jc w:val="center"/>
              <w:rPr>
                <w:b/>
                <w:bCs/>
                <w:sz w:val="16"/>
                <w:szCs w:val="16"/>
              </w:rPr>
            </w:pPr>
            <w:r w:rsidRPr="00AC2D9B">
              <w:rPr>
                <w:b/>
                <w:bCs/>
                <w:sz w:val="16"/>
                <w:szCs w:val="16"/>
              </w:rPr>
              <w:t>7</w:t>
            </w:r>
          </w:p>
        </w:tc>
        <w:tc>
          <w:tcPr>
            <w:tcW w:w="1469" w:type="dxa"/>
            <w:tcBorders>
              <w:top w:val="single" w:sz="12" w:space="0" w:color="auto"/>
              <w:left w:val="single" w:sz="12" w:space="0" w:color="auto"/>
              <w:bottom w:val="single" w:sz="12" w:space="0" w:color="auto"/>
              <w:right w:val="single" w:sz="12" w:space="0" w:color="auto"/>
            </w:tcBorders>
          </w:tcPr>
          <w:p w14:paraId="24E9CB31" w14:textId="77777777" w:rsidR="00AC2D9B" w:rsidRPr="00AC2D9B" w:rsidRDefault="00AC2D9B" w:rsidP="00576CB4">
            <w:pPr>
              <w:spacing w:after="0" w:line="240" w:lineRule="auto"/>
              <w:jc w:val="center"/>
              <w:rPr>
                <w:b/>
                <w:bCs/>
                <w:sz w:val="16"/>
                <w:szCs w:val="16"/>
              </w:rPr>
            </w:pPr>
            <w:r w:rsidRPr="00AC2D9B">
              <w:rPr>
                <w:b/>
                <w:bCs/>
                <w:sz w:val="16"/>
                <w:szCs w:val="16"/>
              </w:rPr>
              <w:t>&lt;52% Some Degree of Literacy</w:t>
            </w:r>
          </w:p>
        </w:tc>
      </w:tr>
    </w:tbl>
    <w:p w14:paraId="79819428" w14:textId="77777777" w:rsidR="00AC2D9B" w:rsidRPr="00AC2D9B" w:rsidRDefault="00AC2D9B" w:rsidP="00AC2D9B"/>
    <w:p w14:paraId="3DF35D1A" w14:textId="77777777" w:rsidR="00576CB4" w:rsidRDefault="00576CB4" w:rsidP="00AC2D9B">
      <w:pPr>
        <w:jc w:val="center"/>
      </w:pPr>
    </w:p>
    <w:p w14:paraId="20E7D750" w14:textId="77777777" w:rsidR="00576CB4" w:rsidRDefault="00576CB4" w:rsidP="00AC2D9B">
      <w:pPr>
        <w:jc w:val="center"/>
      </w:pPr>
    </w:p>
    <w:p w14:paraId="67064BAD" w14:textId="3C479339" w:rsidR="003A756F" w:rsidRPr="003A756F" w:rsidRDefault="00AC2D9B" w:rsidP="00AC2D9B">
      <w:pPr>
        <w:jc w:val="center"/>
        <w:sectPr w:rsidR="003A756F" w:rsidRPr="003A756F" w:rsidSect="00AC2D9B">
          <w:pgSz w:w="16838" w:h="11906" w:orient="landscape"/>
          <w:pgMar w:top="1440" w:right="1440" w:bottom="1440" w:left="1440" w:header="720" w:footer="720" w:gutter="0"/>
          <w:cols w:space="720"/>
          <w:docGrid w:linePitch="360"/>
        </w:sectPr>
      </w:pPr>
      <w:r w:rsidRPr="00AC2D9B">
        <w:t>Table 2 – Names of inscribed properties and inscribers within the core sample in Bolton-le-Sands parish, including content and location of inscriptions within each property.</w:t>
      </w:r>
    </w:p>
    <w:tbl>
      <w:tblPr>
        <w:tblStyle w:val="TableGrid2"/>
        <w:tblpPr w:leftFromText="180" w:rightFromText="180" w:vertAnchor="page" w:horzAnchor="margin" w:tblpY="2011"/>
        <w:tblW w:w="13928" w:type="dxa"/>
        <w:tblLayout w:type="fixed"/>
        <w:tblLook w:val="04A0" w:firstRow="1" w:lastRow="0" w:firstColumn="1" w:lastColumn="0" w:noHBand="0" w:noVBand="1"/>
      </w:tblPr>
      <w:tblGrid>
        <w:gridCol w:w="978"/>
        <w:gridCol w:w="1134"/>
        <w:gridCol w:w="1406"/>
        <w:gridCol w:w="1429"/>
        <w:gridCol w:w="1559"/>
        <w:gridCol w:w="1134"/>
        <w:gridCol w:w="850"/>
        <w:gridCol w:w="993"/>
        <w:gridCol w:w="992"/>
        <w:gridCol w:w="992"/>
        <w:gridCol w:w="992"/>
        <w:gridCol w:w="1469"/>
      </w:tblGrid>
      <w:tr w:rsidR="006E335F" w:rsidRPr="006E335F" w14:paraId="4EE0C8D3" w14:textId="77777777" w:rsidTr="00576CB4">
        <w:tc>
          <w:tcPr>
            <w:tcW w:w="978" w:type="dxa"/>
            <w:tcBorders>
              <w:top w:val="single" w:sz="12" w:space="0" w:color="auto"/>
              <w:left w:val="single" w:sz="12" w:space="0" w:color="auto"/>
              <w:bottom w:val="single" w:sz="12" w:space="0" w:color="auto"/>
              <w:right w:val="single" w:sz="12" w:space="0" w:color="auto"/>
            </w:tcBorders>
          </w:tcPr>
          <w:p w14:paraId="7B67D971" w14:textId="77777777" w:rsidR="006E335F" w:rsidRPr="006E335F" w:rsidRDefault="006E335F" w:rsidP="00576CB4">
            <w:pPr>
              <w:spacing w:after="0" w:line="240" w:lineRule="auto"/>
              <w:jc w:val="center"/>
              <w:rPr>
                <w:b/>
                <w:bCs/>
                <w:sz w:val="16"/>
                <w:szCs w:val="16"/>
              </w:rPr>
            </w:pPr>
            <w:r w:rsidRPr="006E335F">
              <w:rPr>
                <w:b/>
                <w:bCs/>
                <w:sz w:val="16"/>
                <w:szCs w:val="16"/>
              </w:rPr>
              <w:lastRenderedPageBreak/>
              <w:t>Township</w:t>
            </w:r>
          </w:p>
        </w:tc>
        <w:tc>
          <w:tcPr>
            <w:tcW w:w="1134" w:type="dxa"/>
            <w:tcBorders>
              <w:top w:val="single" w:sz="12" w:space="0" w:color="auto"/>
              <w:left w:val="single" w:sz="12" w:space="0" w:color="auto"/>
              <w:bottom w:val="single" w:sz="12" w:space="0" w:color="auto"/>
              <w:right w:val="single" w:sz="12" w:space="0" w:color="auto"/>
            </w:tcBorders>
          </w:tcPr>
          <w:p w14:paraId="5A0DC6F3" w14:textId="77777777" w:rsidR="006E335F" w:rsidRPr="006E335F" w:rsidRDefault="006E335F" w:rsidP="00576CB4">
            <w:pPr>
              <w:spacing w:after="0" w:line="240" w:lineRule="auto"/>
              <w:jc w:val="center"/>
              <w:rPr>
                <w:b/>
                <w:bCs/>
                <w:sz w:val="16"/>
                <w:szCs w:val="16"/>
              </w:rPr>
            </w:pPr>
            <w:r w:rsidRPr="006E335F">
              <w:rPr>
                <w:b/>
                <w:bCs/>
                <w:sz w:val="16"/>
                <w:szCs w:val="16"/>
              </w:rPr>
              <w:t>Property</w:t>
            </w:r>
          </w:p>
        </w:tc>
        <w:tc>
          <w:tcPr>
            <w:tcW w:w="1406" w:type="dxa"/>
            <w:tcBorders>
              <w:top w:val="single" w:sz="12" w:space="0" w:color="auto"/>
              <w:left w:val="single" w:sz="12" w:space="0" w:color="auto"/>
              <w:bottom w:val="single" w:sz="12" w:space="0" w:color="auto"/>
              <w:right w:val="single" w:sz="12" w:space="0" w:color="auto"/>
            </w:tcBorders>
          </w:tcPr>
          <w:p w14:paraId="5D963EB4" w14:textId="77777777" w:rsidR="006E335F" w:rsidRPr="006E335F" w:rsidRDefault="006E335F" w:rsidP="00576CB4">
            <w:pPr>
              <w:spacing w:after="0" w:line="240" w:lineRule="auto"/>
              <w:jc w:val="center"/>
              <w:rPr>
                <w:b/>
                <w:bCs/>
                <w:sz w:val="16"/>
                <w:szCs w:val="16"/>
              </w:rPr>
            </w:pPr>
            <w:r w:rsidRPr="006E335F">
              <w:rPr>
                <w:b/>
                <w:bCs/>
                <w:sz w:val="16"/>
                <w:szCs w:val="16"/>
              </w:rPr>
              <w:t>Inscription</w:t>
            </w:r>
          </w:p>
        </w:tc>
        <w:tc>
          <w:tcPr>
            <w:tcW w:w="1429" w:type="dxa"/>
            <w:tcBorders>
              <w:top w:val="single" w:sz="12" w:space="0" w:color="auto"/>
              <w:left w:val="single" w:sz="12" w:space="0" w:color="auto"/>
              <w:bottom w:val="single" w:sz="12" w:space="0" w:color="auto"/>
              <w:right w:val="single" w:sz="12" w:space="0" w:color="auto"/>
            </w:tcBorders>
          </w:tcPr>
          <w:p w14:paraId="67F064D7" w14:textId="77777777" w:rsidR="006E335F" w:rsidRPr="006E335F" w:rsidRDefault="006E335F" w:rsidP="00576CB4">
            <w:pPr>
              <w:spacing w:after="0" w:line="240" w:lineRule="auto"/>
              <w:jc w:val="center"/>
              <w:rPr>
                <w:b/>
                <w:bCs/>
                <w:sz w:val="16"/>
                <w:szCs w:val="16"/>
              </w:rPr>
            </w:pPr>
            <w:r w:rsidRPr="006E335F">
              <w:rPr>
                <w:b/>
                <w:bCs/>
                <w:sz w:val="16"/>
                <w:szCs w:val="16"/>
              </w:rPr>
              <w:t>Position</w:t>
            </w:r>
          </w:p>
        </w:tc>
        <w:tc>
          <w:tcPr>
            <w:tcW w:w="1559" w:type="dxa"/>
            <w:tcBorders>
              <w:top w:val="single" w:sz="12" w:space="0" w:color="auto"/>
              <w:left w:val="single" w:sz="12" w:space="0" w:color="auto"/>
              <w:bottom w:val="single" w:sz="12" w:space="0" w:color="auto"/>
              <w:right w:val="single" w:sz="12" w:space="0" w:color="auto"/>
            </w:tcBorders>
          </w:tcPr>
          <w:p w14:paraId="0C598A10" w14:textId="77777777" w:rsidR="006E335F" w:rsidRPr="006E335F" w:rsidRDefault="006E335F" w:rsidP="00576CB4">
            <w:pPr>
              <w:spacing w:after="0" w:line="240" w:lineRule="auto"/>
              <w:jc w:val="center"/>
              <w:rPr>
                <w:b/>
                <w:bCs/>
                <w:sz w:val="16"/>
                <w:szCs w:val="16"/>
              </w:rPr>
            </w:pPr>
            <w:r w:rsidRPr="006E335F">
              <w:rPr>
                <w:b/>
                <w:bCs/>
                <w:sz w:val="16"/>
                <w:szCs w:val="16"/>
              </w:rPr>
              <w:t>Name of Inscriber/s</w:t>
            </w:r>
          </w:p>
        </w:tc>
        <w:tc>
          <w:tcPr>
            <w:tcW w:w="1134" w:type="dxa"/>
            <w:tcBorders>
              <w:top w:val="single" w:sz="12" w:space="0" w:color="auto"/>
              <w:left w:val="single" w:sz="12" w:space="0" w:color="auto"/>
              <w:bottom w:val="single" w:sz="12" w:space="0" w:color="auto"/>
              <w:right w:val="single" w:sz="12" w:space="0" w:color="auto"/>
            </w:tcBorders>
          </w:tcPr>
          <w:p w14:paraId="62124840" w14:textId="77777777" w:rsidR="006E335F" w:rsidRPr="006E335F" w:rsidRDefault="006E335F" w:rsidP="00576CB4">
            <w:pPr>
              <w:spacing w:after="0" w:line="240" w:lineRule="auto"/>
              <w:jc w:val="center"/>
              <w:rPr>
                <w:b/>
                <w:bCs/>
                <w:sz w:val="16"/>
                <w:szCs w:val="16"/>
              </w:rPr>
            </w:pPr>
            <w:r w:rsidRPr="006E335F">
              <w:rPr>
                <w:b/>
                <w:bCs/>
                <w:sz w:val="16"/>
                <w:szCs w:val="16"/>
              </w:rPr>
              <w:t>Male Occupation / Status</w:t>
            </w:r>
          </w:p>
        </w:tc>
        <w:tc>
          <w:tcPr>
            <w:tcW w:w="850" w:type="dxa"/>
            <w:tcBorders>
              <w:top w:val="single" w:sz="12" w:space="0" w:color="auto"/>
              <w:left w:val="single" w:sz="12" w:space="0" w:color="auto"/>
              <w:bottom w:val="single" w:sz="12" w:space="0" w:color="auto"/>
              <w:right w:val="single" w:sz="12" w:space="0" w:color="auto"/>
            </w:tcBorders>
          </w:tcPr>
          <w:p w14:paraId="726AA12E" w14:textId="77777777" w:rsidR="006E335F" w:rsidRPr="006E335F" w:rsidRDefault="006E335F" w:rsidP="00576CB4">
            <w:pPr>
              <w:spacing w:after="0" w:line="240" w:lineRule="auto"/>
              <w:jc w:val="center"/>
              <w:rPr>
                <w:b/>
                <w:bCs/>
                <w:sz w:val="16"/>
                <w:szCs w:val="16"/>
              </w:rPr>
            </w:pPr>
            <w:r w:rsidRPr="006E335F">
              <w:rPr>
                <w:b/>
                <w:bCs/>
                <w:sz w:val="16"/>
                <w:szCs w:val="16"/>
              </w:rPr>
              <w:t>Will</w:t>
            </w:r>
          </w:p>
        </w:tc>
        <w:tc>
          <w:tcPr>
            <w:tcW w:w="993" w:type="dxa"/>
            <w:tcBorders>
              <w:top w:val="single" w:sz="12" w:space="0" w:color="auto"/>
              <w:left w:val="single" w:sz="12" w:space="0" w:color="auto"/>
              <w:bottom w:val="single" w:sz="12" w:space="0" w:color="auto"/>
              <w:right w:val="single" w:sz="12" w:space="0" w:color="auto"/>
            </w:tcBorders>
          </w:tcPr>
          <w:p w14:paraId="7FB64B0E" w14:textId="77777777" w:rsidR="006E335F" w:rsidRPr="006E335F" w:rsidRDefault="006E335F" w:rsidP="00576CB4">
            <w:pPr>
              <w:spacing w:after="0" w:line="240" w:lineRule="auto"/>
              <w:jc w:val="center"/>
              <w:rPr>
                <w:b/>
                <w:bCs/>
                <w:sz w:val="16"/>
                <w:szCs w:val="16"/>
              </w:rPr>
            </w:pPr>
            <w:r w:rsidRPr="006E335F">
              <w:rPr>
                <w:b/>
                <w:bCs/>
                <w:sz w:val="16"/>
                <w:szCs w:val="16"/>
              </w:rPr>
              <w:t>Inventory</w:t>
            </w:r>
          </w:p>
        </w:tc>
        <w:tc>
          <w:tcPr>
            <w:tcW w:w="992" w:type="dxa"/>
            <w:tcBorders>
              <w:top w:val="single" w:sz="12" w:space="0" w:color="auto"/>
              <w:left w:val="single" w:sz="12" w:space="0" w:color="auto"/>
              <w:bottom w:val="single" w:sz="12" w:space="0" w:color="auto"/>
              <w:right w:val="single" w:sz="12" w:space="0" w:color="auto"/>
            </w:tcBorders>
          </w:tcPr>
          <w:p w14:paraId="0F6A6747" w14:textId="77777777" w:rsidR="006E335F" w:rsidRPr="006E335F" w:rsidRDefault="006E335F" w:rsidP="00576CB4">
            <w:pPr>
              <w:spacing w:after="0" w:line="240" w:lineRule="auto"/>
              <w:jc w:val="center"/>
              <w:rPr>
                <w:b/>
                <w:bCs/>
                <w:sz w:val="16"/>
                <w:szCs w:val="16"/>
              </w:rPr>
            </w:pPr>
            <w:r w:rsidRPr="006E335F">
              <w:rPr>
                <w:b/>
                <w:bCs/>
                <w:sz w:val="16"/>
                <w:szCs w:val="16"/>
              </w:rPr>
              <w:t>Inventoried Wealth</w:t>
            </w:r>
          </w:p>
        </w:tc>
        <w:tc>
          <w:tcPr>
            <w:tcW w:w="992" w:type="dxa"/>
            <w:tcBorders>
              <w:top w:val="single" w:sz="12" w:space="0" w:color="auto"/>
              <w:left w:val="single" w:sz="12" w:space="0" w:color="auto"/>
              <w:bottom w:val="single" w:sz="12" w:space="0" w:color="auto"/>
              <w:right w:val="single" w:sz="12" w:space="0" w:color="auto"/>
            </w:tcBorders>
          </w:tcPr>
          <w:p w14:paraId="0008C6C5" w14:textId="77777777" w:rsidR="006E335F" w:rsidRPr="006E335F" w:rsidRDefault="006E335F" w:rsidP="00576CB4">
            <w:pPr>
              <w:spacing w:after="0" w:line="240" w:lineRule="auto"/>
              <w:jc w:val="center"/>
              <w:rPr>
                <w:b/>
                <w:bCs/>
                <w:sz w:val="16"/>
                <w:szCs w:val="16"/>
              </w:rPr>
            </w:pPr>
            <w:r w:rsidRPr="006E335F">
              <w:rPr>
                <w:b/>
                <w:bCs/>
                <w:sz w:val="16"/>
                <w:szCs w:val="16"/>
              </w:rPr>
              <w:t>Hearth Tax</w:t>
            </w:r>
          </w:p>
        </w:tc>
        <w:tc>
          <w:tcPr>
            <w:tcW w:w="992" w:type="dxa"/>
            <w:tcBorders>
              <w:top w:val="single" w:sz="12" w:space="0" w:color="auto"/>
              <w:left w:val="single" w:sz="12" w:space="0" w:color="auto"/>
              <w:bottom w:val="single" w:sz="12" w:space="0" w:color="auto"/>
              <w:right w:val="single" w:sz="12" w:space="0" w:color="auto"/>
            </w:tcBorders>
          </w:tcPr>
          <w:p w14:paraId="6BBE1AFA" w14:textId="77777777" w:rsidR="006E335F" w:rsidRPr="006E335F" w:rsidRDefault="006E335F" w:rsidP="00576CB4">
            <w:pPr>
              <w:spacing w:after="0" w:line="240" w:lineRule="auto"/>
              <w:jc w:val="center"/>
              <w:rPr>
                <w:b/>
                <w:bCs/>
                <w:sz w:val="16"/>
                <w:szCs w:val="16"/>
              </w:rPr>
            </w:pPr>
            <w:r w:rsidRPr="006E335F">
              <w:rPr>
                <w:b/>
                <w:bCs/>
                <w:sz w:val="16"/>
                <w:szCs w:val="16"/>
              </w:rPr>
              <w:t>Value of Cash Bequests</w:t>
            </w:r>
          </w:p>
        </w:tc>
        <w:tc>
          <w:tcPr>
            <w:tcW w:w="1469" w:type="dxa"/>
            <w:tcBorders>
              <w:top w:val="single" w:sz="12" w:space="0" w:color="auto"/>
              <w:left w:val="single" w:sz="12" w:space="0" w:color="auto"/>
              <w:bottom w:val="single" w:sz="12" w:space="0" w:color="auto"/>
              <w:right w:val="single" w:sz="12" w:space="0" w:color="auto"/>
            </w:tcBorders>
          </w:tcPr>
          <w:p w14:paraId="771DD77D" w14:textId="77777777" w:rsidR="006E335F" w:rsidRPr="006E335F" w:rsidRDefault="006E335F" w:rsidP="00576CB4">
            <w:pPr>
              <w:spacing w:after="0" w:line="240" w:lineRule="auto"/>
              <w:jc w:val="center"/>
              <w:rPr>
                <w:b/>
                <w:bCs/>
                <w:sz w:val="16"/>
                <w:szCs w:val="16"/>
              </w:rPr>
            </w:pPr>
            <w:r w:rsidRPr="006E335F">
              <w:rPr>
                <w:b/>
                <w:bCs/>
                <w:sz w:val="16"/>
                <w:szCs w:val="16"/>
              </w:rPr>
              <w:t>Degree of Literacy</w:t>
            </w:r>
          </w:p>
        </w:tc>
      </w:tr>
      <w:tr w:rsidR="006E335F" w:rsidRPr="006E335F" w14:paraId="6E239330" w14:textId="77777777" w:rsidTr="00576CB4">
        <w:tc>
          <w:tcPr>
            <w:tcW w:w="978" w:type="dxa"/>
            <w:vMerge w:val="restart"/>
            <w:tcBorders>
              <w:top w:val="single" w:sz="12" w:space="0" w:color="auto"/>
              <w:left w:val="single" w:sz="12" w:space="0" w:color="auto"/>
              <w:right w:val="single" w:sz="12" w:space="0" w:color="auto"/>
            </w:tcBorders>
          </w:tcPr>
          <w:p w14:paraId="20852E95" w14:textId="77777777" w:rsidR="006E335F" w:rsidRPr="006E335F" w:rsidRDefault="006E335F" w:rsidP="00576CB4">
            <w:pPr>
              <w:spacing w:after="0" w:line="240" w:lineRule="auto"/>
              <w:jc w:val="center"/>
              <w:rPr>
                <w:sz w:val="16"/>
                <w:szCs w:val="16"/>
              </w:rPr>
            </w:pPr>
            <w:r w:rsidRPr="006E335F">
              <w:rPr>
                <w:sz w:val="16"/>
                <w:szCs w:val="16"/>
              </w:rPr>
              <w:t>Ket.</w:t>
            </w:r>
          </w:p>
        </w:tc>
        <w:tc>
          <w:tcPr>
            <w:tcW w:w="1134" w:type="dxa"/>
            <w:vMerge w:val="restart"/>
            <w:tcBorders>
              <w:top w:val="single" w:sz="12" w:space="0" w:color="auto"/>
              <w:left w:val="single" w:sz="12" w:space="0" w:color="auto"/>
              <w:right w:val="single" w:sz="12" w:space="0" w:color="auto"/>
            </w:tcBorders>
          </w:tcPr>
          <w:p w14:paraId="3058BB22" w14:textId="77777777" w:rsidR="006E335F" w:rsidRPr="006E335F" w:rsidRDefault="006E335F" w:rsidP="00576CB4">
            <w:pPr>
              <w:spacing w:after="0" w:line="240" w:lineRule="auto"/>
              <w:jc w:val="center"/>
              <w:rPr>
                <w:sz w:val="16"/>
                <w:szCs w:val="16"/>
              </w:rPr>
            </w:pPr>
            <w:r w:rsidRPr="006E335F">
              <w:rPr>
                <w:sz w:val="16"/>
                <w:szCs w:val="16"/>
              </w:rPr>
              <w:t>Gap House</w:t>
            </w:r>
          </w:p>
        </w:tc>
        <w:tc>
          <w:tcPr>
            <w:tcW w:w="1406" w:type="dxa"/>
            <w:tcBorders>
              <w:top w:val="single" w:sz="12" w:space="0" w:color="auto"/>
              <w:left w:val="single" w:sz="12" w:space="0" w:color="auto"/>
              <w:right w:val="single" w:sz="12" w:space="0" w:color="auto"/>
            </w:tcBorders>
          </w:tcPr>
          <w:p w14:paraId="570FD93F" w14:textId="77777777" w:rsidR="006E335F" w:rsidRPr="006E335F" w:rsidRDefault="006E335F" w:rsidP="00576CB4">
            <w:pPr>
              <w:spacing w:after="0" w:line="240" w:lineRule="auto"/>
              <w:jc w:val="center"/>
              <w:rPr>
                <w:sz w:val="16"/>
                <w:szCs w:val="16"/>
              </w:rPr>
            </w:pPr>
            <w:r w:rsidRPr="006E335F">
              <w:rPr>
                <w:sz w:val="16"/>
                <w:szCs w:val="16"/>
              </w:rPr>
              <w:t>G B 1662</w:t>
            </w:r>
          </w:p>
        </w:tc>
        <w:tc>
          <w:tcPr>
            <w:tcW w:w="1429" w:type="dxa"/>
            <w:tcBorders>
              <w:top w:val="single" w:sz="12" w:space="0" w:color="auto"/>
              <w:left w:val="single" w:sz="12" w:space="0" w:color="auto"/>
              <w:right w:val="single" w:sz="12" w:space="0" w:color="auto"/>
            </w:tcBorders>
          </w:tcPr>
          <w:p w14:paraId="160E342F" w14:textId="77777777" w:rsidR="006E335F" w:rsidRPr="006E335F" w:rsidRDefault="006E335F" w:rsidP="00576CB4">
            <w:pPr>
              <w:spacing w:after="0" w:line="240" w:lineRule="auto"/>
              <w:jc w:val="center"/>
              <w:rPr>
                <w:sz w:val="16"/>
                <w:szCs w:val="16"/>
              </w:rPr>
            </w:pPr>
            <w:r w:rsidRPr="006E335F">
              <w:rPr>
                <w:sz w:val="16"/>
                <w:szCs w:val="16"/>
              </w:rPr>
              <w:t>Rear, datestone</w:t>
            </w:r>
          </w:p>
        </w:tc>
        <w:tc>
          <w:tcPr>
            <w:tcW w:w="1559" w:type="dxa"/>
            <w:tcBorders>
              <w:top w:val="single" w:sz="12" w:space="0" w:color="auto"/>
              <w:left w:val="single" w:sz="12" w:space="0" w:color="auto"/>
              <w:right w:val="single" w:sz="12" w:space="0" w:color="auto"/>
            </w:tcBorders>
          </w:tcPr>
          <w:p w14:paraId="39F4B0F0" w14:textId="77777777" w:rsidR="006E335F" w:rsidRPr="006E335F" w:rsidRDefault="006E335F" w:rsidP="00576CB4">
            <w:pPr>
              <w:spacing w:after="0" w:line="240" w:lineRule="auto"/>
              <w:jc w:val="center"/>
              <w:rPr>
                <w:sz w:val="16"/>
                <w:szCs w:val="16"/>
              </w:rPr>
            </w:pPr>
            <w:r w:rsidRPr="006E335F">
              <w:rPr>
                <w:sz w:val="16"/>
                <w:szCs w:val="16"/>
              </w:rPr>
              <w:t>George Brocklehurst</w:t>
            </w:r>
          </w:p>
        </w:tc>
        <w:tc>
          <w:tcPr>
            <w:tcW w:w="1134" w:type="dxa"/>
            <w:tcBorders>
              <w:top w:val="single" w:sz="12" w:space="0" w:color="auto"/>
              <w:left w:val="single" w:sz="12" w:space="0" w:color="auto"/>
              <w:right w:val="single" w:sz="12" w:space="0" w:color="auto"/>
            </w:tcBorders>
          </w:tcPr>
          <w:p w14:paraId="7B34B410" w14:textId="77777777" w:rsidR="006E335F" w:rsidRPr="006E335F" w:rsidRDefault="006E335F" w:rsidP="00576CB4">
            <w:pPr>
              <w:spacing w:after="0" w:line="240" w:lineRule="auto"/>
              <w:jc w:val="center"/>
              <w:rPr>
                <w:sz w:val="16"/>
                <w:szCs w:val="16"/>
              </w:rPr>
            </w:pPr>
            <w:r w:rsidRPr="006E335F">
              <w:rPr>
                <w:sz w:val="16"/>
                <w:szCs w:val="16"/>
              </w:rPr>
              <w:t>Yeoman</w:t>
            </w:r>
          </w:p>
        </w:tc>
        <w:tc>
          <w:tcPr>
            <w:tcW w:w="850" w:type="dxa"/>
            <w:tcBorders>
              <w:top w:val="single" w:sz="12" w:space="0" w:color="auto"/>
              <w:left w:val="single" w:sz="12" w:space="0" w:color="auto"/>
              <w:right w:val="single" w:sz="12" w:space="0" w:color="auto"/>
            </w:tcBorders>
          </w:tcPr>
          <w:p w14:paraId="2FECB197"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top w:val="single" w:sz="12" w:space="0" w:color="auto"/>
              <w:left w:val="single" w:sz="12" w:space="0" w:color="auto"/>
              <w:right w:val="single" w:sz="12" w:space="0" w:color="auto"/>
            </w:tcBorders>
          </w:tcPr>
          <w:p w14:paraId="2665B75D"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top w:val="single" w:sz="12" w:space="0" w:color="auto"/>
              <w:left w:val="single" w:sz="12" w:space="0" w:color="auto"/>
              <w:right w:val="single" w:sz="12" w:space="0" w:color="auto"/>
            </w:tcBorders>
          </w:tcPr>
          <w:p w14:paraId="27382588"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top w:val="single" w:sz="12" w:space="0" w:color="auto"/>
              <w:left w:val="single" w:sz="12" w:space="0" w:color="auto"/>
              <w:right w:val="single" w:sz="12" w:space="0" w:color="auto"/>
            </w:tcBorders>
          </w:tcPr>
          <w:p w14:paraId="30049578" w14:textId="77777777" w:rsidR="006E335F" w:rsidRPr="006E335F" w:rsidRDefault="006E335F" w:rsidP="00576CB4">
            <w:pPr>
              <w:spacing w:after="0" w:line="240" w:lineRule="auto"/>
              <w:jc w:val="center"/>
              <w:rPr>
                <w:sz w:val="16"/>
                <w:szCs w:val="16"/>
              </w:rPr>
            </w:pPr>
            <w:r w:rsidRPr="006E335F">
              <w:rPr>
                <w:sz w:val="16"/>
                <w:szCs w:val="16"/>
              </w:rPr>
              <w:t>1662, 1663, 1673/4</w:t>
            </w:r>
          </w:p>
        </w:tc>
        <w:tc>
          <w:tcPr>
            <w:tcW w:w="992" w:type="dxa"/>
            <w:tcBorders>
              <w:top w:val="single" w:sz="12" w:space="0" w:color="auto"/>
              <w:left w:val="single" w:sz="12" w:space="0" w:color="auto"/>
              <w:right w:val="single" w:sz="12" w:space="0" w:color="auto"/>
            </w:tcBorders>
          </w:tcPr>
          <w:p w14:paraId="3AE6E5E0"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top w:val="single" w:sz="12" w:space="0" w:color="auto"/>
              <w:left w:val="single" w:sz="12" w:space="0" w:color="auto"/>
              <w:right w:val="single" w:sz="12" w:space="0" w:color="auto"/>
            </w:tcBorders>
          </w:tcPr>
          <w:p w14:paraId="470D8E94" w14:textId="77777777" w:rsidR="006E335F" w:rsidRPr="006E335F" w:rsidRDefault="006E335F" w:rsidP="00576CB4">
            <w:pPr>
              <w:spacing w:after="0" w:line="240" w:lineRule="auto"/>
              <w:jc w:val="center"/>
              <w:rPr>
                <w:sz w:val="16"/>
                <w:szCs w:val="16"/>
              </w:rPr>
            </w:pPr>
            <w:r w:rsidRPr="006E335F">
              <w:rPr>
                <w:sz w:val="16"/>
                <w:szCs w:val="16"/>
              </w:rPr>
              <w:t>Unknown</w:t>
            </w:r>
          </w:p>
        </w:tc>
      </w:tr>
      <w:tr w:rsidR="006E335F" w:rsidRPr="006E335F" w14:paraId="4D6E41C4" w14:textId="77777777" w:rsidTr="00576CB4">
        <w:tc>
          <w:tcPr>
            <w:tcW w:w="978" w:type="dxa"/>
            <w:vMerge/>
            <w:tcBorders>
              <w:left w:val="single" w:sz="12" w:space="0" w:color="auto"/>
              <w:right w:val="single" w:sz="12" w:space="0" w:color="auto"/>
            </w:tcBorders>
          </w:tcPr>
          <w:p w14:paraId="65D286F4" w14:textId="77777777" w:rsidR="006E335F" w:rsidRPr="006E335F" w:rsidRDefault="006E335F" w:rsidP="00576CB4">
            <w:pPr>
              <w:spacing w:after="0" w:line="240" w:lineRule="auto"/>
              <w:jc w:val="center"/>
              <w:rPr>
                <w:sz w:val="16"/>
                <w:szCs w:val="16"/>
              </w:rPr>
            </w:pPr>
          </w:p>
        </w:tc>
        <w:tc>
          <w:tcPr>
            <w:tcW w:w="1134" w:type="dxa"/>
            <w:vMerge/>
            <w:tcBorders>
              <w:left w:val="single" w:sz="12" w:space="0" w:color="auto"/>
              <w:right w:val="single" w:sz="12" w:space="0" w:color="auto"/>
            </w:tcBorders>
          </w:tcPr>
          <w:p w14:paraId="58903BD8" w14:textId="77777777" w:rsidR="006E335F" w:rsidRPr="006E335F" w:rsidRDefault="006E335F" w:rsidP="00576CB4">
            <w:pPr>
              <w:spacing w:after="0" w:line="240" w:lineRule="auto"/>
              <w:jc w:val="center"/>
              <w:rPr>
                <w:sz w:val="16"/>
                <w:szCs w:val="16"/>
              </w:rPr>
            </w:pPr>
          </w:p>
        </w:tc>
        <w:tc>
          <w:tcPr>
            <w:tcW w:w="1406" w:type="dxa"/>
            <w:tcBorders>
              <w:left w:val="single" w:sz="12" w:space="0" w:color="auto"/>
              <w:right w:val="single" w:sz="12" w:space="0" w:color="auto"/>
            </w:tcBorders>
          </w:tcPr>
          <w:p w14:paraId="3054BB51" w14:textId="77777777" w:rsidR="006E335F" w:rsidRPr="006E335F" w:rsidRDefault="006E335F" w:rsidP="00576CB4">
            <w:pPr>
              <w:spacing w:after="0" w:line="240" w:lineRule="auto"/>
              <w:jc w:val="center"/>
              <w:rPr>
                <w:sz w:val="16"/>
                <w:szCs w:val="16"/>
              </w:rPr>
            </w:pPr>
            <w:r w:rsidRPr="006E335F">
              <w:rPr>
                <w:sz w:val="16"/>
                <w:szCs w:val="16"/>
              </w:rPr>
              <w:t xml:space="preserve">G </w:t>
            </w:r>
            <w:r w:rsidRPr="006E335F">
              <w:rPr>
                <w:sz w:val="16"/>
                <w:szCs w:val="16"/>
                <w:vertAlign w:val="superscript"/>
              </w:rPr>
              <w:t xml:space="preserve">B </w:t>
            </w:r>
            <w:r w:rsidRPr="006E335F">
              <w:rPr>
                <w:sz w:val="16"/>
                <w:szCs w:val="16"/>
              </w:rPr>
              <w:t>A 1773</w:t>
            </w:r>
          </w:p>
        </w:tc>
        <w:tc>
          <w:tcPr>
            <w:tcW w:w="1429" w:type="dxa"/>
            <w:tcBorders>
              <w:left w:val="single" w:sz="12" w:space="0" w:color="auto"/>
              <w:right w:val="single" w:sz="12" w:space="0" w:color="auto"/>
            </w:tcBorders>
          </w:tcPr>
          <w:p w14:paraId="3DA2D0D7" w14:textId="77777777" w:rsidR="006E335F" w:rsidRPr="006E335F" w:rsidRDefault="006E335F" w:rsidP="00576CB4">
            <w:pPr>
              <w:spacing w:after="0" w:line="240" w:lineRule="auto"/>
              <w:jc w:val="center"/>
              <w:rPr>
                <w:sz w:val="16"/>
                <w:szCs w:val="16"/>
              </w:rPr>
            </w:pPr>
            <w:r w:rsidRPr="006E335F">
              <w:rPr>
                <w:sz w:val="16"/>
                <w:szCs w:val="16"/>
              </w:rPr>
              <w:t>Façade, datestone</w:t>
            </w:r>
          </w:p>
        </w:tc>
        <w:tc>
          <w:tcPr>
            <w:tcW w:w="1559" w:type="dxa"/>
            <w:tcBorders>
              <w:left w:val="single" w:sz="12" w:space="0" w:color="auto"/>
              <w:right w:val="single" w:sz="12" w:space="0" w:color="auto"/>
            </w:tcBorders>
          </w:tcPr>
          <w:p w14:paraId="2A32ADB6" w14:textId="77777777" w:rsidR="006E335F" w:rsidRPr="006E335F" w:rsidRDefault="006E335F" w:rsidP="00576CB4">
            <w:pPr>
              <w:spacing w:after="0" w:line="240" w:lineRule="auto"/>
              <w:jc w:val="center"/>
              <w:rPr>
                <w:sz w:val="16"/>
                <w:szCs w:val="16"/>
              </w:rPr>
            </w:pPr>
            <w:r w:rsidRPr="006E335F">
              <w:rPr>
                <w:sz w:val="16"/>
                <w:szCs w:val="16"/>
              </w:rPr>
              <w:t>George Brocklehurst</w:t>
            </w:r>
          </w:p>
        </w:tc>
        <w:tc>
          <w:tcPr>
            <w:tcW w:w="1134" w:type="dxa"/>
            <w:tcBorders>
              <w:left w:val="single" w:sz="12" w:space="0" w:color="auto"/>
              <w:right w:val="single" w:sz="12" w:space="0" w:color="auto"/>
            </w:tcBorders>
          </w:tcPr>
          <w:p w14:paraId="753EDE47" w14:textId="77777777" w:rsidR="006E335F" w:rsidRPr="006E335F" w:rsidRDefault="006E335F" w:rsidP="00576CB4">
            <w:pPr>
              <w:spacing w:after="0" w:line="240" w:lineRule="auto"/>
              <w:jc w:val="center"/>
              <w:rPr>
                <w:sz w:val="16"/>
                <w:szCs w:val="16"/>
              </w:rPr>
            </w:pPr>
            <w:r w:rsidRPr="006E335F">
              <w:rPr>
                <w:sz w:val="16"/>
                <w:szCs w:val="16"/>
              </w:rPr>
              <w:t>Yeoman</w:t>
            </w:r>
          </w:p>
        </w:tc>
        <w:tc>
          <w:tcPr>
            <w:tcW w:w="850" w:type="dxa"/>
            <w:tcBorders>
              <w:left w:val="single" w:sz="12" w:space="0" w:color="auto"/>
              <w:right w:val="single" w:sz="12" w:space="0" w:color="auto"/>
            </w:tcBorders>
          </w:tcPr>
          <w:p w14:paraId="07E24EB8" w14:textId="77777777" w:rsidR="006E335F" w:rsidRPr="006E335F" w:rsidRDefault="006E335F" w:rsidP="00576CB4">
            <w:pPr>
              <w:spacing w:after="0" w:line="240" w:lineRule="auto"/>
              <w:jc w:val="center"/>
              <w:rPr>
                <w:sz w:val="16"/>
                <w:szCs w:val="16"/>
              </w:rPr>
            </w:pPr>
            <w:r w:rsidRPr="006E335F">
              <w:rPr>
                <w:sz w:val="16"/>
                <w:szCs w:val="16"/>
              </w:rPr>
              <w:t>Yes</w:t>
            </w:r>
          </w:p>
        </w:tc>
        <w:tc>
          <w:tcPr>
            <w:tcW w:w="993" w:type="dxa"/>
            <w:tcBorders>
              <w:left w:val="single" w:sz="12" w:space="0" w:color="auto"/>
              <w:right w:val="single" w:sz="12" w:space="0" w:color="auto"/>
            </w:tcBorders>
          </w:tcPr>
          <w:p w14:paraId="0FF2A550"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left w:val="single" w:sz="12" w:space="0" w:color="auto"/>
              <w:right w:val="single" w:sz="12" w:space="0" w:color="auto"/>
            </w:tcBorders>
          </w:tcPr>
          <w:p w14:paraId="6ABCB7F1"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left w:val="single" w:sz="12" w:space="0" w:color="auto"/>
              <w:right w:val="single" w:sz="12" w:space="0" w:color="auto"/>
            </w:tcBorders>
          </w:tcPr>
          <w:p w14:paraId="64E97622"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left w:val="single" w:sz="12" w:space="0" w:color="auto"/>
              <w:right w:val="single" w:sz="12" w:space="0" w:color="auto"/>
            </w:tcBorders>
          </w:tcPr>
          <w:p w14:paraId="6B65F188" w14:textId="77777777" w:rsidR="006E335F" w:rsidRPr="006E335F" w:rsidRDefault="006E335F" w:rsidP="00576CB4">
            <w:pPr>
              <w:spacing w:after="0" w:line="240" w:lineRule="auto"/>
              <w:jc w:val="center"/>
              <w:rPr>
                <w:sz w:val="16"/>
                <w:szCs w:val="16"/>
              </w:rPr>
            </w:pPr>
            <w:r w:rsidRPr="006E335F">
              <w:rPr>
                <w:sz w:val="16"/>
                <w:szCs w:val="16"/>
              </w:rPr>
              <w:t>0</w:t>
            </w:r>
          </w:p>
        </w:tc>
        <w:tc>
          <w:tcPr>
            <w:tcW w:w="1469" w:type="dxa"/>
            <w:tcBorders>
              <w:left w:val="single" w:sz="12" w:space="0" w:color="auto"/>
              <w:right w:val="single" w:sz="12" w:space="0" w:color="auto"/>
            </w:tcBorders>
          </w:tcPr>
          <w:p w14:paraId="40EFDFEC" w14:textId="77777777" w:rsidR="006E335F" w:rsidRPr="006E335F" w:rsidRDefault="006E335F" w:rsidP="00576CB4">
            <w:pPr>
              <w:spacing w:after="0" w:line="240" w:lineRule="auto"/>
              <w:jc w:val="center"/>
              <w:rPr>
                <w:sz w:val="16"/>
                <w:szCs w:val="16"/>
              </w:rPr>
            </w:pPr>
            <w:r w:rsidRPr="006E335F">
              <w:rPr>
                <w:sz w:val="16"/>
                <w:szCs w:val="16"/>
              </w:rPr>
              <w:t>Full signature</w:t>
            </w:r>
          </w:p>
        </w:tc>
      </w:tr>
      <w:tr w:rsidR="006E335F" w:rsidRPr="006E335F" w14:paraId="569674C3" w14:textId="77777777" w:rsidTr="00576CB4">
        <w:tc>
          <w:tcPr>
            <w:tcW w:w="978" w:type="dxa"/>
            <w:vMerge/>
            <w:tcBorders>
              <w:left w:val="single" w:sz="12" w:space="0" w:color="auto"/>
              <w:bottom w:val="single" w:sz="12" w:space="0" w:color="auto"/>
              <w:right w:val="single" w:sz="12" w:space="0" w:color="auto"/>
            </w:tcBorders>
          </w:tcPr>
          <w:p w14:paraId="19DDDEA9" w14:textId="77777777" w:rsidR="006E335F" w:rsidRPr="006E335F" w:rsidRDefault="006E335F"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6FB3C6CB" w14:textId="77777777" w:rsidR="006E335F" w:rsidRPr="006E335F" w:rsidRDefault="006E335F" w:rsidP="00576CB4">
            <w:pPr>
              <w:spacing w:after="0" w:line="240" w:lineRule="auto"/>
              <w:jc w:val="center"/>
              <w:rPr>
                <w:sz w:val="16"/>
                <w:szCs w:val="16"/>
              </w:rPr>
            </w:pPr>
          </w:p>
        </w:tc>
        <w:tc>
          <w:tcPr>
            <w:tcW w:w="1406" w:type="dxa"/>
            <w:tcBorders>
              <w:left w:val="single" w:sz="12" w:space="0" w:color="auto"/>
              <w:bottom w:val="single" w:sz="12" w:space="0" w:color="auto"/>
              <w:right w:val="single" w:sz="12" w:space="0" w:color="auto"/>
            </w:tcBorders>
          </w:tcPr>
          <w:p w14:paraId="5EDE4BEF" w14:textId="77777777" w:rsidR="006E335F" w:rsidRPr="006E335F" w:rsidRDefault="006E335F" w:rsidP="00576CB4">
            <w:pPr>
              <w:spacing w:after="0" w:line="240" w:lineRule="auto"/>
              <w:jc w:val="center"/>
              <w:rPr>
                <w:sz w:val="16"/>
                <w:szCs w:val="16"/>
              </w:rPr>
            </w:pPr>
            <w:r w:rsidRPr="006E335F">
              <w:rPr>
                <w:sz w:val="16"/>
                <w:szCs w:val="16"/>
              </w:rPr>
              <w:t xml:space="preserve">G </w:t>
            </w:r>
            <w:r w:rsidRPr="006E335F">
              <w:rPr>
                <w:sz w:val="16"/>
                <w:szCs w:val="16"/>
                <w:vertAlign w:val="superscript"/>
              </w:rPr>
              <w:t xml:space="preserve">B </w:t>
            </w:r>
            <w:r w:rsidRPr="006E335F">
              <w:rPr>
                <w:sz w:val="16"/>
                <w:szCs w:val="16"/>
              </w:rPr>
              <w:t>A 1773</w:t>
            </w:r>
          </w:p>
        </w:tc>
        <w:tc>
          <w:tcPr>
            <w:tcW w:w="1429" w:type="dxa"/>
            <w:tcBorders>
              <w:left w:val="single" w:sz="12" w:space="0" w:color="auto"/>
              <w:bottom w:val="single" w:sz="12" w:space="0" w:color="auto"/>
              <w:right w:val="single" w:sz="12" w:space="0" w:color="auto"/>
            </w:tcBorders>
          </w:tcPr>
          <w:p w14:paraId="11140923" w14:textId="77777777" w:rsidR="006E335F" w:rsidRPr="006E335F" w:rsidRDefault="006E335F" w:rsidP="00576CB4">
            <w:pPr>
              <w:spacing w:after="0" w:line="240" w:lineRule="auto"/>
              <w:jc w:val="center"/>
              <w:rPr>
                <w:sz w:val="16"/>
                <w:szCs w:val="16"/>
              </w:rPr>
            </w:pPr>
            <w:r w:rsidRPr="006E335F">
              <w:rPr>
                <w:sz w:val="16"/>
                <w:szCs w:val="16"/>
              </w:rPr>
              <w:t>Side, hopper head</w:t>
            </w:r>
          </w:p>
        </w:tc>
        <w:tc>
          <w:tcPr>
            <w:tcW w:w="1559" w:type="dxa"/>
            <w:tcBorders>
              <w:left w:val="single" w:sz="12" w:space="0" w:color="auto"/>
              <w:bottom w:val="single" w:sz="12" w:space="0" w:color="auto"/>
              <w:right w:val="single" w:sz="12" w:space="0" w:color="auto"/>
            </w:tcBorders>
          </w:tcPr>
          <w:p w14:paraId="48AF3A1D" w14:textId="77777777" w:rsidR="006E335F" w:rsidRPr="006E335F" w:rsidRDefault="006E335F" w:rsidP="00576CB4">
            <w:pPr>
              <w:spacing w:after="0" w:line="240" w:lineRule="auto"/>
              <w:jc w:val="center"/>
              <w:rPr>
                <w:sz w:val="16"/>
                <w:szCs w:val="16"/>
              </w:rPr>
            </w:pPr>
            <w:r w:rsidRPr="006E335F">
              <w:rPr>
                <w:sz w:val="16"/>
                <w:szCs w:val="16"/>
              </w:rPr>
              <w:t>Ann Brocklehurst</w:t>
            </w:r>
          </w:p>
        </w:tc>
        <w:tc>
          <w:tcPr>
            <w:tcW w:w="1134" w:type="dxa"/>
            <w:tcBorders>
              <w:left w:val="single" w:sz="12" w:space="0" w:color="auto"/>
              <w:bottom w:val="single" w:sz="12" w:space="0" w:color="auto"/>
              <w:right w:val="single" w:sz="12" w:space="0" w:color="auto"/>
            </w:tcBorders>
          </w:tcPr>
          <w:p w14:paraId="05553F6F" w14:textId="77777777" w:rsidR="006E335F" w:rsidRPr="006E335F" w:rsidRDefault="006E335F" w:rsidP="00576CB4">
            <w:pPr>
              <w:numPr>
                <w:ilvl w:val="0"/>
                <w:numId w:val="8"/>
              </w:numPr>
              <w:spacing w:after="0" w:line="240" w:lineRule="auto"/>
              <w:contextualSpacing/>
              <w:jc w:val="center"/>
              <w:rPr>
                <w:sz w:val="16"/>
                <w:szCs w:val="16"/>
              </w:rPr>
            </w:pPr>
          </w:p>
        </w:tc>
        <w:tc>
          <w:tcPr>
            <w:tcW w:w="850" w:type="dxa"/>
            <w:tcBorders>
              <w:left w:val="single" w:sz="12" w:space="0" w:color="auto"/>
              <w:bottom w:val="single" w:sz="12" w:space="0" w:color="auto"/>
              <w:right w:val="single" w:sz="12" w:space="0" w:color="auto"/>
            </w:tcBorders>
          </w:tcPr>
          <w:p w14:paraId="326F3115"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left w:val="single" w:sz="12" w:space="0" w:color="auto"/>
              <w:bottom w:val="single" w:sz="12" w:space="0" w:color="auto"/>
              <w:right w:val="single" w:sz="12" w:space="0" w:color="auto"/>
            </w:tcBorders>
          </w:tcPr>
          <w:p w14:paraId="6EBACF76"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left w:val="single" w:sz="12" w:space="0" w:color="auto"/>
              <w:bottom w:val="single" w:sz="12" w:space="0" w:color="auto"/>
              <w:right w:val="single" w:sz="12" w:space="0" w:color="auto"/>
            </w:tcBorders>
          </w:tcPr>
          <w:p w14:paraId="0FB5E419"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left w:val="single" w:sz="12" w:space="0" w:color="auto"/>
              <w:bottom w:val="single" w:sz="12" w:space="0" w:color="auto"/>
              <w:right w:val="single" w:sz="12" w:space="0" w:color="auto"/>
            </w:tcBorders>
          </w:tcPr>
          <w:p w14:paraId="4FFC3ADE"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left w:val="single" w:sz="12" w:space="0" w:color="auto"/>
              <w:bottom w:val="single" w:sz="12" w:space="0" w:color="auto"/>
              <w:right w:val="single" w:sz="12" w:space="0" w:color="auto"/>
            </w:tcBorders>
          </w:tcPr>
          <w:p w14:paraId="1A6B41CC"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left w:val="single" w:sz="12" w:space="0" w:color="auto"/>
              <w:bottom w:val="single" w:sz="12" w:space="0" w:color="auto"/>
              <w:right w:val="single" w:sz="12" w:space="0" w:color="auto"/>
            </w:tcBorders>
          </w:tcPr>
          <w:p w14:paraId="1FC7FF36" w14:textId="77777777" w:rsidR="006E335F" w:rsidRPr="006E335F" w:rsidRDefault="006E335F" w:rsidP="00576CB4">
            <w:pPr>
              <w:spacing w:after="0" w:line="240" w:lineRule="auto"/>
              <w:jc w:val="center"/>
              <w:rPr>
                <w:sz w:val="16"/>
                <w:szCs w:val="16"/>
              </w:rPr>
            </w:pPr>
            <w:r w:rsidRPr="006E335F">
              <w:rPr>
                <w:sz w:val="16"/>
                <w:szCs w:val="16"/>
              </w:rPr>
              <w:t>Full signature</w:t>
            </w:r>
          </w:p>
        </w:tc>
      </w:tr>
      <w:tr w:rsidR="006E335F" w:rsidRPr="006E335F" w14:paraId="5A2D2121" w14:textId="77777777" w:rsidTr="00576CB4">
        <w:tc>
          <w:tcPr>
            <w:tcW w:w="978" w:type="dxa"/>
            <w:tcBorders>
              <w:top w:val="single" w:sz="12" w:space="0" w:color="auto"/>
              <w:left w:val="single" w:sz="12" w:space="0" w:color="auto"/>
              <w:bottom w:val="single" w:sz="12" w:space="0" w:color="auto"/>
              <w:right w:val="single" w:sz="12" w:space="0" w:color="auto"/>
            </w:tcBorders>
          </w:tcPr>
          <w:p w14:paraId="650A34E1" w14:textId="77777777" w:rsidR="006E335F" w:rsidRPr="006E335F" w:rsidRDefault="006E335F" w:rsidP="00576CB4">
            <w:pPr>
              <w:spacing w:after="0" w:line="240" w:lineRule="auto"/>
              <w:jc w:val="center"/>
              <w:rPr>
                <w:sz w:val="16"/>
                <w:szCs w:val="16"/>
              </w:rPr>
            </w:pPr>
            <w:r w:rsidRPr="006E335F">
              <w:rPr>
                <w:sz w:val="16"/>
                <w:szCs w:val="16"/>
              </w:rPr>
              <w:t>But.</w:t>
            </w:r>
          </w:p>
        </w:tc>
        <w:tc>
          <w:tcPr>
            <w:tcW w:w="1134" w:type="dxa"/>
            <w:tcBorders>
              <w:top w:val="single" w:sz="12" w:space="0" w:color="auto"/>
              <w:left w:val="single" w:sz="12" w:space="0" w:color="auto"/>
              <w:bottom w:val="single" w:sz="12" w:space="0" w:color="auto"/>
              <w:right w:val="single" w:sz="12" w:space="0" w:color="auto"/>
            </w:tcBorders>
          </w:tcPr>
          <w:p w14:paraId="539B85FC" w14:textId="77777777" w:rsidR="006E335F" w:rsidRPr="006E335F" w:rsidRDefault="006E335F" w:rsidP="00576CB4">
            <w:pPr>
              <w:spacing w:after="0" w:line="240" w:lineRule="auto"/>
              <w:jc w:val="center"/>
              <w:rPr>
                <w:sz w:val="16"/>
                <w:szCs w:val="16"/>
              </w:rPr>
            </w:pPr>
            <w:r w:rsidRPr="006E335F">
              <w:rPr>
                <w:sz w:val="16"/>
                <w:szCs w:val="16"/>
              </w:rPr>
              <w:t>Heybridge Farmhouse</w:t>
            </w:r>
          </w:p>
        </w:tc>
        <w:tc>
          <w:tcPr>
            <w:tcW w:w="1406" w:type="dxa"/>
            <w:tcBorders>
              <w:top w:val="single" w:sz="12" w:space="0" w:color="auto"/>
              <w:left w:val="single" w:sz="12" w:space="0" w:color="auto"/>
              <w:bottom w:val="single" w:sz="12" w:space="0" w:color="auto"/>
              <w:right w:val="single" w:sz="12" w:space="0" w:color="auto"/>
            </w:tcBorders>
          </w:tcPr>
          <w:p w14:paraId="1070041E" w14:textId="77777777" w:rsidR="006E335F" w:rsidRPr="006E335F" w:rsidRDefault="006E335F" w:rsidP="00576CB4">
            <w:pPr>
              <w:spacing w:after="0" w:line="240" w:lineRule="auto"/>
              <w:jc w:val="center"/>
              <w:rPr>
                <w:sz w:val="16"/>
                <w:szCs w:val="16"/>
              </w:rPr>
            </w:pPr>
            <w:r w:rsidRPr="006E335F">
              <w:rPr>
                <w:sz w:val="16"/>
                <w:szCs w:val="16"/>
              </w:rPr>
              <w:t xml:space="preserve">T </w:t>
            </w:r>
            <w:r w:rsidRPr="006E335F">
              <w:rPr>
                <w:sz w:val="16"/>
                <w:szCs w:val="16"/>
                <w:vertAlign w:val="subscript"/>
              </w:rPr>
              <w:t>F</w:t>
            </w:r>
            <w:r w:rsidRPr="006E335F">
              <w:rPr>
                <w:sz w:val="16"/>
                <w:szCs w:val="16"/>
              </w:rPr>
              <w:t xml:space="preserve"> C 1682</w:t>
            </w:r>
          </w:p>
        </w:tc>
        <w:tc>
          <w:tcPr>
            <w:tcW w:w="1429" w:type="dxa"/>
            <w:tcBorders>
              <w:top w:val="single" w:sz="12" w:space="0" w:color="auto"/>
              <w:left w:val="single" w:sz="12" w:space="0" w:color="auto"/>
              <w:bottom w:val="single" w:sz="12" w:space="0" w:color="auto"/>
              <w:right w:val="single" w:sz="12" w:space="0" w:color="auto"/>
            </w:tcBorders>
          </w:tcPr>
          <w:p w14:paraId="345AB822" w14:textId="77777777" w:rsidR="006E335F" w:rsidRPr="006E335F" w:rsidRDefault="006E335F" w:rsidP="00576CB4">
            <w:pPr>
              <w:spacing w:after="0" w:line="240" w:lineRule="auto"/>
              <w:jc w:val="center"/>
              <w:rPr>
                <w:sz w:val="16"/>
                <w:szCs w:val="16"/>
              </w:rPr>
            </w:pPr>
            <w:r w:rsidRPr="006E335F">
              <w:rPr>
                <w:sz w:val="16"/>
                <w:szCs w:val="16"/>
              </w:rPr>
              <w:t>Façade, datestone</w:t>
            </w:r>
          </w:p>
        </w:tc>
        <w:tc>
          <w:tcPr>
            <w:tcW w:w="1559" w:type="dxa"/>
            <w:tcBorders>
              <w:top w:val="single" w:sz="12" w:space="0" w:color="auto"/>
              <w:left w:val="single" w:sz="12" w:space="0" w:color="auto"/>
              <w:bottom w:val="single" w:sz="12" w:space="0" w:color="auto"/>
              <w:right w:val="single" w:sz="12" w:space="0" w:color="auto"/>
            </w:tcBorders>
          </w:tcPr>
          <w:p w14:paraId="1756C3E6" w14:textId="77777777" w:rsidR="006E335F" w:rsidRPr="006E335F" w:rsidRDefault="006E335F" w:rsidP="00576CB4">
            <w:pPr>
              <w:spacing w:after="0" w:line="240" w:lineRule="auto"/>
              <w:jc w:val="center"/>
              <w:rPr>
                <w:sz w:val="16"/>
                <w:szCs w:val="16"/>
              </w:rPr>
            </w:pPr>
            <w:r w:rsidRPr="006E335F">
              <w:rPr>
                <w:sz w:val="16"/>
                <w:szCs w:val="16"/>
              </w:rPr>
              <w:t>Thomas Crowther</w:t>
            </w:r>
          </w:p>
        </w:tc>
        <w:tc>
          <w:tcPr>
            <w:tcW w:w="1134" w:type="dxa"/>
            <w:tcBorders>
              <w:top w:val="single" w:sz="12" w:space="0" w:color="auto"/>
              <w:left w:val="single" w:sz="12" w:space="0" w:color="auto"/>
              <w:bottom w:val="single" w:sz="12" w:space="0" w:color="auto"/>
              <w:right w:val="single" w:sz="12" w:space="0" w:color="auto"/>
            </w:tcBorders>
          </w:tcPr>
          <w:p w14:paraId="76A61655" w14:textId="77777777" w:rsidR="006E335F" w:rsidRPr="006E335F" w:rsidRDefault="006E335F" w:rsidP="00576CB4">
            <w:pPr>
              <w:spacing w:after="0" w:line="240" w:lineRule="auto"/>
              <w:jc w:val="center"/>
              <w:rPr>
                <w:sz w:val="16"/>
                <w:szCs w:val="16"/>
              </w:rPr>
            </w:pPr>
            <w:r w:rsidRPr="006E335F">
              <w:rPr>
                <w:sz w:val="16"/>
                <w:szCs w:val="16"/>
              </w:rPr>
              <w:t>Yeoman</w:t>
            </w:r>
          </w:p>
        </w:tc>
        <w:tc>
          <w:tcPr>
            <w:tcW w:w="850" w:type="dxa"/>
            <w:tcBorders>
              <w:top w:val="single" w:sz="12" w:space="0" w:color="auto"/>
              <w:left w:val="single" w:sz="12" w:space="0" w:color="auto"/>
              <w:bottom w:val="single" w:sz="12" w:space="0" w:color="auto"/>
              <w:right w:val="single" w:sz="12" w:space="0" w:color="auto"/>
            </w:tcBorders>
          </w:tcPr>
          <w:p w14:paraId="5CB3BB88"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top w:val="single" w:sz="12" w:space="0" w:color="auto"/>
              <w:left w:val="single" w:sz="12" w:space="0" w:color="auto"/>
              <w:bottom w:val="single" w:sz="12" w:space="0" w:color="auto"/>
              <w:right w:val="single" w:sz="12" w:space="0" w:color="auto"/>
            </w:tcBorders>
          </w:tcPr>
          <w:p w14:paraId="762E2599"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top w:val="single" w:sz="12" w:space="0" w:color="auto"/>
              <w:left w:val="single" w:sz="12" w:space="0" w:color="auto"/>
              <w:bottom w:val="single" w:sz="12" w:space="0" w:color="auto"/>
              <w:right w:val="single" w:sz="12" w:space="0" w:color="auto"/>
            </w:tcBorders>
          </w:tcPr>
          <w:p w14:paraId="63654C93"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top w:val="single" w:sz="12" w:space="0" w:color="auto"/>
              <w:left w:val="single" w:sz="12" w:space="0" w:color="auto"/>
              <w:bottom w:val="single" w:sz="12" w:space="0" w:color="auto"/>
              <w:right w:val="single" w:sz="12" w:space="0" w:color="auto"/>
            </w:tcBorders>
          </w:tcPr>
          <w:p w14:paraId="4037961E"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top w:val="single" w:sz="12" w:space="0" w:color="auto"/>
              <w:left w:val="single" w:sz="12" w:space="0" w:color="auto"/>
              <w:bottom w:val="single" w:sz="12" w:space="0" w:color="auto"/>
              <w:right w:val="single" w:sz="12" w:space="0" w:color="auto"/>
            </w:tcBorders>
          </w:tcPr>
          <w:p w14:paraId="2F86DA43"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top w:val="single" w:sz="12" w:space="0" w:color="auto"/>
              <w:left w:val="single" w:sz="12" w:space="0" w:color="auto"/>
              <w:bottom w:val="single" w:sz="12" w:space="0" w:color="auto"/>
              <w:right w:val="single" w:sz="12" w:space="0" w:color="auto"/>
            </w:tcBorders>
          </w:tcPr>
          <w:p w14:paraId="636FFC40" w14:textId="77777777" w:rsidR="006E335F" w:rsidRPr="006E335F" w:rsidRDefault="006E335F" w:rsidP="00576CB4">
            <w:pPr>
              <w:spacing w:after="0" w:line="240" w:lineRule="auto"/>
              <w:jc w:val="center"/>
              <w:rPr>
                <w:sz w:val="16"/>
                <w:szCs w:val="16"/>
              </w:rPr>
            </w:pPr>
            <w:r w:rsidRPr="006E335F">
              <w:rPr>
                <w:sz w:val="16"/>
                <w:szCs w:val="16"/>
              </w:rPr>
              <w:t>Unknown</w:t>
            </w:r>
          </w:p>
        </w:tc>
      </w:tr>
      <w:tr w:rsidR="006E335F" w:rsidRPr="006E335F" w14:paraId="233469B5" w14:textId="77777777" w:rsidTr="00576CB4">
        <w:trPr>
          <w:trHeight w:val="553"/>
        </w:trPr>
        <w:tc>
          <w:tcPr>
            <w:tcW w:w="978" w:type="dxa"/>
            <w:vMerge w:val="restart"/>
            <w:tcBorders>
              <w:top w:val="single" w:sz="12" w:space="0" w:color="auto"/>
              <w:left w:val="single" w:sz="12" w:space="0" w:color="auto"/>
              <w:right w:val="single" w:sz="12" w:space="0" w:color="auto"/>
            </w:tcBorders>
          </w:tcPr>
          <w:p w14:paraId="105CCED3" w14:textId="77777777" w:rsidR="006E335F" w:rsidRPr="006E335F" w:rsidRDefault="006E335F" w:rsidP="00576CB4">
            <w:pPr>
              <w:spacing w:after="0" w:line="240" w:lineRule="auto"/>
              <w:jc w:val="center"/>
              <w:rPr>
                <w:sz w:val="16"/>
                <w:szCs w:val="16"/>
              </w:rPr>
            </w:pPr>
            <w:r w:rsidRPr="006E335F">
              <w:rPr>
                <w:sz w:val="16"/>
                <w:szCs w:val="16"/>
              </w:rPr>
              <w:t>But.</w:t>
            </w:r>
          </w:p>
        </w:tc>
        <w:tc>
          <w:tcPr>
            <w:tcW w:w="1134" w:type="dxa"/>
            <w:vMerge w:val="restart"/>
            <w:tcBorders>
              <w:top w:val="single" w:sz="12" w:space="0" w:color="auto"/>
              <w:left w:val="single" w:sz="12" w:space="0" w:color="auto"/>
              <w:right w:val="single" w:sz="12" w:space="0" w:color="auto"/>
            </w:tcBorders>
          </w:tcPr>
          <w:p w14:paraId="53773457" w14:textId="77777777" w:rsidR="006E335F" w:rsidRPr="006E335F" w:rsidRDefault="006E335F" w:rsidP="00576CB4">
            <w:pPr>
              <w:spacing w:after="0" w:line="240" w:lineRule="auto"/>
              <w:jc w:val="center"/>
              <w:rPr>
                <w:sz w:val="16"/>
                <w:szCs w:val="16"/>
              </w:rPr>
            </w:pPr>
            <w:r w:rsidRPr="006E335F">
              <w:rPr>
                <w:sz w:val="16"/>
                <w:szCs w:val="16"/>
              </w:rPr>
              <w:t>Brooks Cottage</w:t>
            </w:r>
          </w:p>
        </w:tc>
        <w:tc>
          <w:tcPr>
            <w:tcW w:w="1406" w:type="dxa"/>
            <w:vMerge w:val="restart"/>
            <w:tcBorders>
              <w:top w:val="single" w:sz="12" w:space="0" w:color="auto"/>
              <w:left w:val="single" w:sz="12" w:space="0" w:color="auto"/>
              <w:right w:val="single" w:sz="12" w:space="0" w:color="auto"/>
            </w:tcBorders>
          </w:tcPr>
          <w:p w14:paraId="1F1FD695" w14:textId="77777777" w:rsidR="006E335F" w:rsidRPr="006E335F" w:rsidRDefault="006E335F" w:rsidP="00576CB4">
            <w:pPr>
              <w:spacing w:after="0" w:line="240" w:lineRule="auto"/>
              <w:jc w:val="center"/>
              <w:rPr>
                <w:sz w:val="16"/>
                <w:szCs w:val="16"/>
              </w:rPr>
            </w:pPr>
            <w:r w:rsidRPr="006E335F">
              <w:rPr>
                <w:sz w:val="16"/>
                <w:szCs w:val="16"/>
              </w:rPr>
              <w:t xml:space="preserve">Rodger Brooks and </w:t>
            </w:r>
            <w:proofErr w:type="gramStart"/>
            <w:r w:rsidRPr="006E335F">
              <w:rPr>
                <w:sz w:val="16"/>
                <w:szCs w:val="16"/>
              </w:rPr>
              <w:t>Ellen</w:t>
            </w:r>
            <w:proofErr w:type="gramEnd"/>
            <w:r w:rsidRPr="006E335F">
              <w:rPr>
                <w:sz w:val="16"/>
                <w:szCs w:val="16"/>
              </w:rPr>
              <w:t xml:space="preserve"> his Wife Erected this house </w:t>
            </w:r>
            <w:proofErr w:type="gramStart"/>
            <w:r w:rsidRPr="006E335F">
              <w:rPr>
                <w:sz w:val="16"/>
                <w:szCs w:val="16"/>
              </w:rPr>
              <w:t>In</w:t>
            </w:r>
            <w:proofErr w:type="gramEnd"/>
            <w:r w:rsidRPr="006E335F">
              <w:rPr>
                <w:sz w:val="16"/>
                <w:szCs w:val="16"/>
              </w:rPr>
              <w:t xml:space="preserve"> the 24 </w:t>
            </w:r>
            <w:proofErr w:type="spellStart"/>
            <w:r w:rsidRPr="006E335F">
              <w:rPr>
                <w:sz w:val="16"/>
                <w:szCs w:val="16"/>
              </w:rPr>
              <w:t>yeare</w:t>
            </w:r>
            <w:proofErr w:type="spellEnd"/>
            <w:r w:rsidRPr="006E335F">
              <w:rPr>
                <w:sz w:val="16"/>
                <w:szCs w:val="16"/>
              </w:rPr>
              <w:t xml:space="preserve"> of his Life: A</w:t>
            </w:r>
            <w:r w:rsidRPr="006E335F">
              <w:rPr>
                <w:rFonts w:cs="Calibri"/>
                <w:sz w:val="16"/>
                <w:szCs w:val="16"/>
              </w:rPr>
              <w:t>ñ</w:t>
            </w:r>
            <w:r w:rsidRPr="006E335F">
              <w:rPr>
                <w:sz w:val="16"/>
                <w:szCs w:val="16"/>
              </w:rPr>
              <w:t>o: Dom 1686</w:t>
            </w:r>
          </w:p>
        </w:tc>
        <w:tc>
          <w:tcPr>
            <w:tcW w:w="1429" w:type="dxa"/>
            <w:vMerge w:val="restart"/>
            <w:tcBorders>
              <w:top w:val="single" w:sz="12" w:space="0" w:color="auto"/>
              <w:left w:val="single" w:sz="12" w:space="0" w:color="auto"/>
              <w:right w:val="single" w:sz="12" w:space="0" w:color="auto"/>
            </w:tcBorders>
          </w:tcPr>
          <w:p w14:paraId="2377D7F7" w14:textId="77777777" w:rsidR="006E335F" w:rsidRPr="006E335F" w:rsidRDefault="006E335F" w:rsidP="00576CB4">
            <w:pPr>
              <w:spacing w:after="0" w:line="240" w:lineRule="auto"/>
              <w:jc w:val="center"/>
              <w:rPr>
                <w:sz w:val="16"/>
                <w:szCs w:val="16"/>
              </w:rPr>
            </w:pPr>
            <w:r w:rsidRPr="006E335F">
              <w:rPr>
                <w:sz w:val="16"/>
                <w:szCs w:val="16"/>
              </w:rPr>
              <w:t>Façade, plaque</w:t>
            </w:r>
          </w:p>
        </w:tc>
        <w:tc>
          <w:tcPr>
            <w:tcW w:w="1559" w:type="dxa"/>
            <w:tcBorders>
              <w:top w:val="single" w:sz="12" w:space="0" w:color="auto"/>
              <w:left w:val="single" w:sz="12" w:space="0" w:color="auto"/>
              <w:right w:val="single" w:sz="12" w:space="0" w:color="auto"/>
            </w:tcBorders>
          </w:tcPr>
          <w:p w14:paraId="47A4DD4C" w14:textId="77777777" w:rsidR="006E335F" w:rsidRPr="006E335F" w:rsidRDefault="006E335F" w:rsidP="00576CB4">
            <w:pPr>
              <w:spacing w:after="0" w:line="240" w:lineRule="auto"/>
              <w:jc w:val="center"/>
              <w:rPr>
                <w:sz w:val="16"/>
                <w:szCs w:val="16"/>
              </w:rPr>
            </w:pPr>
            <w:r w:rsidRPr="006E335F">
              <w:rPr>
                <w:sz w:val="16"/>
                <w:szCs w:val="16"/>
              </w:rPr>
              <w:t>Roger Brooks</w:t>
            </w:r>
          </w:p>
        </w:tc>
        <w:tc>
          <w:tcPr>
            <w:tcW w:w="1134" w:type="dxa"/>
            <w:tcBorders>
              <w:top w:val="single" w:sz="12" w:space="0" w:color="auto"/>
              <w:left w:val="single" w:sz="12" w:space="0" w:color="auto"/>
              <w:right w:val="single" w:sz="12" w:space="0" w:color="auto"/>
            </w:tcBorders>
          </w:tcPr>
          <w:p w14:paraId="1ACA79CA" w14:textId="77777777" w:rsidR="006E335F" w:rsidRPr="006E335F" w:rsidRDefault="006E335F" w:rsidP="00576CB4">
            <w:pPr>
              <w:spacing w:after="0" w:line="240" w:lineRule="auto"/>
              <w:jc w:val="center"/>
              <w:rPr>
                <w:sz w:val="16"/>
                <w:szCs w:val="16"/>
              </w:rPr>
            </w:pPr>
            <w:r w:rsidRPr="006E335F">
              <w:rPr>
                <w:sz w:val="16"/>
                <w:szCs w:val="16"/>
              </w:rPr>
              <w:t>Tradesman (Slater)</w:t>
            </w:r>
          </w:p>
        </w:tc>
        <w:tc>
          <w:tcPr>
            <w:tcW w:w="850" w:type="dxa"/>
            <w:tcBorders>
              <w:top w:val="single" w:sz="12" w:space="0" w:color="auto"/>
              <w:left w:val="single" w:sz="12" w:space="0" w:color="auto"/>
              <w:right w:val="single" w:sz="12" w:space="0" w:color="auto"/>
            </w:tcBorders>
          </w:tcPr>
          <w:p w14:paraId="64AEF14E"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top w:val="single" w:sz="12" w:space="0" w:color="auto"/>
              <w:left w:val="single" w:sz="12" w:space="0" w:color="auto"/>
              <w:right w:val="single" w:sz="12" w:space="0" w:color="auto"/>
            </w:tcBorders>
          </w:tcPr>
          <w:p w14:paraId="266C1CA6"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top w:val="single" w:sz="12" w:space="0" w:color="auto"/>
              <w:left w:val="single" w:sz="12" w:space="0" w:color="auto"/>
              <w:right w:val="single" w:sz="12" w:space="0" w:color="auto"/>
            </w:tcBorders>
          </w:tcPr>
          <w:p w14:paraId="1C93C195"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top w:val="single" w:sz="12" w:space="0" w:color="auto"/>
              <w:left w:val="single" w:sz="12" w:space="0" w:color="auto"/>
              <w:right w:val="single" w:sz="12" w:space="0" w:color="auto"/>
            </w:tcBorders>
          </w:tcPr>
          <w:p w14:paraId="6B762A39"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top w:val="single" w:sz="12" w:space="0" w:color="auto"/>
              <w:left w:val="single" w:sz="12" w:space="0" w:color="auto"/>
              <w:right w:val="single" w:sz="12" w:space="0" w:color="auto"/>
            </w:tcBorders>
          </w:tcPr>
          <w:p w14:paraId="2F3EB648"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top w:val="single" w:sz="12" w:space="0" w:color="auto"/>
              <w:left w:val="single" w:sz="12" w:space="0" w:color="auto"/>
              <w:right w:val="single" w:sz="12" w:space="0" w:color="auto"/>
            </w:tcBorders>
          </w:tcPr>
          <w:p w14:paraId="13E3BF73" w14:textId="77777777" w:rsidR="006E335F" w:rsidRPr="006E335F" w:rsidRDefault="006E335F" w:rsidP="00576CB4">
            <w:pPr>
              <w:spacing w:after="0" w:line="240" w:lineRule="auto"/>
              <w:jc w:val="center"/>
              <w:rPr>
                <w:sz w:val="16"/>
                <w:szCs w:val="16"/>
              </w:rPr>
            </w:pPr>
            <w:r w:rsidRPr="006E335F">
              <w:rPr>
                <w:sz w:val="16"/>
                <w:szCs w:val="16"/>
              </w:rPr>
              <w:t>Full signature</w:t>
            </w:r>
          </w:p>
        </w:tc>
      </w:tr>
      <w:tr w:rsidR="006E335F" w:rsidRPr="006E335F" w14:paraId="0C1B7BC8" w14:textId="77777777" w:rsidTr="00576CB4">
        <w:tc>
          <w:tcPr>
            <w:tcW w:w="978" w:type="dxa"/>
            <w:vMerge/>
            <w:tcBorders>
              <w:left w:val="single" w:sz="12" w:space="0" w:color="auto"/>
              <w:bottom w:val="single" w:sz="12" w:space="0" w:color="auto"/>
              <w:right w:val="single" w:sz="12" w:space="0" w:color="auto"/>
            </w:tcBorders>
          </w:tcPr>
          <w:p w14:paraId="2CC810CF" w14:textId="77777777" w:rsidR="006E335F" w:rsidRPr="006E335F" w:rsidRDefault="006E335F"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123996B1" w14:textId="77777777" w:rsidR="006E335F" w:rsidRPr="006E335F" w:rsidRDefault="006E335F" w:rsidP="00576CB4">
            <w:pPr>
              <w:spacing w:after="0" w:line="240" w:lineRule="auto"/>
              <w:jc w:val="center"/>
              <w:rPr>
                <w:sz w:val="16"/>
                <w:szCs w:val="16"/>
              </w:rPr>
            </w:pPr>
          </w:p>
        </w:tc>
        <w:tc>
          <w:tcPr>
            <w:tcW w:w="1406" w:type="dxa"/>
            <w:vMerge/>
            <w:tcBorders>
              <w:left w:val="single" w:sz="12" w:space="0" w:color="auto"/>
              <w:bottom w:val="single" w:sz="12" w:space="0" w:color="auto"/>
              <w:right w:val="single" w:sz="12" w:space="0" w:color="auto"/>
            </w:tcBorders>
          </w:tcPr>
          <w:p w14:paraId="4656AE56" w14:textId="77777777" w:rsidR="006E335F" w:rsidRPr="006E335F" w:rsidRDefault="006E335F" w:rsidP="00576CB4">
            <w:pPr>
              <w:spacing w:after="0" w:line="240" w:lineRule="auto"/>
              <w:jc w:val="center"/>
              <w:rPr>
                <w:sz w:val="16"/>
                <w:szCs w:val="16"/>
              </w:rPr>
            </w:pPr>
          </w:p>
        </w:tc>
        <w:tc>
          <w:tcPr>
            <w:tcW w:w="1429" w:type="dxa"/>
            <w:vMerge/>
            <w:tcBorders>
              <w:left w:val="single" w:sz="12" w:space="0" w:color="auto"/>
              <w:bottom w:val="single" w:sz="12" w:space="0" w:color="auto"/>
              <w:right w:val="single" w:sz="12" w:space="0" w:color="auto"/>
            </w:tcBorders>
          </w:tcPr>
          <w:p w14:paraId="066AEF44" w14:textId="77777777" w:rsidR="006E335F" w:rsidRPr="006E335F" w:rsidRDefault="006E335F" w:rsidP="00576CB4">
            <w:pPr>
              <w:spacing w:after="0" w:line="240" w:lineRule="auto"/>
              <w:jc w:val="center"/>
              <w:rPr>
                <w:sz w:val="16"/>
                <w:szCs w:val="16"/>
              </w:rPr>
            </w:pPr>
          </w:p>
        </w:tc>
        <w:tc>
          <w:tcPr>
            <w:tcW w:w="1559" w:type="dxa"/>
            <w:tcBorders>
              <w:left w:val="single" w:sz="12" w:space="0" w:color="auto"/>
              <w:bottom w:val="single" w:sz="12" w:space="0" w:color="auto"/>
              <w:right w:val="single" w:sz="12" w:space="0" w:color="auto"/>
            </w:tcBorders>
          </w:tcPr>
          <w:p w14:paraId="4F69A4E5" w14:textId="77777777" w:rsidR="006E335F" w:rsidRPr="006E335F" w:rsidRDefault="006E335F" w:rsidP="00576CB4">
            <w:pPr>
              <w:spacing w:after="0" w:line="240" w:lineRule="auto"/>
              <w:jc w:val="center"/>
              <w:rPr>
                <w:sz w:val="16"/>
                <w:szCs w:val="16"/>
              </w:rPr>
            </w:pPr>
            <w:r w:rsidRPr="006E335F">
              <w:rPr>
                <w:sz w:val="16"/>
                <w:szCs w:val="16"/>
              </w:rPr>
              <w:t>Ellen Brooks</w:t>
            </w:r>
          </w:p>
        </w:tc>
        <w:tc>
          <w:tcPr>
            <w:tcW w:w="1134" w:type="dxa"/>
            <w:tcBorders>
              <w:left w:val="single" w:sz="12" w:space="0" w:color="auto"/>
              <w:bottom w:val="single" w:sz="12" w:space="0" w:color="auto"/>
              <w:right w:val="single" w:sz="12" w:space="0" w:color="auto"/>
            </w:tcBorders>
          </w:tcPr>
          <w:p w14:paraId="22E7D0F1" w14:textId="77777777" w:rsidR="006E335F" w:rsidRPr="006E335F" w:rsidRDefault="006E335F" w:rsidP="00576CB4">
            <w:pPr>
              <w:numPr>
                <w:ilvl w:val="0"/>
                <w:numId w:val="8"/>
              </w:numPr>
              <w:spacing w:after="0" w:line="240" w:lineRule="auto"/>
              <w:contextualSpacing/>
              <w:jc w:val="center"/>
              <w:rPr>
                <w:sz w:val="16"/>
                <w:szCs w:val="16"/>
              </w:rPr>
            </w:pPr>
          </w:p>
        </w:tc>
        <w:tc>
          <w:tcPr>
            <w:tcW w:w="850" w:type="dxa"/>
            <w:tcBorders>
              <w:left w:val="single" w:sz="12" w:space="0" w:color="auto"/>
              <w:bottom w:val="single" w:sz="12" w:space="0" w:color="auto"/>
              <w:right w:val="single" w:sz="12" w:space="0" w:color="auto"/>
            </w:tcBorders>
          </w:tcPr>
          <w:p w14:paraId="324768AC"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left w:val="single" w:sz="12" w:space="0" w:color="auto"/>
              <w:bottom w:val="single" w:sz="12" w:space="0" w:color="auto"/>
              <w:right w:val="single" w:sz="12" w:space="0" w:color="auto"/>
            </w:tcBorders>
          </w:tcPr>
          <w:p w14:paraId="78874E05"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left w:val="single" w:sz="12" w:space="0" w:color="auto"/>
              <w:bottom w:val="single" w:sz="12" w:space="0" w:color="auto"/>
              <w:right w:val="single" w:sz="12" w:space="0" w:color="auto"/>
            </w:tcBorders>
          </w:tcPr>
          <w:p w14:paraId="79C91737"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left w:val="single" w:sz="12" w:space="0" w:color="auto"/>
              <w:bottom w:val="single" w:sz="12" w:space="0" w:color="auto"/>
              <w:right w:val="single" w:sz="12" w:space="0" w:color="auto"/>
            </w:tcBorders>
          </w:tcPr>
          <w:p w14:paraId="328C8D7F"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left w:val="single" w:sz="12" w:space="0" w:color="auto"/>
              <w:bottom w:val="single" w:sz="12" w:space="0" w:color="auto"/>
              <w:right w:val="single" w:sz="12" w:space="0" w:color="auto"/>
            </w:tcBorders>
          </w:tcPr>
          <w:p w14:paraId="551D05FF"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left w:val="single" w:sz="12" w:space="0" w:color="auto"/>
              <w:bottom w:val="single" w:sz="12" w:space="0" w:color="auto"/>
              <w:right w:val="single" w:sz="12" w:space="0" w:color="auto"/>
            </w:tcBorders>
          </w:tcPr>
          <w:p w14:paraId="557BDEB4" w14:textId="77777777" w:rsidR="006E335F" w:rsidRPr="006E335F" w:rsidRDefault="006E335F" w:rsidP="00576CB4">
            <w:pPr>
              <w:spacing w:after="0" w:line="240" w:lineRule="auto"/>
              <w:jc w:val="center"/>
              <w:rPr>
                <w:sz w:val="16"/>
                <w:szCs w:val="16"/>
              </w:rPr>
            </w:pPr>
            <w:r w:rsidRPr="006E335F">
              <w:rPr>
                <w:sz w:val="16"/>
                <w:szCs w:val="16"/>
              </w:rPr>
              <w:t>Unknown</w:t>
            </w:r>
          </w:p>
        </w:tc>
      </w:tr>
      <w:tr w:rsidR="006E335F" w:rsidRPr="006E335F" w14:paraId="206403C8" w14:textId="77777777" w:rsidTr="00576CB4">
        <w:tc>
          <w:tcPr>
            <w:tcW w:w="978" w:type="dxa"/>
            <w:vMerge w:val="restart"/>
            <w:tcBorders>
              <w:top w:val="single" w:sz="12" w:space="0" w:color="auto"/>
              <w:left w:val="single" w:sz="12" w:space="0" w:color="auto"/>
              <w:right w:val="single" w:sz="12" w:space="0" w:color="auto"/>
            </w:tcBorders>
          </w:tcPr>
          <w:p w14:paraId="156859B6" w14:textId="77777777" w:rsidR="006E335F" w:rsidRPr="006E335F" w:rsidRDefault="006E335F" w:rsidP="00576CB4">
            <w:pPr>
              <w:spacing w:after="0" w:line="240" w:lineRule="auto"/>
              <w:jc w:val="center"/>
              <w:rPr>
                <w:sz w:val="16"/>
                <w:szCs w:val="16"/>
              </w:rPr>
            </w:pPr>
            <w:proofErr w:type="spellStart"/>
            <w:r w:rsidRPr="006E335F">
              <w:rPr>
                <w:sz w:val="16"/>
                <w:szCs w:val="16"/>
              </w:rPr>
              <w:t>Wildb</w:t>
            </w:r>
            <w:proofErr w:type="spellEnd"/>
            <w:r w:rsidRPr="006E335F">
              <w:rPr>
                <w:sz w:val="16"/>
                <w:szCs w:val="16"/>
              </w:rPr>
              <w:t>.</w:t>
            </w:r>
          </w:p>
        </w:tc>
        <w:tc>
          <w:tcPr>
            <w:tcW w:w="1134" w:type="dxa"/>
            <w:vMerge w:val="restart"/>
            <w:tcBorders>
              <w:top w:val="single" w:sz="12" w:space="0" w:color="auto"/>
              <w:left w:val="single" w:sz="12" w:space="0" w:color="auto"/>
              <w:right w:val="single" w:sz="12" w:space="0" w:color="auto"/>
            </w:tcBorders>
          </w:tcPr>
          <w:p w14:paraId="5F465B7B" w14:textId="77777777" w:rsidR="006E335F" w:rsidRPr="006E335F" w:rsidRDefault="006E335F" w:rsidP="00576CB4">
            <w:pPr>
              <w:spacing w:after="0" w:line="240" w:lineRule="auto"/>
              <w:jc w:val="center"/>
              <w:rPr>
                <w:sz w:val="16"/>
                <w:szCs w:val="16"/>
              </w:rPr>
            </w:pPr>
            <w:r w:rsidRPr="006E335F">
              <w:rPr>
                <w:sz w:val="16"/>
                <w:szCs w:val="16"/>
              </w:rPr>
              <w:t>Lower Barn</w:t>
            </w:r>
          </w:p>
        </w:tc>
        <w:tc>
          <w:tcPr>
            <w:tcW w:w="1406" w:type="dxa"/>
            <w:vMerge w:val="restart"/>
            <w:tcBorders>
              <w:top w:val="single" w:sz="12" w:space="0" w:color="auto"/>
              <w:left w:val="single" w:sz="12" w:space="0" w:color="auto"/>
              <w:right w:val="single" w:sz="12" w:space="0" w:color="auto"/>
            </w:tcBorders>
          </w:tcPr>
          <w:p w14:paraId="293058A6" w14:textId="77777777" w:rsidR="006E335F" w:rsidRPr="006E335F" w:rsidRDefault="006E335F" w:rsidP="00576CB4">
            <w:pPr>
              <w:spacing w:after="0" w:line="240" w:lineRule="auto"/>
              <w:jc w:val="center"/>
              <w:rPr>
                <w:sz w:val="16"/>
                <w:szCs w:val="16"/>
              </w:rPr>
            </w:pPr>
            <w:proofErr w:type="gramStart"/>
            <w:r w:rsidRPr="006E335F">
              <w:rPr>
                <w:sz w:val="16"/>
                <w:szCs w:val="16"/>
              </w:rPr>
              <w:t>TF :</w:t>
            </w:r>
            <w:proofErr w:type="gramEnd"/>
            <w:r w:rsidRPr="006E335F">
              <w:rPr>
                <w:sz w:val="16"/>
                <w:szCs w:val="16"/>
              </w:rPr>
              <w:t xml:space="preserve"> SF 1690</w:t>
            </w:r>
          </w:p>
        </w:tc>
        <w:tc>
          <w:tcPr>
            <w:tcW w:w="1429" w:type="dxa"/>
            <w:vMerge w:val="restart"/>
            <w:tcBorders>
              <w:top w:val="single" w:sz="12" w:space="0" w:color="auto"/>
              <w:left w:val="single" w:sz="12" w:space="0" w:color="auto"/>
              <w:right w:val="single" w:sz="12" w:space="0" w:color="auto"/>
            </w:tcBorders>
          </w:tcPr>
          <w:p w14:paraId="3EC59F69" w14:textId="77777777" w:rsidR="006E335F" w:rsidRPr="006E335F" w:rsidRDefault="006E335F" w:rsidP="00576CB4">
            <w:pPr>
              <w:spacing w:after="0" w:line="240" w:lineRule="auto"/>
              <w:jc w:val="center"/>
              <w:rPr>
                <w:sz w:val="16"/>
                <w:szCs w:val="16"/>
              </w:rPr>
            </w:pPr>
            <w:r w:rsidRPr="006E335F">
              <w:rPr>
                <w:sz w:val="16"/>
                <w:szCs w:val="16"/>
              </w:rPr>
              <w:t>Façade, datestone</w:t>
            </w:r>
          </w:p>
        </w:tc>
        <w:tc>
          <w:tcPr>
            <w:tcW w:w="1559" w:type="dxa"/>
            <w:tcBorders>
              <w:top w:val="single" w:sz="12" w:space="0" w:color="auto"/>
              <w:left w:val="single" w:sz="12" w:space="0" w:color="auto"/>
              <w:right w:val="single" w:sz="12" w:space="0" w:color="auto"/>
            </w:tcBorders>
          </w:tcPr>
          <w:p w14:paraId="3E816772" w14:textId="77777777" w:rsidR="006E335F" w:rsidRPr="006E335F" w:rsidRDefault="006E335F" w:rsidP="00576CB4">
            <w:pPr>
              <w:spacing w:after="0" w:line="240" w:lineRule="auto"/>
              <w:jc w:val="center"/>
              <w:rPr>
                <w:sz w:val="16"/>
                <w:szCs w:val="16"/>
              </w:rPr>
            </w:pPr>
            <w:r w:rsidRPr="006E335F">
              <w:rPr>
                <w:sz w:val="16"/>
                <w:szCs w:val="16"/>
              </w:rPr>
              <w:t>Thomas Frost</w:t>
            </w:r>
          </w:p>
        </w:tc>
        <w:tc>
          <w:tcPr>
            <w:tcW w:w="1134" w:type="dxa"/>
            <w:tcBorders>
              <w:top w:val="single" w:sz="12" w:space="0" w:color="auto"/>
              <w:left w:val="single" w:sz="12" w:space="0" w:color="auto"/>
              <w:right w:val="single" w:sz="12" w:space="0" w:color="auto"/>
            </w:tcBorders>
          </w:tcPr>
          <w:p w14:paraId="056A5443" w14:textId="77777777" w:rsidR="006E335F" w:rsidRPr="006E335F" w:rsidRDefault="006E335F" w:rsidP="00576CB4">
            <w:pPr>
              <w:spacing w:after="0" w:line="240" w:lineRule="auto"/>
              <w:jc w:val="center"/>
              <w:rPr>
                <w:sz w:val="16"/>
                <w:szCs w:val="16"/>
              </w:rPr>
            </w:pPr>
            <w:r w:rsidRPr="006E335F">
              <w:rPr>
                <w:sz w:val="16"/>
                <w:szCs w:val="16"/>
              </w:rPr>
              <w:t>Yeoman</w:t>
            </w:r>
          </w:p>
        </w:tc>
        <w:tc>
          <w:tcPr>
            <w:tcW w:w="850" w:type="dxa"/>
            <w:tcBorders>
              <w:top w:val="single" w:sz="12" w:space="0" w:color="auto"/>
              <w:left w:val="single" w:sz="12" w:space="0" w:color="auto"/>
              <w:right w:val="single" w:sz="12" w:space="0" w:color="auto"/>
            </w:tcBorders>
          </w:tcPr>
          <w:p w14:paraId="5B2F4BA1" w14:textId="77777777" w:rsidR="006E335F" w:rsidRPr="006E335F" w:rsidRDefault="006E335F" w:rsidP="00576CB4">
            <w:pPr>
              <w:spacing w:after="0" w:line="240" w:lineRule="auto"/>
              <w:jc w:val="center"/>
              <w:rPr>
                <w:sz w:val="16"/>
                <w:szCs w:val="16"/>
              </w:rPr>
            </w:pPr>
            <w:r w:rsidRPr="006E335F">
              <w:rPr>
                <w:sz w:val="16"/>
                <w:szCs w:val="16"/>
              </w:rPr>
              <w:t>Yes</w:t>
            </w:r>
          </w:p>
        </w:tc>
        <w:tc>
          <w:tcPr>
            <w:tcW w:w="993" w:type="dxa"/>
            <w:tcBorders>
              <w:top w:val="single" w:sz="12" w:space="0" w:color="auto"/>
              <w:left w:val="single" w:sz="12" w:space="0" w:color="auto"/>
              <w:right w:val="single" w:sz="12" w:space="0" w:color="auto"/>
            </w:tcBorders>
          </w:tcPr>
          <w:p w14:paraId="40754FA8"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top w:val="single" w:sz="12" w:space="0" w:color="auto"/>
              <w:left w:val="single" w:sz="12" w:space="0" w:color="auto"/>
              <w:right w:val="single" w:sz="12" w:space="0" w:color="auto"/>
            </w:tcBorders>
          </w:tcPr>
          <w:p w14:paraId="6F7DB6A5"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top w:val="single" w:sz="12" w:space="0" w:color="auto"/>
              <w:left w:val="single" w:sz="12" w:space="0" w:color="auto"/>
              <w:right w:val="single" w:sz="12" w:space="0" w:color="auto"/>
            </w:tcBorders>
          </w:tcPr>
          <w:p w14:paraId="44D4D73F"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top w:val="single" w:sz="12" w:space="0" w:color="auto"/>
              <w:left w:val="single" w:sz="12" w:space="0" w:color="auto"/>
              <w:right w:val="single" w:sz="12" w:space="0" w:color="auto"/>
            </w:tcBorders>
          </w:tcPr>
          <w:p w14:paraId="345256BE" w14:textId="77777777" w:rsidR="006E335F" w:rsidRPr="006E335F" w:rsidRDefault="006E335F" w:rsidP="00576CB4">
            <w:pPr>
              <w:spacing w:after="0" w:line="240" w:lineRule="auto"/>
              <w:jc w:val="center"/>
              <w:rPr>
                <w:sz w:val="16"/>
                <w:szCs w:val="16"/>
              </w:rPr>
            </w:pPr>
            <w:r w:rsidRPr="006E335F">
              <w:rPr>
                <w:sz w:val="16"/>
                <w:szCs w:val="16"/>
              </w:rPr>
              <w:t>£131</w:t>
            </w:r>
          </w:p>
        </w:tc>
        <w:tc>
          <w:tcPr>
            <w:tcW w:w="1469" w:type="dxa"/>
            <w:tcBorders>
              <w:top w:val="single" w:sz="12" w:space="0" w:color="auto"/>
              <w:left w:val="single" w:sz="12" w:space="0" w:color="auto"/>
              <w:right w:val="single" w:sz="12" w:space="0" w:color="auto"/>
            </w:tcBorders>
          </w:tcPr>
          <w:p w14:paraId="55D67C1B" w14:textId="77777777" w:rsidR="006E335F" w:rsidRPr="006E335F" w:rsidRDefault="006E335F" w:rsidP="00576CB4">
            <w:pPr>
              <w:spacing w:after="0" w:line="240" w:lineRule="auto"/>
              <w:jc w:val="center"/>
              <w:rPr>
                <w:sz w:val="16"/>
                <w:szCs w:val="16"/>
              </w:rPr>
            </w:pPr>
            <w:r w:rsidRPr="006E335F">
              <w:rPr>
                <w:sz w:val="16"/>
                <w:szCs w:val="16"/>
              </w:rPr>
              <w:t>One initial</w:t>
            </w:r>
          </w:p>
        </w:tc>
      </w:tr>
      <w:tr w:rsidR="006E335F" w:rsidRPr="006E335F" w14:paraId="4D5766F6" w14:textId="77777777" w:rsidTr="00576CB4">
        <w:tc>
          <w:tcPr>
            <w:tcW w:w="978" w:type="dxa"/>
            <w:vMerge/>
            <w:tcBorders>
              <w:left w:val="single" w:sz="12" w:space="0" w:color="auto"/>
              <w:bottom w:val="single" w:sz="12" w:space="0" w:color="auto"/>
              <w:right w:val="single" w:sz="12" w:space="0" w:color="auto"/>
            </w:tcBorders>
          </w:tcPr>
          <w:p w14:paraId="37F1DFAE" w14:textId="77777777" w:rsidR="006E335F" w:rsidRPr="006E335F" w:rsidRDefault="006E335F"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551EEFC0" w14:textId="77777777" w:rsidR="006E335F" w:rsidRPr="006E335F" w:rsidRDefault="006E335F" w:rsidP="00576CB4">
            <w:pPr>
              <w:spacing w:after="0" w:line="240" w:lineRule="auto"/>
              <w:jc w:val="center"/>
              <w:rPr>
                <w:sz w:val="16"/>
                <w:szCs w:val="16"/>
              </w:rPr>
            </w:pPr>
          </w:p>
        </w:tc>
        <w:tc>
          <w:tcPr>
            <w:tcW w:w="1406" w:type="dxa"/>
            <w:vMerge/>
            <w:tcBorders>
              <w:left w:val="single" w:sz="12" w:space="0" w:color="auto"/>
              <w:bottom w:val="single" w:sz="12" w:space="0" w:color="auto"/>
              <w:right w:val="single" w:sz="12" w:space="0" w:color="auto"/>
            </w:tcBorders>
          </w:tcPr>
          <w:p w14:paraId="1EE074EA" w14:textId="77777777" w:rsidR="006E335F" w:rsidRPr="006E335F" w:rsidRDefault="006E335F" w:rsidP="00576CB4">
            <w:pPr>
              <w:spacing w:after="0" w:line="240" w:lineRule="auto"/>
              <w:jc w:val="center"/>
              <w:rPr>
                <w:sz w:val="16"/>
                <w:szCs w:val="16"/>
              </w:rPr>
            </w:pPr>
          </w:p>
        </w:tc>
        <w:tc>
          <w:tcPr>
            <w:tcW w:w="1429" w:type="dxa"/>
            <w:vMerge/>
            <w:tcBorders>
              <w:left w:val="single" w:sz="12" w:space="0" w:color="auto"/>
              <w:bottom w:val="single" w:sz="12" w:space="0" w:color="auto"/>
              <w:right w:val="single" w:sz="12" w:space="0" w:color="auto"/>
            </w:tcBorders>
          </w:tcPr>
          <w:p w14:paraId="23F1F885" w14:textId="77777777" w:rsidR="006E335F" w:rsidRPr="006E335F" w:rsidRDefault="006E335F" w:rsidP="00576CB4">
            <w:pPr>
              <w:spacing w:after="0" w:line="240" w:lineRule="auto"/>
              <w:jc w:val="center"/>
              <w:rPr>
                <w:sz w:val="16"/>
                <w:szCs w:val="16"/>
              </w:rPr>
            </w:pPr>
          </w:p>
        </w:tc>
        <w:tc>
          <w:tcPr>
            <w:tcW w:w="1559" w:type="dxa"/>
            <w:tcBorders>
              <w:left w:val="single" w:sz="12" w:space="0" w:color="auto"/>
              <w:bottom w:val="single" w:sz="12" w:space="0" w:color="auto"/>
              <w:right w:val="single" w:sz="12" w:space="0" w:color="auto"/>
            </w:tcBorders>
          </w:tcPr>
          <w:p w14:paraId="14D7D30C" w14:textId="77777777" w:rsidR="006E335F" w:rsidRPr="006E335F" w:rsidRDefault="006E335F" w:rsidP="00576CB4">
            <w:pPr>
              <w:spacing w:after="0" w:line="240" w:lineRule="auto"/>
              <w:jc w:val="center"/>
              <w:rPr>
                <w:sz w:val="16"/>
                <w:szCs w:val="16"/>
              </w:rPr>
            </w:pPr>
            <w:r w:rsidRPr="006E335F">
              <w:rPr>
                <w:sz w:val="16"/>
                <w:szCs w:val="16"/>
              </w:rPr>
              <w:t>Sarah Frost</w:t>
            </w:r>
          </w:p>
        </w:tc>
        <w:tc>
          <w:tcPr>
            <w:tcW w:w="1134" w:type="dxa"/>
            <w:tcBorders>
              <w:left w:val="single" w:sz="12" w:space="0" w:color="auto"/>
              <w:bottom w:val="single" w:sz="12" w:space="0" w:color="auto"/>
              <w:right w:val="single" w:sz="12" w:space="0" w:color="auto"/>
            </w:tcBorders>
          </w:tcPr>
          <w:p w14:paraId="36C826D6" w14:textId="77777777" w:rsidR="006E335F" w:rsidRPr="006E335F" w:rsidRDefault="006E335F" w:rsidP="00576CB4">
            <w:pPr>
              <w:numPr>
                <w:ilvl w:val="0"/>
                <w:numId w:val="8"/>
              </w:numPr>
              <w:spacing w:after="0" w:line="240" w:lineRule="auto"/>
              <w:contextualSpacing/>
              <w:jc w:val="center"/>
              <w:rPr>
                <w:sz w:val="16"/>
                <w:szCs w:val="16"/>
              </w:rPr>
            </w:pPr>
          </w:p>
        </w:tc>
        <w:tc>
          <w:tcPr>
            <w:tcW w:w="850" w:type="dxa"/>
            <w:tcBorders>
              <w:left w:val="single" w:sz="12" w:space="0" w:color="auto"/>
              <w:bottom w:val="single" w:sz="12" w:space="0" w:color="auto"/>
              <w:right w:val="single" w:sz="12" w:space="0" w:color="auto"/>
            </w:tcBorders>
          </w:tcPr>
          <w:p w14:paraId="3786B16A"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left w:val="single" w:sz="12" w:space="0" w:color="auto"/>
              <w:bottom w:val="single" w:sz="12" w:space="0" w:color="auto"/>
              <w:right w:val="single" w:sz="12" w:space="0" w:color="auto"/>
            </w:tcBorders>
          </w:tcPr>
          <w:p w14:paraId="455108E6"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left w:val="single" w:sz="12" w:space="0" w:color="auto"/>
              <w:bottom w:val="single" w:sz="12" w:space="0" w:color="auto"/>
              <w:right w:val="single" w:sz="12" w:space="0" w:color="auto"/>
            </w:tcBorders>
          </w:tcPr>
          <w:p w14:paraId="50CF2DC7"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left w:val="single" w:sz="12" w:space="0" w:color="auto"/>
              <w:bottom w:val="single" w:sz="12" w:space="0" w:color="auto"/>
              <w:right w:val="single" w:sz="12" w:space="0" w:color="auto"/>
            </w:tcBorders>
          </w:tcPr>
          <w:p w14:paraId="371C1D69"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left w:val="single" w:sz="12" w:space="0" w:color="auto"/>
              <w:bottom w:val="single" w:sz="12" w:space="0" w:color="auto"/>
              <w:right w:val="single" w:sz="12" w:space="0" w:color="auto"/>
            </w:tcBorders>
          </w:tcPr>
          <w:p w14:paraId="4CA1111F"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left w:val="single" w:sz="12" w:space="0" w:color="auto"/>
              <w:bottom w:val="single" w:sz="12" w:space="0" w:color="auto"/>
              <w:right w:val="single" w:sz="12" w:space="0" w:color="auto"/>
            </w:tcBorders>
          </w:tcPr>
          <w:p w14:paraId="5A1AB325" w14:textId="77777777" w:rsidR="006E335F" w:rsidRPr="006E335F" w:rsidRDefault="006E335F" w:rsidP="00576CB4">
            <w:pPr>
              <w:spacing w:after="0" w:line="240" w:lineRule="auto"/>
              <w:jc w:val="center"/>
              <w:rPr>
                <w:sz w:val="16"/>
                <w:szCs w:val="16"/>
              </w:rPr>
            </w:pPr>
            <w:r w:rsidRPr="006E335F">
              <w:rPr>
                <w:sz w:val="16"/>
                <w:szCs w:val="16"/>
              </w:rPr>
              <w:t>Unknown</w:t>
            </w:r>
          </w:p>
        </w:tc>
      </w:tr>
      <w:tr w:rsidR="006E335F" w:rsidRPr="006E335F" w14:paraId="317AE9D6" w14:textId="77777777" w:rsidTr="00576CB4">
        <w:tc>
          <w:tcPr>
            <w:tcW w:w="978" w:type="dxa"/>
            <w:vMerge w:val="restart"/>
            <w:tcBorders>
              <w:top w:val="single" w:sz="12" w:space="0" w:color="auto"/>
              <w:left w:val="single" w:sz="12" w:space="0" w:color="auto"/>
              <w:right w:val="single" w:sz="12" w:space="0" w:color="auto"/>
            </w:tcBorders>
          </w:tcPr>
          <w:p w14:paraId="2D15C103" w14:textId="77777777" w:rsidR="006E335F" w:rsidRPr="006E335F" w:rsidRDefault="006E335F" w:rsidP="00576CB4">
            <w:pPr>
              <w:spacing w:after="0" w:line="240" w:lineRule="auto"/>
              <w:jc w:val="center"/>
              <w:rPr>
                <w:sz w:val="16"/>
                <w:szCs w:val="16"/>
              </w:rPr>
            </w:pPr>
            <w:proofErr w:type="spellStart"/>
            <w:r w:rsidRPr="006E335F">
              <w:rPr>
                <w:sz w:val="16"/>
                <w:szCs w:val="16"/>
              </w:rPr>
              <w:t>Wildb</w:t>
            </w:r>
            <w:proofErr w:type="spellEnd"/>
            <w:r w:rsidRPr="006E335F">
              <w:rPr>
                <w:sz w:val="16"/>
                <w:szCs w:val="16"/>
              </w:rPr>
              <w:t>.</w:t>
            </w:r>
          </w:p>
        </w:tc>
        <w:tc>
          <w:tcPr>
            <w:tcW w:w="1134" w:type="dxa"/>
            <w:vMerge w:val="restart"/>
            <w:tcBorders>
              <w:top w:val="single" w:sz="12" w:space="0" w:color="auto"/>
              <w:left w:val="single" w:sz="12" w:space="0" w:color="auto"/>
              <w:right w:val="single" w:sz="12" w:space="0" w:color="auto"/>
            </w:tcBorders>
          </w:tcPr>
          <w:p w14:paraId="369A5B2B" w14:textId="77777777" w:rsidR="006E335F" w:rsidRPr="006E335F" w:rsidRDefault="006E335F" w:rsidP="00576CB4">
            <w:pPr>
              <w:spacing w:after="0" w:line="240" w:lineRule="auto"/>
              <w:jc w:val="center"/>
              <w:rPr>
                <w:sz w:val="16"/>
                <w:szCs w:val="16"/>
              </w:rPr>
            </w:pPr>
            <w:r w:rsidRPr="006E335F">
              <w:rPr>
                <w:sz w:val="16"/>
                <w:szCs w:val="16"/>
              </w:rPr>
              <w:t>Bank Top</w:t>
            </w:r>
          </w:p>
        </w:tc>
        <w:tc>
          <w:tcPr>
            <w:tcW w:w="1406" w:type="dxa"/>
            <w:vMerge w:val="restart"/>
            <w:tcBorders>
              <w:top w:val="single" w:sz="12" w:space="0" w:color="auto"/>
              <w:left w:val="single" w:sz="12" w:space="0" w:color="auto"/>
              <w:right w:val="single" w:sz="12" w:space="0" w:color="auto"/>
            </w:tcBorders>
          </w:tcPr>
          <w:p w14:paraId="5AA85A9C" w14:textId="77777777" w:rsidR="006E335F" w:rsidRPr="006E335F" w:rsidRDefault="006E335F" w:rsidP="00576CB4">
            <w:pPr>
              <w:spacing w:after="0" w:line="240" w:lineRule="auto"/>
              <w:jc w:val="center"/>
              <w:rPr>
                <w:sz w:val="16"/>
                <w:szCs w:val="16"/>
              </w:rPr>
            </w:pPr>
            <w:proofErr w:type="gramStart"/>
            <w:r w:rsidRPr="006E335F">
              <w:rPr>
                <w:sz w:val="16"/>
                <w:szCs w:val="16"/>
              </w:rPr>
              <w:t>ET :</w:t>
            </w:r>
            <w:proofErr w:type="gramEnd"/>
            <w:r w:rsidRPr="006E335F">
              <w:rPr>
                <w:sz w:val="16"/>
                <w:szCs w:val="16"/>
              </w:rPr>
              <w:t xml:space="preserve"> ET 1690</w:t>
            </w:r>
          </w:p>
        </w:tc>
        <w:tc>
          <w:tcPr>
            <w:tcW w:w="1429" w:type="dxa"/>
            <w:vMerge w:val="restart"/>
            <w:tcBorders>
              <w:top w:val="single" w:sz="12" w:space="0" w:color="auto"/>
              <w:left w:val="single" w:sz="12" w:space="0" w:color="auto"/>
              <w:right w:val="single" w:sz="12" w:space="0" w:color="auto"/>
            </w:tcBorders>
          </w:tcPr>
          <w:p w14:paraId="07A8F249" w14:textId="77777777" w:rsidR="006E335F" w:rsidRPr="006E335F" w:rsidRDefault="006E335F" w:rsidP="00576CB4">
            <w:pPr>
              <w:spacing w:after="0" w:line="240" w:lineRule="auto"/>
              <w:jc w:val="center"/>
              <w:rPr>
                <w:sz w:val="16"/>
                <w:szCs w:val="16"/>
              </w:rPr>
            </w:pPr>
            <w:r w:rsidRPr="006E335F">
              <w:rPr>
                <w:sz w:val="16"/>
                <w:szCs w:val="16"/>
              </w:rPr>
              <w:t>Façade, datestone</w:t>
            </w:r>
          </w:p>
        </w:tc>
        <w:tc>
          <w:tcPr>
            <w:tcW w:w="1559" w:type="dxa"/>
            <w:tcBorders>
              <w:top w:val="single" w:sz="12" w:space="0" w:color="auto"/>
              <w:left w:val="single" w:sz="12" w:space="0" w:color="auto"/>
              <w:right w:val="single" w:sz="12" w:space="0" w:color="auto"/>
            </w:tcBorders>
          </w:tcPr>
          <w:p w14:paraId="7763854D" w14:textId="77777777" w:rsidR="006E335F" w:rsidRPr="006E335F" w:rsidRDefault="006E335F" w:rsidP="00576CB4">
            <w:pPr>
              <w:spacing w:after="0" w:line="240" w:lineRule="auto"/>
              <w:jc w:val="center"/>
              <w:rPr>
                <w:sz w:val="16"/>
                <w:szCs w:val="16"/>
              </w:rPr>
            </w:pPr>
            <w:r w:rsidRPr="006E335F">
              <w:rPr>
                <w:sz w:val="16"/>
                <w:szCs w:val="16"/>
              </w:rPr>
              <w:t>Edmund Thornley</w:t>
            </w:r>
          </w:p>
        </w:tc>
        <w:tc>
          <w:tcPr>
            <w:tcW w:w="1134" w:type="dxa"/>
            <w:tcBorders>
              <w:top w:val="single" w:sz="12" w:space="0" w:color="auto"/>
              <w:left w:val="single" w:sz="12" w:space="0" w:color="auto"/>
              <w:right w:val="single" w:sz="12" w:space="0" w:color="auto"/>
            </w:tcBorders>
          </w:tcPr>
          <w:p w14:paraId="3FFDD050" w14:textId="77777777" w:rsidR="006E335F" w:rsidRPr="006E335F" w:rsidRDefault="006E335F" w:rsidP="00576CB4">
            <w:pPr>
              <w:spacing w:after="0" w:line="240" w:lineRule="auto"/>
              <w:jc w:val="center"/>
              <w:rPr>
                <w:sz w:val="16"/>
                <w:szCs w:val="16"/>
              </w:rPr>
            </w:pPr>
            <w:r w:rsidRPr="006E335F">
              <w:rPr>
                <w:sz w:val="16"/>
                <w:szCs w:val="16"/>
              </w:rPr>
              <w:t>Unknown</w:t>
            </w:r>
          </w:p>
        </w:tc>
        <w:tc>
          <w:tcPr>
            <w:tcW w:w="850" w:type="dxa"/>
            <w:tcBorders>
              <w:top w:val="single" w:sz="12" w:space="0" w:color="auto"/>
              <w:left w:val="single" w:sz="12" w:space="0" w:color="auto"/>
              <w:right w:val="single" w:sz="12" w:space="0" w:color="auto"/>
            </w:tcBorders>
          </w:tcPr>
          <w:p w14:paraId="072D51ED"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top w:val="single" w:sz="12" w:space="0" w:color="auto"/>
              <w:left w:val="single" w:sz="12" w:space="0" w:color="auto"/>
              <w:right w:val="single" w:sz="12" w:space="0" w:color="auto"/>
            </w:tcBorders>
          </w:tcPr>
          <w:p w14:paraId="70ACA1CC"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top w:val="single" w:sz="12" w:space="0" w:color="auto"/>
              <w:left w:val="single" w:sz="12" w:space="0" w:color="auto"/>
              <w:right w:val="single" w:sz="12" w:space="0" w:color="auto"/>
            </w:tcBorders>
          </w:tcPr>
          <w:p w14:paraId="29C811DC"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top w:val="single" w:sz="12" w:space="0" w:color="auto"/>
              <w:left w:val="single" w:sz="12" w:space="0" w:color="auto"/>
              <w:right w:val="single" w:sz="12" w:space="0" w:color="auto"/>
            </w:tcBorders>
          </w:tcPr>
          <w:p w14:paraId="7B61FD69"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top w:val="single" w:sz="12" w:space="0" w:color="auto"/>
              <w:left w:val="single" w:sz="12" w:space="0" w:color="auto"/>
              <w:right w:val="single" w:sz="12" w:space="0" w:color="auto"/>
            </w:tcBorders>
          </w:tcPr>
          <w:p w14:paraId="794392D6"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top w:val="single" w:sz="12" w:space="0" w:color="auto"/>
              <w:left w:val="single" w:sz="12" w:space="0" w:color="auto"/>
              <w:right w:val="single" w:sz="12" w:space="0" w:color="auto"/>
            </w:tcBorders>
          </w:tcPr>
          <w:p w14:paraId="306518F3" w14:textId="77777777" w:rsidR="006E335F" w:rsidRPr="006E335F" w:rsidRDefault="006E335F" w:rsidP="00576CB4">
            <w:pPr>
              <w:spacing w:after="0" w:line="240" w:lineRule="auto"/>
              <w:jc w:val="center"/>
              <w:rPr>
                <w:sz w:val="16"/>
                <w:szCs w:val="16"/>
              </w:rPr>
            </w:pPr>
            <w:r w:rsidRPr="006E335F">
              <w:rPr>
                <w:sz w:val="16"/>
                <w:szCs w:val="16"/>
              </w:rPr>
              <w:t>Full signature</w:t>
            </w:r>
          </w:p>
        </w:tc>
      </w:tr>
      <w:tr w:rsidR="006E335F" w:rsidRPr="006E335F" w14:paraId="68A65634" w14:textId="77777777" w:rsidTr="00576CB4">
        <w:tc>
          <w:tcPr>
            <w:tcW w:w="978" w:type="dxa"/>
            <w:vMerge/>
            <w:tcBorders>
              <w:left w:val="single" w:sz="12" w:space="0" w:color="auto"/>
              <w:bottom w:val="single" w:sz="12" w:space="0" w:color="auto"/>
              <w:right w:val="single" w:sz="12" w:space="0" w:color="auto"/>
            </w:tcBorders>
          </w:tcPr>
          <w:p w14:paraId="53697C20" w14:textId="77777777" w:rsidR="006E335F" w:rsidRPr="006E335F" w:rsidRDefault="006E335F"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10CBB91C" w14:textId="77777777" w:rsidR="006E335F" w:rsidRPr="006E335F" w:rsidRDefault="006E335F" w:rsidP="00576CB4">
            <w:pPr>
              <w:spacing w:after="0" w:line="240" w:lineRule="auto"/>
              <w:jc w:val="center"/>
              <w:rPr>
                <w:sz w:val="16"/>
                <w:szCs w:val="16"/>
              </w:rPr>
            </w:pPr>
          </w:p>
        </w:tc>
        <w:tc>
          <w:tcPr>
            <w:tcW w:w="1406" w:type="dxa"/>
            <w:vMerge/>
            <w:tcBorders>
              <w:left w:val="single" w:sz="12" w:space="0" w:color="auto"/>
              <w:bottom w:val="single" w:sz="12" w:space="0" w:color="auto"/>
              <w:right w:val="single" w:sz="12" w:space="0" w:color="auto"/>
            </w:tcBorders>
          </w:tcPr>
          <w:p w14:paraId="728926B5" w14:textId="77777777" w:rsidR="006E335F" w:rsidRPr="006E335F" w:rsidRDefault="006E335F" w:rsidP="00576CB4">
            <w:pPr>
              <w:spacing w:after="0" w:line="240" w:lineRule="auto"/>
              <w:jc w:val="center"/>
              <w:rPr>
                <w:sz w:val="16"/>
                <w:szCs w:val="16"/>
              </w:rPr>
            </w:pPr>
          </w:p>
        </w:tc>
        <w:tc>
          <w:tcPr>
            <w:tcW w:w="1429" w:type="dxa"/>
            <w:vMerge/>
            <w:tcBorders>
              <w:left w:val="single" w:sz="12" w:space="0" w:color="auto"/>
              <w:bottom w:val="single" w:sz="12" w:space="0" w:color="auto"/>
              <w:right w:val="single" w:sz="12" w:space="0" w:color="auto"/>
            </w:tcBorders>
          </w:tcPr>
          <w:p w14:paraId="129EEF28" w14:textId="77777777" w:rsidR="006E335F" w:rsidRPr="006E335F" w:rsidRDefault="006E335F" w:rsidP="00576CB4">
            <w:pPr>
              <w:spacing w:after="0" w:line="240" w:lineRule="auto"/>
              <w:jc w:val="center"/>
              <w:rPr>
                <w:sz w:val="16"/>
                <w:szCs w:val="16"/>
              </w:rPr>
            </w:pPr>
          </w:p>
        </w:tc>
        <w:tc>
          <w:tcPr>
            <w:tcW w:w="1559" w:type="dxa"/>
            <w:tcBorders>
              <w:left w:val="single" w:sz="12" w:space="0" w:color="auto"/>
              <w:bottom w:val="single" w:sz="12" w:space="0" w:color="auto"/>
              <w:right w:val="single" w:sz="12" w:space="0" w:color="auto"/>
            </w:tcBorders>
          </w:tcPr>
          <w:p w14:paraId="76499FAE" w14:textId="77777777" w:rsidR="006E335F" w:rsidRPr="006E335F" w:rsidRDefault="006E335F" w:rsidP="00576CB4">
            <w:pPr>
              <w:spacing w:after="0" w:line="240" w:lineRule="auto"/>
              <w:jc w:val="center"/>
              <w:rPr>
                <w:sz w:val="16"/>
                <w:szCs w:val="16"/>
              </w:rPr>
            </w:pPr>
            <w:r w:rsidRPr="006E335F">
              <w:rPr>
                <w:sz w:val="16"/>
                <w:szCs w:val="16"/>
              </w:rPr>
              <w:t>Wife of Edmund Thornley</w:t>
            </w:r>
          </w:p>
        </w:tc>
        <w:tc>
          <w:tcPr>
            <w:tcW w:w="1134" w:type="dxa"/>
            <w:tcBorders>
              <w:left w:val="single" w:sz="12" w:space="0" w:color="auto"/>
              <w:bottom w:val="single" w:sz="12" w:space="0" w:color="auto"/>
              <w:right w:val="single" w:sz="12" w:space="0" w:color="auto"/>
            </w:tcBorders>
          </w:tcPr>
          <w:p w14:paraId="017FC15D" w14:textId="77777777" w:rsidR="006E335F" w:rsidRPr="006E335F" w:rsidRDefault="006E335F" w:rsidP="00576CB4">
            <w:pPr>
              <w:numPr>
                <w:ilvl w:val="0"/>
                <w:numId w:val="8"/>
              </w:numPr>
              <w:spacing w:after="0" w:line="240" w:lineRule="auto"/>
              <w:contextualSpacing/>
              <w:jc w:val="center"/>
              <w:rPr>
                <w:sz w:val="16"/>
                <w:szCs w:val="16"/>
              </w:rPr>
            </w:pPr>
          </w:p>
        </w:tc>
        <w:tc>
          <w:tcPr>
            <w:tcW w:w="850" w:type="dxa"/>
            <w:tcBorders>
              <w:left w:val="single" w:sz="12" w:space="0" w:color="auto"/>
              <w:bottom w:val="single" w:sz="12" w:space="0" w:color="auto"/>
              <w:right w:val="single" w:sz="12" w:space="0" w:color="auto"/>
            </w:tcBorders>
          </w:tcPr>
          <w:p w14:paraId="1D29B6AC"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left w:val="single" w:sz="12" w:space="0" w:color="auto"/>
              <w:bottom w:val="single" w:sz="12" w:space="0" w:color="auto"/>
              <w:right w:val="single" w:sz="12" w:space="0" w:color="auto"/>
            </w:tcBorders>
          </w:tcPr>
          <w:p w14:paraId="6451AC91"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left w:val="single" w:sz="12" w:space="0" w:color="auto"/>
              <w:bottom w:val="single" w:sz="12" w:space="0" w:color="auto"/>
              <w:right w:val="single" w:sz="12" w:space="0" w:color="auto"/>
            </w:tcBorders>
          </w:tcPr>
          <w:p w14:paraId="2C5611FA"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left w:val="single" w:sz="12" w:space="0" w:color="auto"/>
              <w:bottom w:val="single" w:sz="12" w:space="0" w:color="auto"/>
              <w:right w:val="single" w:sz="12" w:space="0" w:color="auto"/>
            </w:tcBorders>
          </w:tcPr>
          <w:p w14:paraId="7CFC7723"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left w:val="single" w:sz="12" w:space="0" w:color="auto"/>
              <w:bottom w:val="single" w:sz="12" w:space="0" w:color="auto"/>
              <w:right w:val="single" w:sz="12" w:space="0" w:color="auto"/>
            </w:tcBorders>
          </w:tcPr>
          <w:p w14:paraId="7C737950"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left w:val="single" w:sz="12" w:space="0" w:color="auto"/>
              <w:bottom w:val="single" w:sz="12" w:space="0" w:color="auto"/>
              <w:right w:val="single" w:sz="12" w:space="0" w:color="auto"/>
            </w:tcBorders>
          </w:tcPr>
          <w:p w14:paraId="7501FF26" w14:textId="77777777" w:rsidR="006E335F" w:rsidRPr="006E335F" w:rsidRDefault="006E335F" w:rsidP="00576CB4">
            <w:pPr>
              <w:spacing w:after="0" w:line="240" w:lineRule="auto"/>
              <w:jc w:val="center"/>
              <w:rPr>
                <w:sz w:val="16"/>
                <w:szCs w:val="16"/>
              </w:rPr>
            </w:pPr>
            <w:r w:rsidRPr="006E335F">
              <w:rPr>
                <w:sz w:val="16"/>
                <w:szCs w:val="16"/>
              </w:rPr>
              <w:t>Unknown</w:t>
            </w:r>
          </w:p>
        </w:tc>
      </w:tr>
      <w:tr w:rsidR="006E335F" w:rsidRPr="006E335F" w14:paraId="1A3DFD2E" w14:textId="77777777" w:rsidTr="00576CB4">
        <w:tc>
          <w:tcPr>
            <w:tcW w:w="978" w:type="dxa"/>
            <w:vMerge w:val="restart"/>
            <w:tcBorders>
              <w:top w:val="single" w:sz="12" w:space="0" w:color="auto"/>
              <w:left w:val="single" w:sz="12" w:space="0" w:color="auto"/>
              <w:right w:val="single" w:sz="12" w:space="0" w:color="auto"/>
            </w:tcBorders>
          </w:tcPr>
          <w:p w14:paraId="5045FD67" w14:textId="77777777" w:rsidR="006E335F" w:rsidRPr="006E335F" w:rsidRDefault="006E335F" w:rsidP="00576CB4">
            <w:pPr>
              <w:spacing w:after="0" w:line="240" w:lineRule="auto"/>
              <w:jc w:val="center"/>
              <w:rPr>
                <w:sz w:val="16"/>
                <w:szCs w:val="16"/>
              </w:rPr>
            </w:pPr>
            <w:r w:rsidRPr="006E335F">
              <w:rPr>
                <w:sz w:val="16"/>
                <w:szCs w:val="16"/>
              </w:rPr>
              <w:t>Sutt.</w:t>
            </w:r>
          </w:p>
        </w:tc>
        <w:tc>
          <w:tcPr>
            <w:tcW w:w="1134" w:type="dxa"/>
            <w:vMerge w:val="restart"/>
            <w:tcBorders>
              <w:top w:val="single" w:sz="12" w:space="0" w:color="auto"/>
              <w:left w:val="single" w:sz="12" w:space="0" w:color="auto"/>
              <w:right w:val="single" w:sz="12" w:space="0" w:color="auto"/>
            </w:tcBorders>
          </w:tcPr>
          <w:p w14:paraId="28174391" w14:textId="77777777" w:rsidR="006E335F" w:rsidRPr="006E335F" w:rsidRDefault="006E335F" w:rsidP="00576CB4">
            <w:pPr>
              <w:spacing w:after="0" w:line="240" w:lineRule="auto"/>
              <w:jc w:val="center"/>
              <w:rPr>
                <w:sz w:val="16"/>
                <w:szCs w:val="16"/>
              </w:rPr>
            </w:pPr>
            <w:r w:rsidRPr="006E335F">
              <w:rPr>
                <w:sz w:val="16"/>
                <w:szCs w:val="16"/>
              </w:rPr>
              <w:t>Ridge Hill</w:t>
            </w:r>
          </w:p>
        </w:tc>
        <w:tc>
          <w:tcPr>
            <w:tcW w:w="1406" w:type="dxa"/>
            <w:vMerge w:val="restart"/>
            <w:tcBorders>
              <w:top w:val="single" w:sz="12" w:space="0" w:color="auto"/>
              <w:left w:val="single" w:sz="12" w:space="0" w:color="auto"/>
              <w:right w:val="single" w:sz="12" w:space="0" w:color="auto"/>
            </w:tcBorders>
          </w:tcPr>
          <w:p w14:paraId="1F87E1C7" w14:textId="77777777" w:rsidR="006E335F" w:rsidRPr="006E335F" w:rsidRDefault="006E335F" w:rsidP="00576CB4">
            <w:pPr>
              <w:spacing w:after="0" w:line="240" w:lineRule="auto"/>
              <w:jc w:val="center"/>
              <w:rPr>
                <w:sz w:val="16"/>
                <w:szCs w:val="16"/>
              </w:rPr>
            </w:pPr>
            <w:r w:rsidRPr="006E335F">
              <w:rPr>
                <w:sz w:val="16"/>
                <w:szCs w:val="16"/>
              </w:rPr>
              <w:t xml:space="preserve">H </w:t>
            </w:r>
            <w:r w:rsidRPr="006E335F">
              <w:rPr>
                <w:sz w:val="16"/>
                <w:szCs w:val="16"/>
                <w:vertAlign w:val="superscript"/>
              </w:rPr>
              <w:t xml:space="preserve">C </w:t>
            </w:r>
            <w:r w:rsidRPr="006E335F">
              <w:rPr>
                <w:sz w:val="16"/>
                <w:szCs w:val="16"/>
              </w:rPr>
              <w:t>E 1693</w:t>
            </w:r>
          </w:p>
        </w:tc>
        <w:tc>
          <w:tcPr>
            <w:tcW w:w="1429" w:type="dxa"/>
            <w:vMerge w:val="restart"/>
            <w:tcBorders>
              <w:top w:val="single" w:sz="12" w:space="0" w:color="auto"/>
              <w:left w:val="single" w:sz="12" w:space="0" w:color="auto"/>
              <w:right w:val="single" w:sz="12" w:space="0" w:color="auto"/>
            </w:tcBorders>
          </w:tcPr>
          <w:p w14:paraId="3AED4970" w14:textId="77777777" w:rsidR="006E335F" w:rsidRPr="006E335F" w:rsidRDefault="006E335F" w:rsidP="00576CB4">
            <w:pPr>
              <w:spacing w:after="0" w:line="240" w:lineRule="auto"/>
              <w:jc w:val="center"/>
              <w:rPr>
                <w:sz w:val="16"/>
                <w:szCs w:val="16"/>
              </w:rPr>
            </w:pPr>
            <w:r w:rsidRPr="006E335F">
              <w:rPr>
                <w:sz w:val="16"/>
                <w:szCs w:val="16"/>
              </w:rPr>
              <w:t>Façade, datestone</w:t>
            </w:r>
          </w:p>
        </w:tc>
        <w:tc>
          <w:tcPr>
            <w:tcW w:w="1559" w:type="dxa"/>
            <w:tcBorders>
              <w:top w:val="single" w:sz="12" w:space="0" w:color="auto"/>
              <w:left w:val="single" w:sz="12" w:space="0" w:color="auto"/>
              <w:right w:val="single" w:sz="12" w:space="0" w:color="auto"/>
            </w:tcBorders>
          </w:tcPr>
          <w:p w14:paraId="3C2725BB" w14:textId="77777777" w:rsidR="006E335F" w:rsidRPr="006E335F" w:rsidRDefault="006E335F" w:rsidP="00576CB4">
            <w:pPr>
              <w:spacing w:after="0" w:line="240" w:lineRule="auto"/>
              <w:jc w:val="center"/>
              <w:rPr>
                <w:sz w:val="16"/>
                <w:szCs w:val="16"/>
              </w:rPr>
            </w:pPr>
            <w:r w:rsidRPr="006E335F">
              <w:rPr>
                <w:sz w:val="16"/>
                <w:szCs w:val="16"/>
              </w:rPr>
              <w:t>Henry Cherry</w:t>
            </w:r>
          </w:p>
        </w:tc>
        <w:tc>
          <w:tcPr>
            <w:tcW w:w="1134" w:type="dxa"/>
            <w:tcBorders>
              <w:top w:val="single" w:sz="12" w:space="0" w:color="auto"/>
              <w:left w:val="single" w:sz="12" w:space="0" w:color="auto"/>
              <w:right w:val="single" w:sz="12" w:space="0" w:color="auto"/>
            </w:tcBorders>
          </w:tcPr>
          <w:p w14:paraId="44DF3AD2" w14:textId="77777777" w:rsidR="006E335F" w:rsidRPr="006E335F" w:rsidRDefault="006E335F" w:rsidP="00576CB4">
            <w:pPr>
              <w:spacing w:after="0" w:line="240" w:lineRule="auto"/>
              <w:jc w:val="center"/>
              <w:rPr>
                <w:sz w:val="16"/>
                <w:szCs w:val="16"/>
              </w:rPr>
            </w:pPr>
            <w:r w:rsidRPr="006E335F">
              <w:rPr>
                <w:sz w:val="16"/>
                <w:szCs w:val="16"/>
              </w:rPr>
              <w:t>Yeoman</w:t>
            </w:r>
          </w:p>
        </w:tc>
        <w:tc>
          <w:tcPr>
            <w:tcW w:w="850" w:type="dxa"/>
            <w:tcBorders>
              <w:top w:val="single" w:sz="12" w:space="0" w:color="auto"/>
              <w:left w:val="single" w:sz="12" w:space="0" w:color="auto"/>
              <w:right w:val="single" w:sz="12" w:space="0" w:color="auto"/>
            </w:tcBorders>
          </w:tcPr>
          <w:p w14:paraId="42E0537F" w14:textId="77777777" w:rsidR="006E335F" w:rsidRPr="006E335F" w:rsidRDefault="006E335F" w:rsidP="00576CB4">
            <w:pPr>
              <w:spacing w:after="0" w:line="240" w:lineRule="auto"/>
              <w:jc w:val="center"/>
              <w:rPr>
                <w:sz w:val="16"/>
                <w:szCs w:val="16"/>
              </w:rPr>
            </w:pPr>
            <w:r w:rsidRPr="006E335F">
              <w:rPr>
                <w:sz w:val="16"/>
                <w:szCs w:val="16"/>
              </w:rPr>
              <w:t>Yes</w:t>
            </w:r>
          </w:p>
        </w:tc>
        <w:tc>
          <w:tcPr>
            <w:tcW w:w="993" w:type="dxa"/>
            <w:tcBorders>
              <w:top w:val="single" w:sz="12" w:space="0" w:color="auto"/>
              <w:left w:val="single" w:sz="12" w:space="0" w:color="auto"/>
              <w:right w:val="single" w:sz="12" w:space="0" w:color="auto"/>
            </w:tcBorders>
          </w:tcPr>
          <w:p w14:paraId="32EFF45F"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top w:val="single" w:sz="12" w:space="0" w:color="auto"/>
              <w:left w:val="single" w:sz="12" w:space="0" w:color="auto"/>
              <w:right w:val="single" w:sz="12" w:space="0" w:color="auto"/>
            </w:tcBorders>
          </w:tcPr>
          <w:p w14:paraId="3A7EB40F"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top w:val="single" w:sz="12" w:space="0" w:color="auto"/>
              <w:left w:val="single" w:sz="12" w:space="0" w:color="auto"/>
              <w:right w:val="single" w:sz="12" w:space="0" w:color="auto"/>
            </w:tcBorders>
          </w:tcPr>
          <w:p w14:paraId="29CE6B3B"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top w:val="single" w:sz="12" w:space="0" w:color="auto"/>
              <w:left w:val="single" w:sz="12" w:space="0" w:color="auto"/>
              <w:right w:val="single" w:sz="12" w:space="0" w:color="auto"/>
            </w:tcBorders>
          </w:tcPr>
          <w:p w14:paraId="6EF490B8" w14:textId="77777777" w:rsidR="006E335F" w:rsidRPr="006E335F" w:rsidRDefault="006E335F" w:rsidP="00576CB4">
            <w:pPr>
              <w:spacing w:after="0" w:line="240" w:lineRule="auto"/>
              <w:jc w:val="center"/>
              <w:rPr>
                <w:sz w:val="16"/>
                <w:szCs w:val="16"/>
              </w:rPr>
            </w:pPr>
            <w:r w:rsidRPr="006E335F">
              <w:rPr>
                <w:sz w:val="16"/>
                <w:szCs w:val="16"/>
              </w:rPr>
              <w:t>£4</w:t>
            </w:r>
          </w:p>
        </w:tc>
        <w:tc>
          <w:tcPr>
            <w:tcW w:w="1469" w:type="dxa"/>
            <w:tcBorders>
              <w:top w:val="single" w:sz="12" w:space="0" w:color="auto"/>
              <w:left w:val="single" w:sz="12" w:space="0" w:color="auto"/>
              <w:right w:val="single" w:sz="12" w:space="0" w:color="auto"/>
            </w:tcBorders>
          </w:tcPr>
          <w:p w14:paraId="3760DE54" w14:textId="77777777" w:rsidR="006E335F" w:rsidRPr="006E335F" w:rsidRDefault="006E335F" w:rsidP="00576CB4">
            <w:pPr>
              <w:spacing w:after="0" w:line="240" w:lineRule="auto"/>
              <w:jc w:val="center"/>
              <w:rPr>
                <w:sz w:val="16"/>
                <w:szCs w:val="16"/>
              </w:rPr>
            </w:pPr>
            <w:r w:rsidRPr="006E335F">
              <w:rPr>
                <w:sz w:val="16"/>
                <w:szCs w:val="16"/>
              </w:rPr>
              <w:t>Full signature</w:t>
            </w:r>
          </w:p>
        </w:tc>
      </w:tr>
      <w:tr w:rsidR="006E335F" w:rsidRPr="006E335F" w14:paraId="2C1F3C93" w14:textId="77777777" w:rsidTr="00576CB4">
        <w:tc>
          <w:tcPr>
            <w:tcW w:w="978" w:type="dxa"/>
            <w:vMerge/>
            <w:tcBorders>
              <w:left w:val="single" w:sz="12" w:space="0" w:color="auto"/>
              <w:bottom w:val="single" w:sz="12" w:space="0" w:color="auto"/>
              <w:right w:val="single" w:sz="12" w:space="0" w:color="auto"/>
            </w:tcBorders>
          </w:tcPr>
          <w:p w14:paraId="57269E2F" w14:textId="77777777" w:rsidR="006E335F" w:rsidRPr="006E335F" w:rsidRDefault="006E335F"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7F8F4E0F" w14:textId="77777777" w:rsidR="006E335F" w:rsidRPr="006E335F" w:rsidRDefault="006E335F" w:rsidP="00576CB4">
            <w:pPr>
              <w:spacing w:after="0" w:line="240" w:lineRule="auto"/>
              <w:jc w:val="center"/>
              <w:rPr>
                <w:sz w:val="16"/>
                <w:szCs w:val="16"/>
              </w:rPr>
            </w:pPr>
          </w:p>
        </w:tc>
        <w:tc>
          <w:tcPr>
            <w:tcW w:w="1406" w:type="dxa"/>
            <w:vMerge/>
            <w:tcBorders>
              <w:left w:val="single" w:sz="12" w:space="0" w:color="auto"/>
              <w:bottom w:val="single" w:sz="12" w:space="0" w:color="auto"/>
              <w:right w:val="single" w:sz="12" w:space="0" w:color="auto"/>
            </w:tcBorders>
          </w:tcPr>
          <w:p w14:paraId="37B27F40" w14:textId="77777777" w:rsidR="006E335F" w:rsidRPr="006E335F" w:rsidRDefault="006E335F" w:rsidP="00576CB4">
            <w:pPr>
              <w:spacing w:after="0" w:line="240" w:lineRule="auto"/>
              <w:jc w:val="center"/>
              <w:rPr>
                <w:sz w:val="16"/>
                <w:szCs w:val="16"/>
              </w:rPr>
            </w:pPr>
          </w:p>
        </w:tc>
        <w:tc>
          <w:tcPr>
            <w:tcW w:w="1429" w:type="dxa"/>
            <w:vMerge/>
            <w:tcBorders>
              <w:left w:val="single" w:sz="12" w:space="0" w:color="auto"/>
              <w:bottom w:val="single" w:sz="12" w:space="0" w:color="auto"/>
              <w:right w:val="single" w:sz="12" w:space="0" w:color="auto"/>
            </w:tcBorders>
          </w:tcPr>
          <w:p w14:paraId="55C88002" w14:textId="77777777" w:rsidR="006E335F" w:rsidRPr="006E335F" w:rsidRDefault="006E335F" w:rsidP="00576CB4">
            <w:pPr>
              <w:spacing w:after="0" w:line="240" w:lineRule="auto"/>
              <w:jc w:val="center"/>
              <w:rPr>
                <w:sz w:val="16"/>
                <w:szCs w:val="16"/>
              </w:rPr>
            </w:pPr>
          </w:p>
        </w:tc>
        <w:tc>
          <w:tcPr>
            <w:tcW w:w="1559" w:type="dxa"/>
            <w:tcBorders>
              <w:left w:val="single" w:sz="12" w:space="0" w:color="auto"/>
              <w:bottom w:val="single" w:sz="12" w:space="0" w:color="auto"/>
              <w:right w:val="single" w:sz="12" w:space="0" w:color="auto"/>
            </w:tcBorders>
          </w:tcPr>
          <w:p w14:paraId="07E3AAB1" w14:textId="77777777" w:rsidR="006E335F" w:rsidRPr="006E335F" w:rsidRDefault="006E335F" w:rsidP="00576CB4">
            <w:pPr>
              <w:spacing w:after="0" w:line="240" w:lineRule="auto"/>
              <w:jc w:val="center"/>
              <w:rPr>
                <w:sz w:val="16"/>
                <w:szCs w:val="16"/>
              </w:rPr>
            </w:pPr>
            <w:r w:rsidRPr="006E335F">
              <w:rPr>
                <w:sz w:val="16"/>
                <w:szCs w:val="16"/>
              </w:rPr>
              <w:t>Emme Cherry</w:t>
            </w:r>
          </w:p>
        </w:tc>
        <w:tc>
          <w:tcPr>
            <w:tcW w:w="1134" w:type="dxa"/>
            <w:tcBorders>
              <w:left w:val="single" w:sz="12" w:space="0" w:color="auto"/>
              <w:bottom w:val="single" w:sz="12" w:space="0" w:color="auto"/>
              <w:right w:val="single" w:sz="12" w:space="0" w:color="auto"/>
            </w:tcBorders>
          </w:tcPr>
          <w:p w14:paraId="4417F33C" w14:textId="77777777" w:rsidR="006E335F" w:rsidRPr="006E335F" w:rsidRDefault="006E335F" w:rsidP="00576CB4">
            <w:pPr>
              <w:numPr>
                <w:ilvl w:val="0"/>
                <w:numId w:val="8"/>
              </w:numPr>
              <w:spacing w:after="0" w:line="240" w:lineRule="auto"/>
              <w:contextualSpacing/>
              <w:jc w:val="center"/>
              <w:rPr>
                <w:sz w:val="16"/>
                <w:szCs w:val="16"/>
              </w:rPr>
            </w:pPr>
          </w:p>
        </w:tc>
        <w:tc>
          <w:tcPr>
            <w:tcW w:w="850" w:type="dxa"/>
            <w:tcBorders>
              <w:left w:val="single" w:sz="12" w:space="0" w:color="auto"/>
              <w:bottom w:val="single" w:sz="12" w:space="0" w:color="auto"/>
              <w:right w:val="single" w:sz="12" w:space="0" w:color="auto"/>
            </w:tcBorders>
          </w:tcPr>
          <w:p w14:paraId="65DB21B5"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left w:val="single" w:sz="12" w:space="0" w:color="auto"/>
              <w:bottom w:val="single" w:sz="12" w:space="0" w:color="auto"/>
              <w:right w:val="single" w:sz="12" w:space="0" w:color="auto"/>
            </w:tcBorders>
          </w:tcPr>
          <w:p w14:paraId="22A8FF96"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left w:val="single" w:sz="12" w:space="0" w:color="auto"/>
              <w:bottom w:val="single" w:sz="12" w:space="0" w:color="auto"/>
              <w:right w:val="single" w:sz="12" w:space="0" w:color="auto"/>
            </w:tcBorders>
          </w:tcPr>
          <w:p w14:paraId="4861E75F"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left w:val="single" w:sz="12" w:space="0" w:color="auto"/>
              <w:bottom w:val="single" w:sz="12" w:space="0" w:color="auto"/>
              <w:right w:val="single" w:sz="12" w:space="0" w:color="auto"/>
            </w:tcBorders>
          </w:tcPr>
          <w:p w14:paraId="6EF60518"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left w:val="single" w:sz="12" w:space="0" w:color="auto"/>
              <w:bottom w:val="single" w:sz="12" w:space="0" w:color="auto"/>
              <w:right w:val="single" w:sz="12" w:space="0" w:color="auto"/>
            </w:tcBorders>
          </w:tcPr>
          <w:p w14:paraId="6F2E64E6"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left w:val="single" w:sz="12" w:space="0" w:color="auto"/>
              <w:bottom w:val="single" w:sz="12" w:space="0" w:color="auto"/>
              <w:right w:val="single" w:sz="12" w:space="0" w:color="auto"/>
            </w:tcBorders>
          </w:tcPr>
          <w:p w14:paraId="61E1BD12" w14:textId="77777777" w:rsidR="006E335F" w:rsidRPr="006E335F" w:rsidRDefault="006E335F" w:rsidP="00576CB4">
            <w:pPr>
              <w:spacing w:after="0" w:line="240" w:lineRule="auto"/>
              <w:jc w:val="center"/>
              <w:rPr>
                <w:sz w:val="16"/>
                <w:szCs w:val="16"/>
              </w:rPr>
            </w:pPr>
            <w:r w:rsidRPr="006E335F">
              <w:rPr>
                <w:sz w:val="16"/>
                <w:szCs w:val="16"/>
              </w:rPr>
              <w:t>Unknown</w:t>
            </w:r>
          </w:p>
        </w:tc>
      </w:tr>
      <w:tr w:rsidR="006E335F" w:rsidRPr="006E335F" w14:paraId="78417663" w14:textId="77777777" w:rsidTr="00576CB4">
        <w:tc>
          <w:tcPr>
            <w:tcW w:w="978" w:type="dxa"/>
            <w:tcBorders>
              <w:top w:val="single" w:sz="12" w:space="0" w:color="auto"/>
              <w:left w:val="single" w:sz="12" w:space="0" w:color="auto"/>
              <w:bottom w:val="single" w:sz="12" w:space="0" w:color="auto"/>
              <w:right w:val="single" w:sz="12" w:space="0" w:color="auto"/>
            </w:tcBorders>
          </w:tcPr>
          <w:p w14:paraId="45638F7F" w14:textId="77777777" w:rsidR="006E335F" w:rsidRPr="006E335F" w:rsidRDefault="006E335F" w:rsidP="00576CB4">
            <w:pPr>
              <w:spacing w:after="0" w:line="240" w:lineRule="auto"/>
              <w:jc w:val="center"/>
              <w:rPr>
                <w:sz w:val="16"/>
                <w:szCs w:val="16"/>
              </w:rPr>
            </w:pPr>
            <w:r w:rsidRPr="006E335F">
              <w:rPr>
                <w:sz w:val="16"/>
                <w:szCs w:val="16"/>
              </w:rPr>
              <w:t>Sutt.</w:t>
            </w:r>
          </w:p>
        </w:tc>
        <w:tc>
          <w:tcPr>
            <w:tcW w:w="1134" w:type="dxa"/>
            <w:tcBorders>
              <w:top w:val="single" w:sz="12" w:space="0" w:color="auto"/>
              <w:left w:val="single" w:sz="12" w:space="0" w:color="auto"/>
              <w:bottom w:val="single" w:sz="12" w:space="0" w:color="auto"/>
              <w:right w:val="single" w:sz="12" w:space="0" w:color="auto"/>
            </w:tcBorders>
          </w:tcPr>
          <w:p w14:paraId="1784C88A" w14:textId="77777777" w:rsidR="006E335F" w:rsidRPr="006E335F" w:rsidRDefault="006E335F" w:rsidP="00576CB4">
            <w:pPr>
              <w:spacing w:after="0" w:line="240" w:lineRule="auto"/>
              <w:jc w:val="center"/>
              <w:rPr>
                <w:sz w:val="16"/>
                <w:szCs w:val="16"/>
              </w:rPr>
            </w:pPr>
            <w:r w:rsidRPr="006E335F">
              <w:rPr>
                <w:sz w:val="16"/>
                <w:szCs w:val="16"/>
              </w:rPr>
              <w:t>Langley Hall</w:t>
            </w:r>
          </w:p>
        </w:tc>
        <w:tc>
          <w:tcPr>
            <w:tcW w:w="1406" w:type="dxa"/>
            <w:tcBorders>
              <w:top w:val="single" w:sz="12" w:space="0" w:color="auto"/>
              <w:left w:val="single" w:sz="12" w:space="0" w:color="auto"/>
              <w:bottom w:val="single" w:sz="12" w:space="0" w:color="auto"/>
              <w:right w:val="single" w:sz="12" w:space="0" w:color="auto"/>
            </w:tcBorders>
          </w:tcPr>
          <w:p w14:paraId="5C0E21F5" w14:textId="77777777" w:rsidR="006E335F" w:rsidRPr="006E335F" w:rsidRDefault="006E335F" w:rsidP="00576CB4">
            <w:pPr>
              <w:spacing w:after="0" w:line="240" w:lineRule="auto"/>
              <w:jc w:val="center"/>
              <w:rPr>
                <w:sz w:val="16"/>
                <w:szCs w:val="16"/>
              </w:rPr>
            </w:pPr>
            <w:r w:rsidRPr="006E335F">
              <w:rPr>
                <w:sz w:val="16"/>
                <w:szCs w:val="16"/>
              </w:rPr>
              <w:t xml:space="preserve">W </w:t>
            </w:r>
            <w:proofErr w:type="gramStart"/>
            <w:r w:rsidRPr="006E335F">
              <w:rPr>
                <w:sz w:val="16"/>
                <w:szCs w:val="16"/>
                <w:vertAlign w:val="superscript"/>
              </w:rPr>
              <w:t xml:space="preserve">C </w:t>
            </w:r>
            <w:r w:rsidRPr="006E335F">
              <w:rPr>
                <w:sz w:val="16"/>
                <w:szCs w:val="16"/>
              </w:rPr>
              <w:t>?</w:t>
            </w:r>
            <w:proofErr w:type="gramEnd"/>
            <w:r w:rsidRPr="006E335F">
              <w:rPr>
                <w:sz w:val="16"/>
                <w:szCs w:val="16"/>
              </w:rPr>
              <w:t xml:space="preserve"> 1691</w:t>
            </w:r>
          </w:p>
        </w:tc>
        <w:tc>
          <w:tcPr>
            <w:tcW w:w="1429" w:type="dxa"/>
            <w:tcBorders>
              <w:top w:val="single" w:sz="12" w:space="0" w:color="auto"/>
              <w:left w:val="single" w:sz="12" w:space="0" w:color="auto"/>
              <w:bottom w:val="single" w:sz="12" w:space="0" w:color="auto"/>
              <w:right w:val="single" w:sz="12" w:space="0" w:color="auto"/>
            </w:tcBorders>
          </w:tcPr>
          <w:p w14:paraId="2539AD51" w14:textId="77777777" w:rsidR="006E335F" w:rsidRPr="006E335F" w:rsidRDefault="006E335F" w:rsidP="00576CB4">
            <w:pPr>
              <w:spacing w:after="0" w:line="240" w:lineRule="auto"/>
              <w:jc w:val="center"/>
              <w:rPr>
                <w:sz w:val="16"/>
                <w:szCs w:val="16"/>
              </w:rPr>
            </w:pPr>
            <w:r w:rsidRPr="006E335F">
              <w:rPr>
                <w:sz w:val="16"/>
                <w:szCs w:val="16"/>
              </w:rPr>
              <w:t>Façade, cartouche</w:t>
            </w:r>
          </w:p>
        </w:tc>
        <w:tc>
          <w:tcPr>
            <w:tcW w:w="1559" w:type="dxa"/>
            <w:tcBorders>
              <w:top w:val="single" w:sz="12" w:space="0" w:color="auto"/>
              <w:left w:val="single" w:sz="12" w:space="0" w:color="auto"/>
              <w:bottom w:val="single" w:sz="12" w:space="0" w:color="auto"/>
              <w:right w:val="single" w:sz="12" w:space="0" w:color="auto"/>
            </w:tcBorders>
          </w:tcPr>
          <w:p w14:paraId="30BAB2D3" w14:textId="77777777" w:rsidR="006E335F" w:rsidRPr="006E335F" w:rsidRDefault="006E335F" w:rsidP="00576CB4">
            <w:pPr>
              <w:spacing w:after="0" w:line="240" w:lineRule="auto"/>
              <w:jc w:val="center"/>
              <w:rPr>
                <w:sz w:val="16"/>
                <w:szCs w:val="16"/>
              </w:rPr>
            </w:pPr>
            <w:r w:rsidRPr="006E335F">
              <w:rPr>
                <w:sz w:val="16"/>
                <w:szCs w:val="16"/>
              </w:rPr>
              <w:t>William Clowes</w:t>
            </w:r>
          </w:p>
        </w:tc>
        <w:tc>
          <w:tcPr>
            <w:tcW w:w="1134" w:type="dxa"/>
            <w:tcBorders>
              <w:top w:val="single" w:sz="12" w:space="0" w:color="auto"/>
              <w:left w:val="single" w:sz="12" w:space="0" w:color="auto"/>
              <w:bottom w:val="single" w:sz="12" w:space="0" w:color="auto"/>
              <w:right w:val="single" w:sz="12" w:space="0" w:color="auto"/>
            </w:tcBorders>
          </w:tcPr>
          <w:p w14:paraId="056B1D8D" w14:textId="77777777" w:rsidR="006E335F" w:rsidRPr="006E335F" w:rsidRDefault="006E335F" w:rsidP="00576CB4">
            <w:pPr>
              <w:spacing w:after="0" w:line="240" w:lineRule="auto"/>
              <w:jc w:val="center"/>
              <w:rPr>
                <w:sz w:val="16"/>
                <w:szCs w:val="16"/>
              </w:rPr>
            </w:pPr>
            <w:r w:rsidRPr="006E335F">
              <w:rPr>
                <w:sz w:val="16"/>
                <w:szCs w:val="16"/>
              </w:rPr>
              <w:t>Gentleman</w:t>
            </w:r>
          </w:p>
        </w:tc>
        <w:tc>
          <w:tcPr>
            <w:tcW w:w="850" w:type="dxa"/>
            <w:tcBorders>
              <w:top w:val="single" w:sz="12" w:space="0" w:color="auto"/>
              <w:left w:val="single" w:sz="12" w:space="0" w:color="auto"/>
              <w:bottom w:val="single" w:sz="12" w:space="0" w:color="auto"/>
              <w:right w:val="single" w:sz="12" w:space="0" w:color="auto"/>
            </w:tcBorders>
          </w:tcPr>
          <w:p w14:paraId="795955FA"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top w:val="single" w:sz="12" w:space="0" w:color="auto"/>
              <w:left w:val="single" w:sz="12" w:space="0" w:color="auto"/>
              <w:bottom w:val="single" w:sz="12" w:space="0" w:color="auto"/>
              <w:right w:val="single" w:sz="12" w:space="0" w:color="auto"/>
            </w:tcBorders>
          </w:tcPr>
          <w:p w14:paraId="73445B04" w14:textId="77777777" w:rsidR="006E335F" w:rsidRPr="006E335F" w:rsidRDefault="006E335F" w:rsidP="00576CB4">
            <w:pPr>
              <w:spacing w:after="0" w:line="240" w:lineRule="auto"/>
              <w:jc w:val="center"/>
              <w:rPr>
                <w:sz w:val="16"/>
                <w:szCs w:val="16"/>
              </w:rPr>
            </w:pPr>
            <w:r w:rsidRPr="006E335F">
              <w:rPr>
                <w:sz w:val="16"/>
                <w:szCs w:val="16"/>
              </w:rPr>
              <w:t>Yes</w:t>
            </w:r>
          </w:p>
        </w:tc>
        <w:tc>
          <w:tcPr>
            <w:tcW w:w="992" w:type="dxa"/>
            <w:tcBorders>
              <w:top w:val="single" w:sz="12" w:space="0" w:color="auto"/>
              <w:left w:val="single" w:sz="12" w:space="0" w:color="auto"/>
              <w:bottom w:val="single" w:sz="12" w:space="0" w:color="auto"/>
              <w:right w:val="single" w:sz="12" w:space="0" w:color="auto"/>
            </w:tcBorders>
          </w:tcPr>
          <w:p w14:paraId="2064AAC1" w14:textId="77777777" w:rsidR="006E335F" w:rsidRPr="006E335F" w:rsidRDefault="006E335F" w:rsidP="00576CB4">
            <w:pPr>
              <w:spacing w:after="0" w:line="240" w:lineRule="auto"/>
              <w:jc w:val="center"/>
              <w:rPr>
                <w:sz w:val="16"/>
                <w:szCs w:val="16"/>
              </w:rPr>
            </w:pPr>
            <w:r w:rsidRPr="006E335F">
              <w:rPr>
                <w:sz w:val="16"/>
                <w:szCs w:val="16"/>
              </w:rPr>
              <w:t>£185 10s</w:t>
            </w:r>
          </w:p>
        </w:tc>
        <w:tc>
          <w:tcPr>
            <w:tcW w:w="992" w:type="dxa"/>
            <w:tcBorders>
              <w:top w:val="single" w:sz="12" w:space="0" w:color="auto"/>
              <w:left w:val="single" w:sz="12" w:space="0" w:color="auto"/>
              <w:bottom w:val="single" w:sz="12" w:space="0" w:color="auto"/>
              <w:right w:val="single" w:sz="12" w:space="0" w:color="auto"/>
            </w:tcBorders>
          </w:tcPr>
          <w:p w14:paraId="50F78328"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top w:val="single" w:sz="12" w:space="0" w:color="auto"/>
              <w:left w:val="single" w:sz="12" w:space="0" w:color="auto"/>
              <w:bottom w:val="single" w:sz="12" w:space="0" w:color="auto"/>
              <w:right w:val="single" w:sz="12" w:space="0" w:color="auto"/>
            </w:tcBorders>
          </w:tcPr>
          <w:p w14:paraId="426F7597"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top w:val="single" w:sz="12" w:space="0" w:color="auto"/>
              <w:left w:val="single" w:sz="12" w:space="0" w:color="auto"/>
              <w:bottom w:val="single" w:sz="12" w:space="0" w:color="auto"/>
              <w:right w:val="single" w:sz="12" w:space="0" w:color="auto"/>
            </w:tcBorders>
          </w:tcPr>
          <w:p w14:paraId="48FEF673" w14:textId="77777777" w:rsidR="006E335F" w:rsidRPr="006E335F" w:rsidRDefault="006E335F" w:rsidP="00576CB4">
            <w:pPr>
              <w:spacing w:after="0" w:line="240" w:lineRule="auto"/>
              <w:jc w:val="center"/>
              <w:rPr>
                <w:sz w:val="16"/>
                <w:szCs w:val="16"/>
              </w:rPr>
            </w:pPr>
            <w:r w:rsidRPr="006E335F">
              <w:rPr>
                <w:sz w:val="16"/>
                <w:szCs w:val="16"/>
              </w:rPr>
              <w:t>Full signature</w:t>
            </w:r>
          </w:p>
        </w:tc>
      </w:tr>
      <w:tr w:rsidR="006E335F" w:rsidRPr="006E335F" w14:paraId="708E7871" w14:textId="77777777" w:rsidTr="00576CB4">
        <w:tc>
          <w:tcPr>
            <w:tcW w:w="978" w:type="dxa"/>
            <w:vMerge w:val="restart"/>
            <w:tcBorders>
              <w:top w:val="single" w:sz="12" w:space="0" w:color="auto"/>
              <w:left w:val="single" w:sz="12" w:space="0" w:color="auto"/>
              <w:right w:val="single" w:sz="12" w:space="0" w:color="auto"/>
            </w:tcBorders>
          </w:tcPr>
          <w:p w14:paraId="0267A14A" w14:textId="77777777" w:rsidR="006E335F" w:rsidRPr="006E335F" w:rsidRDefault="006E335F" w:rsidP="00576CB4">
            <w:pPr>
              <w:spacing w:after="0" w:line="240" w:lineRule="auto"/>
              <w:jc w:val="center"/>
              <w:rPr>
                <w:sz w:val="16"/>
                <w:szCs w:val="16"/>
              </w:rPr>
            </w:pPr>
            <w:r w:rsidRPr="006E335F">
              <w:rPr>
                <w:sz w:val="16"/>
                <w:szCs w:val="16"/>
              </w:rPr>
              <w:t>Sutt.</w:t>
            </w:r>
          </w:p>
        </w:tc>
        <w:tc>
          <w:tcPr>
            <w:tcW w:w="1134" w:type="dxa"/>
            <w:vMerge w:val="restart"/>
            <w:tcBorders>
              <w:top w:val="single" w:sz="12" w:space="0" w:color="auto"/>
              <w:left w:val="single" w:sz="12" w:space="0" w:color="auto"/>
              <w:right w:val="single" w:sz="12" w:space="0" w:color="auto"/>
            </w:tcBorders>
          </w:tcPr>
          <w:p w14:paraId="5CA347F5" w14:textId="77777777" w:rsidR="006E335F" w:rsidRPr="006E335F" w:rsidRDefault="006E335F" w:rsidP="00576CB4">
            <w:pPr>
              <w:spacing w:after="0" w:line="240" w:lineRule="auto"/>
              <w:jc w:val="center"/>
              <w:rPr>
                <w:sz w:val="16"/>
                <w:szCs w:val="16"/>
              </w:rPr>
            </w:pPr>
            <w:r w:rsidRPr="006E335F">
              <w:rPr>
                <w:sz w:val="16"/>
                <w:szCs w:val="16"/>
              </w:rPr>
              <w:t>Drove Hey</w:t>
            </w:r>
          </w:p>
        </w:tc>
        <w:tc>
          <w:tcPr>
            <w:tcW w:w="1406" w:type="dxa"/>
            <w:vMerge w:val="restart"/>
            <w:tcBorders>
              <w:top w:val="single" w:sz="12" w:space="0" w:color="auto"/>
              <w:left w:val="single" w:sz="12" w:space="0" w:color="auto"/>
              <w:right w:val="single" w:sz="12" w:space="0" w:color="auto"/>
            </w:tcBorders>
          </w:tcPr>
          <w:p w14:paraId="7F0C650F" w14:textId="77777777" w:rsidR="006E335F" w:rsidRPr="006E335F" w:rsidRDefault="006E335F" w:rsidP="00576CB4">
            <w:pPr>
              <w:spacing w:after="0" w:line="240" w:lineRule="auto"/>
              <w:jc w:val="center"/>
              <w:rPr>
                <w:sz w:val="16"/>
                <w:szCs w:val="16"/>
              </w:rPr>
            </w:pPr>
            <w:r w:rsidRPr="006E335F">
              <w:rPr>
                <w:sz w:val="16"/>
                <w:szCs w:val="16"/>
              </w:rPr>
              <w:t xml:space="preserve">T </w:t>
            </w:r>
            <w:r w:rsidRPr="006E335F">
              <w:rPr>
                <w:sz w:val="16"/>
                <w:szCs w:val="16"/>
                <w:vertAlign w:val="superscript"/>
              </w:rPr>
              <w:t xml:space="preserve">A </w:t>
            </w:r>
            <w:r w:rsidRPr="006E335F">
              <w:rPr>
                <w:sz w:val="16"/>
                <w:szCs w:val="16"/>
              </w:rPr>
              <w:t>E 1702</w:t>
            </w:r>
          </w:p>
        </w:tc>
        <w:tc>
          <w:tcPr>
            <w:tcW w:w="1429" w:type="dxa"/>
            <w:vMerge w:val="restart"/>
            <w:tcBorders>
              <w:top w:val="single" w:sz="12" w:space="0" w:color="auto"/>
              <w:left w:val="single" w:sz="12" w:space="0" w:color="auto"/>
              <w:right w:val="single" w:sz="12" w:space="0" w:color="auto"/>
            </w:tcBorders>
          </w:tcPr>
          <w:p w14:paraId="198DE63D" w14:textId="77777777" w:rsidR="006E335F" w:rsidRPr="006E335F" w:rsidRDefault="006E335F" w:rsidP="00576CB4">
            <w:pPr>
              <w:spacing w:after="0" w:line="240" w:lineRule="auto"/>
              <w:jc w:val="center"/>
              <w:rPr>
                <w:sz w:val="16"/>
                <w:szCs w:val="16"/>
              </w:rPr>
            </w:pPr>
            <w:r w:rsidRPr="006E335F">
              <w:rPr>
                <w:sz w:val="16"/>
                <w:szCs w:val="16"/>
              </w:rPr>
              <w:t>Façade, datestone</w:t>
            </w:r>
          </w:p>
        </w:tc>
        <w:tc>
          <w:tcPr>
            <w:tcW w:w="1559" w:type="dxa"/>
            <w:tcBorders>
              <w:top w:val="single" w:sz="12" w:space="0" w:color="auto"/>
              <w:left w:val="single" w:sz="12" w:space="0" w:color="auto"/>
              <w:right w:val="single" w:sz="12" w:space="0" w:color="auto"/>
            </w:tcBorders>
          </w:tcPr>
          <w:p w14:paraId="73C67A50" w14:textId="77777777" w:rsidR="006E335F" w:rsidRPr="006E335F" w:rsidRDefault="006E335F" w:rsidP="00576CB4">
            <w:pPr>
              <w:spacing w:after="0" w:line="240" w:lineRule="auto"/>
              <w:jc w:val="center"/>
              <w:rPr>
                <w:sz w:val="16"/>
                <w:szCs w:val="16"/>
              </w:rPr>
            </w:pPr>
            <w:r w:rsidRPr="006E335F">
              <w:rPr>
                <w:sz w:val="16"/>
                <w:szCs w:val="16"/>
              </w:rPr>
              <w:t xml:space="preserve">Thomas </w:t>
            </w:r>
            <w:proofErr w:type="spellStart"/>
            <w:r w:rsidRPr="006E335F">
              <w:rPr>
                <w:sz w:val="16"/>
                <w:szCs w:val="16"/>
              </w:rPr>
              <w:t>Armett</w:t>
            </w:r>
            <w:proofErr w:type="spellEnd"/>
          </w:p>
        </w:tc>
        <w:tc>
          <w:tcPr>
            <w:tcW w:w="1134" w:type="dxa"/>
            <w:tcBorders>
              <w:top w:val="single" w:sz="12" w:space="0" w:color="auto"/>
              <w:left w:val="single" w:sz="12" w:space="0" w:color="auto"/>
              <w:right w:val="single" w:sz="12" w:space="0" w:color="auto"/>
            </w:tcBorders>
          </w:tcPr>
          <w:p w14:paraId="204F4C32" w14:textId="77777777" w:rsidR="006E335F" w:rsidRPr="006E335F" w:rsidRDefault="006E335F" w:rsidP="00576CB4">
            <w:pPr>
              <w:spacing w:after="0" w:line="240" w:lineRule="auto"/>
              <w:jc w:val="center"/>
              <w:rPr>
                <w:sz w:val="16"/>
                <w:szCs w:val="16"/>
              </w:rPr>
            </w:pPr>
            <w:r w:rsidRPr="006E335F">
              <w:rPr>
                <w:sz w:val="16"/>
                <w:szCs w:val="16"/>
              </w:rPr>
              <w:t>Unknown</w:t>
            </w:r>
          </w:p>
        </w:tc>
        <w:tc>
          <w:tcPr>
            <w:tcW w:w="850" w:type="dxa"/>
            <w:tcBorders>
              <w:top w:val="single" w:sz="12" w:space="0" w:color="auto"/>
              <w:left w:val="single" w:sz="12" w:space="0" w:color="auto"/>
              <w:right w:val="single" w:sz="12" w:space="0" w:color="auto"/>
            </w:tcBorders>
          </w:tcPr>
          <w:p w14:paraId="1D2ADAD4"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top w:val="single" w:sz="12" w:space="0" w:color="auto"/>
              <w:left w:val="single" w:sz="12" w:space="0" w:color="auto"/>
              <w:right w:val="single" w:sz="12" w:space="0" w:color="auto"/>
            </w:tcBorders>
          </w:tcPr>
          <w:p w14:paraId="1019C77E"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top w:val="single" w:sz="12" w:space="0" w:color="auto"/>
              <w:left w:val="single" w:sz="12" w:space="0" w:color="auto"/>
              <w:right w:val="single" w:sz="12" w:space="0" w:color="auto"/>
            </w:tcBorders>
          </w:tcPr>
          <w:p w14:paraId="4806E365"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top w:val="single" w:sz="12" w:space="0" w:color="auto"/>
              <w:left w:val="single" w:sz="12" w:space="0" w:color="auto"/>
              <w:right w:val="single" w:sz="12" w:space="0" w:color="auto"/>
            </w:tcBorders>
          </w:tcPr>
          <w:p w14:paraId="4B4E837D"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top w:val="single" w:sz="12" w:space="0" w:color="auto"/>
              <w:left w:val="single" w:sz="12" w:space="0" w:color="auto"/>
              <w:right w:val="single" w:sz="12" w:space="0" w:color="auto"/>
            </w:tcBorders>
          </w:tcPr>
          <w:p w14:paraId="1E173E89"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top w:val="single" w:sz="12" w:space="0" w:color="auto"/>
              <w:left w:val="single" w:sz="12" w:space="0" w:color="auto"/>
              <w:right w:val="single" w:sz="12" w:space="0" w:color="auto"/>
            </w:tcBorders>
          </w:tcPr>
          <w:p w14:paraId="7CC6C55D" w14:textId="77777777" w:rsidR="006E335F" w:rsidRPr="006E335F" w:rsidRDefault="006E335F" w:rsidP="00576CB4">
            <w:pPr>
              <w:spacing w:after="0" w:line="240" w:lineRule="auto"/>
              <w:jc w:val="center"/>
              <w:rPr>
                <w:sz w:val="16"/>
                <w:szCs w:val="16"/>
              </w:rPr>
            </w:pPr>
            <w:r w:rsidRPr="006E335F">
              <w:rPr>
                <w:sz w:val="16"/>
                <w:szCs w:val="16"/>
              </w:rPr>
              <w:t>Full signature</w:t>
            </w:r>
          </w:p>
        </w:tc>
      </w:tr>
      <w:tr w:rsidR="006E335F" w:rsidRPr="006E335F" w14:paraId="7A079179" w14:textId="77777777" w:rsidTr="00576CB4">
        <w:tc>
          <w:tcPr>
            <w:tcW w:w="978" w:type="dxa"/>
            <w:vMerge/>
            <w:tcBorders>
              <w:left w:val="single" w:sz="12" w:space="0" w:color="auto"/>
              <w:bottom w:val="single" w:sz="12" w:space="0" w:color="auto"/>
              <w:right w:val="single" w:sz="12" w:space="0" w:color="auto"/>
            </w:tcBorders>
          </w:tcPr>
          <w:p w14:paraId="24AF8A67" w14:textId="77777777" w:rsidR="006E335F" w:rsidRPr="006E335F" w:rsidRDefault="006E335F"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7D5D54ED" w14:textId="77777777" w:rsidR="006E335F" w:rsidRPr="006E335F" w:rsidRDefault="006E335F" w:rsidP="00576CB4">
            <w:pPr>
              <w:spacing w:after="0" w:line="240" w:lineRule="auto"/>
              <w:jc w:val="center"/>
              <w:rPr>
                <w:sz w:val="16"/>
                <w:szCs w:val="16"/>
              </w:rPr>
            </w:pPr>
          </w:p>
        </w:tc>
        <w:tc>
          <w:tcPr>
            <w:tcW w:w="1406" w:type="dxa"/>
            <w:vMerge/>
            <w:tcBorders>
              <w:left w:val="single" w:sz="12" w:space="0" w:color="auto"/>
              <w:bottom w:val="single" w:sz="12" w:space="0" w:color="auto"/>
              <w:right w:val="single" w:sz="12" w:space="0" w:color="auto"/>
            </w:tcBorders>
          </w:tcPr>
          <w:p w14:paraId="008FFB31" w14:textId="77777777" w:rsidR="006E335F" w:rsidRPr="006E335F" w:rsidRDefault="006E335F" w:rsidP="00576CB4">
            <w:pPr>
              <w:spacing w:after="0" w:line="240" w:lineRule="auto"/>
              <w:jc w:val="center"/>
              <w:rPr>
                <w:sz w:val="16"/>
                <w:szCs w:val="16"/>
              </w:rPr>
            </w:pPr>
          </w:p>
        </w:tc>
        <w:tc>
          <w:tcPr>
            <w:tcW w:w="1429" w:type="dxa"/>
            <w:vMerge/>
            <w:tcBorders>
              <w:left w:val="single" w:sz="12" w:space="0" w:color="auto"/>
              <w:bottom w:val="single" w:sz="12" w:space="0" w:color="auto"/>
              <w:right w:val="single" w:sz="12" w:space="0" w:color="auto"/>
            </w:tcBorders>
          </w:tcPr>
          <w:p w14:paraId="2EA43A47" w14:textId="77777777" w:rsidR="006E335F" w:rsidRPr="006E335F" w:rsidRDefault="006E335F" w:rsidP="00576CB4">
            <w:pPr>
              <w:spacing w:after="0" w:line="240" w:lineRule="auto"/>
              <w:jc w:val="center"/>
              <w:rPr>
                <w:sz w:val="16"/>
                <w:szCs w:val="16"/>
              </w:rPr>
            </w:pPr>
          </w:p>
        </w:tc>
        <w:tc>
          <w:tcPr>
            <w:tcW w:w="1559" w:type="dxa"/>
            <w:tcBorders>
              <w:left w:val="single" w:sz="12" w:space="0" w:color="auto"/>
              <w:bottom w:val="single" w:sz="12" w:space="0" w:color="auto"/>
              <w:right w:val="single" w:sz="12" w:space="0" w:color="auto"/>
            </w:tcBorders>
          </w:tcPr>
          <w:p w14:paraId="6D5C8777" w14:textId="77777777" w:rsidR="006E335F" w:rsidRPr="006E335F" w:rsidRDefault="006E335F" w:rsidP="00576CB4">
            <w:pPr>
              <w:spacing w:after="0" w:line="240" w:lineRule="auto"/>
              <w:jc w:val="center"/>
              <w:rPr>
                <w:sz w:val="16"/>
                <w:szCs w:val="16"/>
              </w:rPr>
            </w:pPr>
            <w:r w:rsidRPr="006E335F">
              <w:rPr>
                <w:sz w:val="16"/>
                <w:szCs w:val="16"/>
              </w:rPr>
              <w:t xml:space="preserve">Emme </w:t>
            </w:r>
            <w:proofErr w:type="spellStart"/>
            <w:r w:rsidRPr="006E335F">
              <w:rPr>
                <w:sz w:val="16"/>
                <w:szCs w:val="16"/>
              </w:rPr>
              <w:t>Armett</w:t>
            </w:r>
            <w:proofErr w:type="spellEnd"/>
          </w:p>
        </w:tc>
        <w:tc>
          <w:tcPr>
            <w:tcW w:w="1134" w:type="dxa"/>
            <w:tcBorders>
              <w:left w:val="single" w:sz="12" w:space="0" w:color="auto"/>
              <w:bottom w:val="single" w:sz="12" w:space="0" w:color="auto"/>
              <w:right w:val="single" w:sz="12" w:space="0" w:color="auto"/>
            </w:tcBorders>
          </w:tcPr>
          <w:p w14:paraId="11C5C520" w14:textId="77777777" w:rsidR="006E335F" w:rsidRPr="006E335F" w:rsidRDefault="006E335F" w:rsidP="00576CB4">
            <w:pPr>
              <w:numPr>
                <w:ilvl w:val="0"/>
                <w:numId w:val="8"/>
              </w:numPr>
              <w:spacing w:after="0" w:line="240" w:lineRule="auto"/>
              <w:contextualSpacing/>
              <w:jc w:val="center"/>
              <w:rPr>
                <w:sz w:val="16"/>
                <w:szCs w:val="16"/>
              </w:rPr>
            </w:pPr>
          </w:p>
        </w:tc>
        <w:tc>
          <w:tcPr>
            <w:tcW w:w="850" w:type="dxa"/>
            <w:tcBorders>
              <w:left w:val="single" w:sz="12" w:space="0" w:color="auto"/>
              <w:bottom w:val="single" w:sz="12" w:space="0" w:color="auto"/>
              <w:right w:val="single" w:sz="12" w:space="0" w:color="auto"/>
            </w:tcBorders>
          </w:tcPr>
          <w:p w14:paraId="6B28133F"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left w:val="single" w:sz="12" w:space="0" w:color="auto"/>
              <w:bottom w:val="single" w:sz="12" w:space="0" w:color="auto"/>
              <w:right w:val="single" w:sz="12" w:space="0" w:color="auto"/>
            </w:tcBorders>
          </w:tcPr>
          <w:p w14:paraId="7B7741AF"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left w:val="single" w:sz="12" w:space="0" w:color="auto"/>
              <w:bottom w:val="single" w:sz="12" w:space="0" w:color="auto"/>
              <w:right w:val="single" w:sz="12" w:space="0" w:color="auto"/>
            </w:tcBorders>
          </w:tcPr>
          <w:p w14:paraId="291FC2B3"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left w:val="single" w:sz="12" w:space="0" w:color="auto"/>
              <w:bottom w:val="single" w:sz="12" w:space="0" w:color="auto"/>
              <w:right w:val="single" w:sz="12" w:space="0" w:color="auto"/>
            </w:tcBorders>
          </w:tcPr>
          <w:p w14:paraId="427D04B3"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left w:val="single" w:sz="12" w:space="0" w:color="auto"/>
              <w:bottom w:val="single" w:sz="12" w:space="0" w:color="auto"/>
              <w:right w:val="single" w:sz="12" w:space="0" w:color="auto"/>
            </w:tcBorders>
          </w:tcPr>
          <w:p w14:paraId="512A1F4B"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left w:val="single" w:sz="12" w:space="0" w:color="auto"/>
              <w:bottom w:val="single" w:sz="12" w:space="0" w:color="auto"/>
              <w:right w:val="single" w:sz="12" w:space="0" w:color="auto"/>
            </w:tcBorders>
          </w:tcPr>
          <w:p w14:paraId="57FF5909" w14:textId="77777777" w:rsidR="006E335F" w:rsidRPr="006E335F" w:rsidRDefault="006E335F" w:rsidP="00576CB4">
            <w:pPr>
              <w:spacing w:after="0" w:line="240" w:lineRule="auto"/>
              <w:jc w:val="center"/>
              <w:rPr>
                <w:sz w:val="16"/>
                <w:szCs w:val="16"/>
              </w:rPr>
            </w:pPr>
            <w:r w:rsidRPr="006E335F">
              <w:rPr>
                <w:sz w:val="16"/>
                <w:szCs w:val="16"/>
              </w:rPr>
              <w:t>Unknown</w:t>
            </w:r>
          </w:p>
        </w:tc>
      </w:tr>
      <w:tr w:rsidR="006E335F" w:rsidRPr="006E335F" w14:paraId="7FD9A129" w14:textId="77777777" w:rsidTr="00576CB4">
        <w:tc>
          <w:tcPr>
            <w:tcW w:w="978" w:type="dxa"/>
            <w:vMerge w:val="restart"/>
            <w:tcBorders>
              <w:top w:val="single" w:sz="12" w:space="0" w:color="auto"/>
              <w:left w:val="single" w:sz="12" w:space="0" w:color="auto"/>
              <w:right w:val="single" w:sz="12" w:space="0" w:color="auto"/>
            </w:tcBorders>
          </w:tcPr>
          <w:p w14:paraId="0F64BBAE" w14:textId="77777777" w:rsidR="006E335F" w:rsidRPr="006E335F" w:rsidRDefault="006E335F" w:rsidP="00576CB4">
            <w:pPr>
              <w:spacing w:after="0" w:line="240" w:lineRule="auto"/>
              <w:jc w:val="center"/>
              <w:rPr>
                <w:sz w:val="16"/>
                <w:szCs w:val="16"/>
              </w:rPr>
            </w:pPr>
            <w:r w:rsidRPr="006E335F">
              <w:rPr>
                <w:sz w:val="16"/>
                <w:szCs w:val="16"/>
              </w:rPr>
              <w:t>But.</w:t>
            </w:r>
          </w:p>
        </w:tc>
        <w:tc>
          <w:tcPr>
            <w:tcW w:w="1134" w:type="dxa"/>
            <w:vMerge w:val="restart"/>
            <w:tcBorders>
              <w:top w:val="single" w:sz="12" w:space="0" w:color="auto"/>
              <w:left w:val="single" w:sz="12" w:space="0" w:color="auto"/>
              <w:right w:val="single" w:sz="12" w:space="0" w:color="auto"/>
            </w:tcBorders>
          </w:tcPr>
          <w:p w14:paraId="2680CB45" w14:textId="77777777" w:rsidR="006E335F" w:rsidRPr="006E335F" w:rsidRDefault="006E335F" w:rsidP="00576CB4">
            <w:pPr>
              <w:spacing w:after="0" w:line="240" w:lineRule="auto"/>
              <w:jc w:val="center"/>
              <w:rPr>
                <w:sz w:val="16"/>
                <w:szCs w:val="16"/>
              </w:rPr>
            </w:pPr>
            <w:r w:rsidRPr="006E335F">
              <w:rPr>
                <w:sz w:val="16"/>
                <w:szCs w:val="16"/>
              </w:rPr>
              <w:t>Yew Tree House</w:t>
            </w:r>
          </w:p>
        </w:tc>
        <w:tc>
          <w:tcPr>
            <w:tcW w:w="1406" w:type="dxa"/>
            <w:tcBorders>
              <w:top w:val="single" w:sz="12" w:space="0" w:color="auto"/>
              <w:left w:val="single" w:sz="12" w:space="0" w:color="auto"/>
              <w:right w:val="single" w:sz="12" w:space="0" w:color="auto"/>
            </w:tcBorders>
          </w:tcPr>
          <w:p w14:paraId="3602CD5D" w14:textId="77777777" w:rsidR="006E335F" w:rsidRPr="006E335F" w:rsidRDefault="006E335F" w:rsidP="00576CB4">
            <w:pPr>
              <w:spacing w:after="0" w:line="240" w:lineRule="auto"/>
              <w:jc w:val="center"/>
              <w:rPr>
                <w:sz w:val="16"/>
                <w:szCs w:val="16"/>
              </w:rPr>
            </w:pPr>
            <w:r w:rsidRPr="006E335F">
              <w:rPr>
                <w:sz w:val="16"/>
                <w:szCs w:val="16"/>
              </w:rPr>
              <w:t xml:space="preserve">T </w:t>
            </w:r>
            <w:r w:rsidRPr="006E335F">
              <w:rPr>
                <w:sz w:val="16"/>
                <w:szCs w:val="16"/>
                <w:vertAlign w:val="superscript"/>
              </w:rPr>
              <w:t xml:space="preserve">D </w:t>
            </w:r>
            <w:r w:rsidRPr="006E335F">
              <w:rPr>
                <w:sz w:val="16"/>
                <w:szCs w:val="16"/>
              </w:rPr>
              <w:t>H 1711</w:t>
            </w:r>
          </w:p>
        </w:tc>
        <w:tc>
          <w:tcPr>
            <w:tcW w:w="1429" w:type="dxa"/>
            <w:tcBorders>
              <w:top w:val="single" w:sz="12" w:space="0" w:color="auto"/>
              <w:left w:val="single" w:sz="12" w:space="0" w:color="auto"/>
              <w:right w:val="single" w:sz="12" w:space="0" w:color="auto"/>
            </w:tcBorders>
          </w:tcPr>
          <w:p w14:paraId="248D4493" w14:textId="77777777" w:rsidR="006E335F" w:rsidRPr="006E335F" w:rsidRDefault="006E335F" w:rsidP="00576CB4">
            <w:pPr>
              <w:spacing w:after="0" w:line="240" w:lineRule="auto"/>
              <w:jc w:val="center"/>
              <w:rPr>
                <w:sz w:val="16"/>
                <w:szCs w:val="16"/>
              </w:rPr>
            </w:pPr>
            <w:r w:rsidRPr="006E335F">
              <w:rPr>
                <w:sz w:val="16"/>
                <w:szCs w:val="16"/>
              </w:rPr>
              <w:t>Façade, datestone</w:t>
            </w:r>
          </w:p>
        </w:tc>
        <w:tc>
          <w:tcPr>
            <w:tcW w:w="1559" w:type="dxa"/>
            <w:tcBorders>
              <w:top w:val="single" w:sz="12" w:space="0" w:color="auto"/>
              <w:left w:val="single" w:sz="12" w:space="0" w:color="auto"/>
              <w:right w:val="single" w:sz="12" w:space="0" w:color="auto"/>
            </w:tcBorders>
          </w:tcPr>
          <w:p w14:paraId="5A8C826F" w14:textId="77777777" w:rsidR="006E335F" w:rsidRPr="006E335F" w:rsidRDefault="006E335F" w:rsidP="00576CB4">
            <w:pPr>
              <w:spacing w:after="0" w:line="240" w:lineRule="auto"/>
              <w:jc w:val="center"/>
              <w:rPr>
                <w:sz w:val="16"/>
                <w:szCs w:val="16"/>
              </w:rPr>
            </w:pPr>
            <w:r w:rsidRPr="006E335F">
              <w:rPr>
                <w:sz w:val="16"/>
                <w:szCs w:val="16"/>
              </w:rPr>
              <w:t>Thomas Deane</w:t>
            </w:r>
          </w:p>
        </w:tc>
        <w:tc>
          <w:tcPr>
            <w:tcW w:w="1134" w:type="dxa"/>
            <w:tcBorders>
              <w:top w:val="single" w:sz="12" w:space="0" w:color="auto"/>
              <w:left w:val="single" w:sz="12" w:space="0" w:color="auto"/>
              <w:right w:val="single" w:sz="12" w:space="0" w:color="auto"/>
            </w:tcBorders>
          </w:tcPr>
          <w:p w14:paraId="5B74BDA8" w14:textId="77777777" w:rsidR="006E335F" w:rsidRPr="006E335F" w:rsidRDefault="006E335F" w:rsidP="00576CB4">
            <w:pPr>
              <w:spacing w:after="0" w:line="240" w:lineRule="auto"/>
              <w:jc w:val="center"/>
              <w:rPr>
                <w:sz w:val="16"/>
                <w:szCs w:val="16"/>
              </w:rPr>
            </w:pPr>
            <w:r w:rsidRPr="006E335F">
              <w:rPr>
                <w:sz w:val="16"/>
                <w:szCs w:val="16"/>
              </w:rPr>
              <w:t>Yeoman</w:t>
            </w:r>
          </w:p>
        </w:tc>
        <w:tc>
          <w:tcPr>
            <w:tcW w:w="850" w:type="dxa"/>
            <w:tcBorders>
              <w:top w:val="single" w:sz="12" w:space="0" w:color="auto"/>
              <w:left w:val="single" w:sz="12" w:space="0" w:color="auto"/>
              <w:right w:val="single" w:sz="12" w:space="0" w:color="auto"/>
            </w:tcBorders>
          </w:tcPr>
          <w:p w14:paraId="289CAE00" w14:textId="77777777" w:rsidR="006E335F" w:rsidRPr="006E335F" w:rsidRDefault="006E335F" w:rsidP="00576CB4">
            <w:pPr>
              <w:spacing w:after="0" w:line="240" w:lineRule="auto"/>
              <w:jc w:val="center"/>
              <w:rPr>
                <w:sz w:val="16"/>
                <w:szCs w:val="16"/>
              </w:rPr>
            </w:pPr>
            <w:r w:rsidRPr="006E335F">
              <w:rPr>
                <w:sz w:val="16"/>
                <w:szCs w:val="16"/>
              </w:rPr>
              <w:t>Yes</w:t>
            </w:r>
          </w:p>
        </w:tc>
        <w:tc>
          <w:tcPr>
            <w:tcW w:w="993" w:type="dxa"/>
            <w:tcBorders>
              <w:top w:val="single" w:sz="12" w:space="0" w:color="auto"/>
              <w:left w:val="single" w:sz="12" w:space="0" w:color="auto"/>
              <w:right w:val="single" w:sz="12" w:space="0" w:color="auto"/>
            </w:tcBorders>
          </w:tcPr>
          <w:p w14:paraId="1DCBF2EB"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top w:val="single" w:sz="12" w:space="0" w:color="auto"/>
              <w:left w:val="single" w:sz="12" w:space="0" w:color="auto"/>
              <w:right w:val="single" w:sz="12" w:space="0" w:color="auto"/>
            </w:tcBorders>
          </w:tcPr>
          <w:p w14:paraId="3432EEB3"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top w:val="single" w:sz="12" w:space="0" w:color="auto"/>
              <w:left w:val="single" w:sz="12" w:space="0" w:color="auto"/>
              <w:right w:val="single" w:sz="12" w:space="0" w:color="auto"/>
            </w:tcBorders>
          </w:tcPr>
          <w:p w14:paraId="20FC0DE3"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top w:val="single" w:sz="12" w:space="0" w:color="auto"/>
              <w:left w:val="single" w:sz="12" w:space="0" w:color="auto"/>
              <w:right w:val="single" w:sz="12" w:space="0" w:color="auto"/>
            </w:tcBorders>
          </w:tcPr>
          <w:p w14:paraId="00AD9489" w14:textId="77777777" w:rsidR="006E335F" w:rsidRPr="006E335F" w:rsidRDefault="006E335F" w:rsidP="00576CB4">
            <w:pPr>
              <w:spacing w:after="0" w:line="240" w:lineRule="auto"/>
              <w:jc w:val="center"/>
              <w:rPr>
                <w:sz w:val="16"/>
                <w:szCs w:val="16"/>
              </w:rPr>
            </w:pPr>
            <w:r w:rsidRPr="006E335F">
              <w:rPr>
                <w:sz w:val="16"/>
                <w:szCs w:val="16"/>
              </w:rPr>
              <w:t>£100</w:t>
            </w:r>
          </w:p>
        </w:tc>
        <w:tc>
          <w:tcPr>
            <w:tcW w:w="1469" w:type="dxa"/>
            <w:tcBorders>
              <w:top w:val="single" w:sz="12" w:space="0" w:color="auto"/>
              <w:left w:val="single" w:sz="12" w:space="0" w:color="auto"/>
              <w:right w:val="single" w:sz="12" w:space="0" w:color="auto"/>
            </w:tcBorders>
          </w:tcPr>
          <w:p w14:paraId="1E2801CC" w14:textId="77777777" w:rsidR="006E335F" w:rsidRPr="006E335F" w:rsidRDefault="006E335F" w:rsidP="00576CB4">
            <w:pPr>
              <w:spacing w:after="0" w:line="240" w:lineRule="auto"/>
              <w:jc w:val="center"/>
              <w:rPr>
                <w:sz w:val="16"/>
                <w:szCs w:val="16"/>
              </w:rPr>
            </w:pPr>
            <w:r w:rsidRPr="006E335F">
              <w:rPr>
                <w:sz w:val="16"/>
                <w:szCs w:val="16"/>
              </w:rPr>
              <w:t>Full signature</w:t>
            </w:r>
          </w:p>
        </w:tc>
      </w:tr>
      <w:tr w:rsidR="006E335F" w:rsidRPr="006E335F" w14:paraId="53D99BB0" w14:textId="77777777" w:rsidTr="00576CB4">
        <w:tc>
          <w:tcPr>
            <w:tcW w:w="978" w:type="dxa"/>
            <w:vMerge/>
            <w:tcBorders>
              <w:left w:val="single" w:sz="12" w:space="0" w:color="auto"/>
              <w:bottom w:val="single" w:sz="12" w:space="0" w:color="auto"/>
              <w:right w:val="single" w:sz="12" w:space="0" w:color="auto"/>
            </w:tcBorders>
          </w:tcPr>
          <w:p w14:paraId="5B08941F" w14:textId="77777777" w:rsidR="006E335F" w:rsidRPr="006E335F" w:rsidRDefault="006E335F"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732752FC" w14:textId="77777777" w:rsidR="006E335F" w:rsidRPr="006E335F" w:rsidRDefault="006E335F" w:rsidP="00576CB4">
            <w:pPr>
              <w:spacing w:after="0" w:line="240" w:lineRule="auto"/>
              <w:jc w:val="center"/>
              <w:rPr>
                <w:sz w:val="16"/>
                <w:szCs w:val="16"/>
              </w:rPr>
            </w:pPr>
          </w:p>
        </w:tc>
        <w:tc>
          <w:tcPr>
            <w:tcW w:w="1406" w:type="dxa"/>
            <w:tcBorders>
              <w:left w:val="single" w:sz="12" w:space="0" w:color="auto"/>
              <w:bottom w:val="single" w:sz="12" w:space="0" w:color="auto"/>
              <w:right w:val="single" w:sz="12" w:space="0" w:color="auto"/>
            </w:tcBorders>
          </w:tcPr>
          <w:p w14:paraId="46A772B3" w14:textId="77777777" w:rsidR="006E335F" w:rsidRPr="006E335F" w:rsidRDefault="006E335F" w:rsidP="00576CB4">
            <w:pPr>
              <w:spacing w:after="0" w:line="240" w:lineRule="auto"/>
              <w:jc w:val="center"/>
              <w:rPr>
                <w:sz w:val="16"/>
                <w:szCs w:val="16"/>
              </w:rPr>
            </w:pPr>
            <w:r w:rsidRPr="006E335F">
              <w:rPr>
                <w:sz w:val="16"/>
                <w:szCs w:val="16"/>
              </w:rPr>
              <w:t>T D 1711</w:t>
            </w:r>
          </w:p>
        </w:tc>
        <w:tc>
          <w:tcPr>
            <w:tcW w:w="1429" w:type="dxa"/>
            <w:tcBorders>
              <w:left w:val="single" w:sz="12" w:space="0" w:color="auto"/>
              <w:bottom w:val="single" w:sz="12" w:space="0" w:color="auto"/>
              <w:right w:val="single" w:sz="12" w:space="0" w:color="auto"/>
            </w:tcBorders>
          </w:tcPr>
          <w:p w14:paraId="20E81F43" w14:textId="77777777" w:rsidR="006E335F" w:rsidRPr="006E335F" w:rsidRDefault="006E335F" w:rsidP="00576CB4">
            <w:pPr>
              <w:spacing w:after="0" w:line="240" w:lineRule="auto"/>
              <w:jc w:val="center"/>
              <w:rPr>
                <w:sz w:val="16"/>
                <w:szCs w:val="16"/>
              </w:rPr>
            </w:pPr>
            <w:r w:rsidRPr="006E335F">
              <w:rPr>
                <w:sz w:val="16"/>
                <w:szCs w:val="16"/>
              </w:rPr>
              <w:t>Interior, door hinge</w:t>
            </w:r>
          </w:p>
        </w:tc>
        <w:tc>
          <w:tcPr>
            <w:tcW w:w="1559" w:type="dxa"/>
            <w:tcBorders>
              <w:left w:val="single" w:sz="12" w:space="0" w:color="auto"/>
              <w:bottom w:val="single" w:sz="12" w:space="0" w:color="auto"/>
              <w:right w:val="single" w:sz="12" w:space="0" w:color="auto"/>
            </w:tcBorders>
          </w:tcPr>
          <w:p w14:paraId="040405D7" w14:textId="77777777" w:rsidR="006E335F" w:rsidRPr="006E335F" w:rsidRDefault="006E335F" w:rsidP="00576CB4">
            <w:pPr>
              <w:spacing w:after="0" w:line="240" w:lineRule="auto"/>
              <w:jc w:val="center"/>
              <w:rPr>
                <w:sz w:val="16"/>
                <w:szCs w:val="16"/>
              </w:rPr>
            </w:pPr>
            <w:r w:rsidRPr="006E335F">
              <w:rPr>
                <w:sz w:val="16"/>
                <w:szCs w:val="16"/>
              </w:rPr>
              <w:t>Hanna Deane</w:t>
            </w:r>
          </w:p>
        </w:tc>
        <w:tc>
          <w:tcPr>
            <w:tcW w:w="1134" w:type="dxa"/>
            <w:tcBorders>
              <w:left w:val="single" w:sz="12" w:space="0" w:color="auto"/>
              <w:bottom w:val="single" w:sz="12" w:space="0" w:color="auto"/>
              <w:right w:val="single" w:sz="12" w:space="0" w:color="auto"/>
            </w:tcBorders>
          </w:tcPr>
          <w:p w14:paraId="2960BAEF" w14:textId="77777777" w:rsidR="006E335F" w:rsidRPr="006E335F" w:rsidRDefault="006E335F" w:rsidP="00576CB4">
            <w:pPr>
              <w:numPr>
                <w:ilvl w:val="0"/>
                <w:numId w:val="8"/>
              </w:numPr>
              <w:spacing w:after="0" w:line="240" w:lineRule="auto"/>
              <w:contextualSpacing/>
              <w:jc w:val="center"/>
              <w:rPr>
                <w:sz w:val="16"/>
                <w:szCs w:val="16"/>
              </w:rPr>
            </w:pPr>
          </w:p>
        </w:tc>
        <w:tc>
          <w:tcPr>
            <w:tcW w:w="850" w:type="dxa"/>
            <w:tcBorders>
              <w:left w:val="single" w:sz="12" w:space="0" w:color="auto"/>
              <w:bottom w:val="single" w:sz="12" w:space="0" w:color="auto"/>
              <w:right w:val="single" w:sz="12" w:space="0" w:color="auto"/>
            </w:tcBorders>
          </w:tcPr>
          <w:p w14:paraId="7EF034A4"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left w:val="single" w:sz="12" w:space="0" w:color="auto"/>
              <w:bottom w:val="single" w:sz="12" w:space="0" w:color="auto"/>
              <w:right w:val="single" w:sz="12" w:space="0" w:color="auto"/>
            </w:tcBorders>
          </w:tcPr>
          <w:p w14:paraId="60208544"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left w:val="single" w:sz="12" w:space="0" w:color="auto"/>
              <w:bottom w:val="single" w:sz="12" w:space="0" w:color="auto"/>
              <w:right w:val="single" w:sz="12" w:space="0" w:color="auto"/>
            </w:tcBorders>
          </w:tcPr>
          <w:p w14:paraId="5AA56E20"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left w:val="single" w:sz="12" w:space="0" w:color="auto"/>
              <w:bottom w:val="single" w:sz="12" w:space="0" w:color="auto"/>
              <w:right w:val="single" w:sz="12" w:space="0" w:color="auto"/>
            </w:tcBorders>
          </w:tcPr>
          <w:p w14:paraId="177E9519"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left w:val="single" w:sz="12" w:space="0" w:color="auto"/>
              <w:bottom w:val="single" w:sz="12" w:space="0" w:color="auto"/>
              <w:right w:val="single" w:sz="12" w:space="0" w:color="auto"/>
            </w:tcBorders>
          </w:tcPr>
          <w:p w14:paraId="6E2AA0E4"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left w:val="single" w:sz="12" w:space="0" w:color="auto"/>
              <w:bottom w:val="single" w:sz="12" w:space="0" w:color="auto"/>
              <w:right w:val="single" w:sz="12" w:space="0" w:color="auto"/>
            </w:tcBorders>
          </w:tcPr>
          <w:p w14:paraId="746B4F99" w14:textId="77777777" w:rsidR="006E335F" w:rsidRPr="006E335F" w:rsidRDefault="006E335F" w:rsidP="00576CB4">
            <w:pPr>
              <w:spacing w:after="0" w:line="240" w:lineRule="auto"/>
              <w:jc w:val="center"/>
              <w:rPr>
                <w:sz w:val="16"/>
                <w:szCs w:val="16"/>
              </w:rPr>
            </w:pPr>
            <w:r w:rsidRPr="006E335F">
              <w:rPr>
                <w:sz w:val="16"/>
                <w:szCs w:val="16"/>
              </w:rPr>
              <w:t>Unknown</w:t>
            </w:r>
          </w:p>
        </w:tc>
      </w:tr>
      <w:tr w:rsidR="006E335F" w:rsidRPr="006E335F" w14:paraId="7A011F4D" w14:textId="77777777" w:rsidTr="00576CB4">
        <w:tc>
          <w:tcPr>
            <w:tcW w:w="978" w:type="dxa"/>
            <w:vMerge w:val="restart"/>
            <w:tcBorders>
              <w:top w:val="single" w:sz="12" w:space="0" w:color="auto"/>
              <w:left w:val="single" w:sz="12" w:space="0" w:color="auto"/>
              <w:right w:val="single" w:sz="12" w:space="0" w:color="auto"/>
            </w:tcBorders>
          </w:tcPr>
          <w:p w14:paraId="5E36998F" w14:textId="77777777" w:rsidR="006E335F" w:rsidRPr="006E335F" w:rsidRDefault="006E335F" w:rsidP="00576CB4">
            <w:pPr>
              <w:spacing w:after="0" w:line="240" w:lineRule="auto"/>
              <w:jc w:val="center"/>
              <w:rPr>
                <w:sz w:val="16"/>
                <w:szCs w:val="16"/>
              </w:rPr>
            </w:pPr>
            <w:r w:rsidRPr="006E335F">
              <w:rPr>
                <w:sz w:val="16"/>
                <w:szCs w:val="16"/>
              </w:rPr>
              <w:t>Sutt.</w:t>
            </w:r>
          </w:p>
        </w:tc>
        <w:tc>
          <w:tcPr>
            <w:tcW w:w="1134" w:type="dxa"/>
            <w:vMerge w:val="restart"/>
            <w:tcBorders>
              <w:top w:val="single" w:sz="12" w:space="0" w:color="auto"/>
              <w:left w:val="single" w:sz="12" w:space="0" w:color="auto"/>
              <w:right w:val="single" w:sz="12" w:space="0" w:color="auto"/>
            </w:tcBorders>
          </w:tcPr>
          <w:p w14:paraId="6FADEEFE" w14:textId="77777777" w:rsidR="006E335F" w:rsidRPr="006E335F" w:rsidRDefault="006E335F" w:rsidP="00576CB4">
            <w:pPr>
              <w:spacing w:after="0" w:line="240" w:lineRule="auto"/>
              <w:jc w:val="center"/>
              <w:rPr>
                <w:sz w:val="16"/>
                <w:szCs w:val="16"/>
              </w:rPr>
            </w:pPr>
            <w:r w:rsidRPr="006E335F">
              <w:rPr>
                <w:sz w:val="16"/>
                <w:szCs w:val="16"/>
              </w:rPr>
              <w:t>Fern Lee</w:t>
            </w:r>
          </w:p>
        </w:tc>
        <w:tc>
          <w:tcPr>
            <w:tcW w:w="1406" w:type="dxa"/>
            <w:tcBorders>
              <w:top w:val="single" w:sz="12" w:space="0" w:color="auto"/>
              <w:left w:val="single" w:sz="12" w:space="0" w:color="auto"/>
              <w:right w:val="single" w:sz="12" w:space="0" w:color="auto"/>
            </w:tcBorders>
          </w:tcPr>
          <w:p w14:paraId="7EB683A0" w14:textId="77777777" w:rsidR="006E335F" w:rsidRPr="006E335F" w:rsidRDefault="006E335F" w:rsidP="00576CB4">
            <w:pPr>
              <w:spacing w:after="0" w:line="240" w:lineRule="auto"/>
              <w:jc w:val="center"/>
              <w:rPr>
                <w:sz w:val="16"/>
                <w:szCs w:val="16"/>
              </w:rPr>
            </w:pPr>
            <w:r w:rsidRPr="006E335F">
              <w:rPr>
                <w:sz w:val="16"/>
                <w:szCs w:val="16"/>
              </w:rPr>
              <w:t xml:space="preserve">J </w:t>
            </w:r>
            <w:proofErr w:type="spellStart"/>
            <w:r w:rsidRPr="006E335F">
              <w:rPr>
                <w:sz w:val="16"/>
                <w:szCs w:val="16"/>
                <w:vertAlign w:val="superscript"/>
              </w:rPr>
              <w:t>J</w:t>
            </w:r>
            <w:proofErr w:type="spellEnd"/>
            <w:r w:rsidRPr="006E335F">
              <w:rPr>
                <w:sz w:val="16"/>
                <w:szCs w:val="16"/>
                <w:vertAlign w:val="superscript"/>
              </w:rPr>
              <w:t xml:space="preserve"> </w:t>
            </w:r>
            <w:r w:rsidRPr="006E335F">
              <w:rPr>
                <w:sz w:val="16"/>
                <w:szCs w:val="16"/>
              </w:rPr>
              <w:t>E 1725</w:t>
            </w:r>
          </w:p>
        </w:tc>
        <w:tc>
          <w:tcPr>
            <w:tcW w:w="1429" w:type="dxa"/>
            <w:tcBorders>
              <w:top w:val="single" w:sz="12" w:space="0" w:color="auto"/>
              <w:left w:val="single" w:sz="12" w:space="0" w:color="auto"/>
              <w:right w:val="single" w:sz="12" w:space="0" w:color="auto"/>
            </w:tcBorders>
          </w:tcPr>
          <w:p w14:paraId="3AE48CFB" w14:textId="77777777" w:rsidR="006E335F" w:rsidRPr="006E335F" w:rsidRDefault="006E335F" w:rsidP="00576CB4">
            <w:pPr>
              <w:spacing w:after="0" w:line="240" w:lineRule="auto"/>
              <w:jc w:val="center"/>
              <w:rPr>
                <w:sz w:val="16"/>
                <w:szCs w:val="16"/>
              </w:rPr>
            </w:pPr>
            <w:r w:rsidRPr="006E335F">
              <w:rPr>
                <w:sz w:val="16"/>
                <w:szCs w:val="16"/>
              </w:rPr>
              <w:t>Porch, datestone</w:t>
            </w:r>
          </w:p>
        </w:tc>
        <w:tc>
          <w:tcPr>
            <w:tcW w:w="1559" w:type="dxa"/>
            <w:tcBorders>
              <w:top w:val="single" w:sz="12" w:space="0" w:color="auto"/>
              <w:left w:val="single" w:sz="12" w:space="0" w:color="auto"/>
              <w:right w:val="single" w:sz="12" w:space="0" w:color="auto"/>
            </w:tcBorders>
          </w:tcPr>
          <w:p w14:paraId="6D015CC3" w14:textId="77777777" w:rsidR="006E335F" w:rsidRPr="006E335F" w:rsidRDefault="006E335F" w:rsidP="00576CB4">
            <w:pPr>
              <w:spacing w:after="0" w:line="240" w:lineRule="auto"/>
              <w:jc w:val="center"/>
              <w:rPr>
                <w:sz w:val="16"/>
                <w:szCs w:val="16"/>
              </w:rPr>
            </w:pPr>
            <w:r w:rsidRPr="006E335F">
              <w:rPr>
                <w:sz w:val="16"/>
                <w:szCs w:val="16"/>
              </w:rPr>
              <w:t>John Johnson</w:t>
            </w:r>
          </w:p>
        </w:tc>
        <w:tc>
          <w:tcPr>
            <w:tcW w:w="1134" w:type="dxa"/>
            <w:tcBorders>
              <w:top w:val="single" w:sz="12" w:space="0" w:color="auto"/>
              <w:left w:val="single" w:sz="12" w:space="0" w:color="auto"/>
              <w:right w:val="single" w:sz="12" w:space="0" w:color="auto"/>
            </w:tcBorders>
          </w:tcPr>
          <w:p w14:paraId="68508E09" w14:textId="77777777" w:rsidR="006E335F" w:rsidRPr="006E335F" w:rsidRDefault="006E335F" w:rsidP="00576CB4">
            <w:pPr>
              <w:spacing w:after="0" w:line="240" w:lineRule="auto"/>
              <w:jc w:val="center"/>
              <w:rPr>
                <w:sz w:val="16"/>
                <w:szCs w:val="16"/>
              </w:rPr>
            </w:pPr>
            <w:r w:rsidRPr="006E335F">
              <w:rPr>
                <w:sz w:val="16"/>
                <w:szCs w:val="16"/>
              </w:rPr>
              <w:t>Yeoman</w:t>
            </w:r>
          </w:p>
        </w:tc>
        <w:tc>
          <w:tcPr>
            <w:tcW w:w="850" w:type="dxa"/>
            <w:tcBorders>
              <w:top w:val="single" w:sz="12" w:space="0" w:color="auto"/>
              <w:left w:val="single" w:sz="12" w:space="0" w:color="auto"/>
              <w:right w:val="single" w:sz="12" w:space="0" w:color="auto"/>
            </w:tcBorders>
          </w:tcPr>
          <w:p w14:paraId="7565F05E" w14:textId="77777777" w:rsidR="006E335F" w:rsidRPr="006E335F" w:rsidRDefault="006E335F" w:rsidP="00576CB4">
            <w:pPr>
              <w:spacing w:after="0" w:line="240" w:lineRule="auto"/>
              <w:jc w:val="center"/>
              <w:rPr>
                <w:sz w:val="16"/>
                <w:szCs w:val="16"/>
              </w:rPr>
            </w:pPr>
            <w:r w:rsidRPr="006E335F">
              <w:rPr>
                <w:sz w:val="16"/>
                <w:szCs w:val="16"/>
              </w:rPr>
              <w:t>Yes</w:t>
            </w:r>
          </w:p>
        </w:tc>
        <w:tc>
          <w:tcPr>
            <w:tcW w:w="993" w:type="dxa"/>
            <w:tcBorders>
              <w:top w:val="single" w:sz="12" w:space="0" w:color="auto"/>
              <w:left w:val="single" w:sz="12" w:space="0" w:color="auto"/>
              <w:right w:val="single" w:sz="12" w:space="0" w:color="auto"/>
            </w:tcBorders>
          </w:tcPr>
          <w:p w14:paraId="62C34513"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top w:val="single" w:sz="12" w:space="0" w:color="auto"/>
              <w:left w:val="single" w:sz="12" w:space="0" w:color="auto"/>
              <w:right w:val="single" w:sz="12" w:space="0" w:color="auto"/>
            </w:tcBorders>
          </w:tcPr>
          <w:p w14:paraId="783DDEB6"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top w:val="single" w:sz="12" w:space="0" w:color="auto"/>
              <w:left w:val="single" w:sz="12" w:space="0" w:color="auto"/>
              <w:right w:val="single" w:sz="12" w:space="0" w:color="auto"/>
            </w:tcBorders>
          </w:tcPr>
          <w:p w14:paraId="7895F323"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top w:val="single" w:sz="12" w:space="0" w:color="auto"/>
              <w:left w:val="single" w:sz="12" w:space="0" w:color="auto"/>
              <w:right w:val="single" w:sz="12" w:space="0" w:color="auto"/>
            </w:tcBorders>
          </w:tcPr>
          <w:p w14:paraId="2B9D6BD8" w14:textId="77777777" w:rsidR="006E335F" w:rsidRPr="006E335F" w:rsidRDefault="006E335F" w:rsidP="00576CB4">
            <w:pPr>
              <w:spacing w:after="0" w:line="240" w:lineRule="auto"/>
              <w:jc w:val="center"/>
              <w:rPr>
                <w:sz w:val="16"/>
                <w:szCs w:val="16"/>
              </w:rPr>
            </w:pPr>
            <w:r w:rsidRPr="006E335F">
              <w:rPr>
                <w:sz w:val="16"/>
                <w:szCs w:val="16"/>
              </w:rPr>
              <w:t>£415</w:t>
            </w:r>
          </w:p>
        </w:tc>
        <w:tc>
          <w:tcPr>
            <w:tcW w:w="1469" w:type="dxa"/>
            <w:tcBorders>
              <w:top w:val="single" w:sz="12" w:space="0" w:color="auto"/>
              <w:left w:val="single" w:sz="12" w:space="0" w:color="auto"/>
              <w:right w:val="single" w:sz="12" w:space="0" w:color="auto"/>
            </w:tcBorders>
          </w:tcPr>
          <w:p w14:paraId="513F071F" w14:textId="77777777" w:rsidR="006E335F" w:rsidRPr="006E335F" w:rsidRDefault="006E335F" w:rsidP="00576CB4">
            <w:pPr>
              <w:spacing w:after="0" w:line="240" w:lineRule="auto"/>
              <w:jc w:val="center"/>
              <w:rPr>
                <w:sz w:val="16"/>
                <w:szCs w:val="16"/>
              </w:rPr>
            </w:pPr>
            <w:r w:rsidRPr="006E335F">
              <w:rPr>
                <w:sz w:val="16"/>
                <w:szCs w:val="16"/>
              </w:rPr>
              <w:t>Full signature</w:t>
            </w:r>
          </w:p>
        </w:tc>
      </w:tr>
      <w:tr w:rsidR="006E335F" w:rsidRPr="006E335F" w14:paraId="019E9882" w14:textId="77777777" w:rsidTr="00576CB4">
        <w:tc>
          <w:tcPr>
            <w:tcW w:w="978" w:type="dxa"/>
            <w:vMerge/>
            <w:tcBorders>
              <w:left w:val="single" w:sz="12" w:space="0" w:color="auto"/>
              <w:bottom w:val="single" w:sz="12" w:space="0" w:color="auto"/>
              <w:right w:val="single" w:sz="12" w:space="0" w:color="auto"/>
            </w:tcBorders>
          </w:tcPr>
          <w:p w14:paraId="181AD485" w14:textId="77777777" w:rsidR="006E335F" w:rsidRPr="006E335F" w:rsidRDefault="006E335F" w:rsidP="00576CB4">
            <w:pPr>
              <w:spacing w:after="0" w:line="240" w:lineRule="auto"/>
              <w:jc w:val="center"/>
              <w:rPr>
                <w:sz w:val="16"/>
                <w:szCs w:val="16"/>
              </w:rPr>
            </w:pPr>
          </w:p>
        </w:tc>
        <w:tc>
          <w:tcPr>
            <w:tcW w:w="1134" w:type="dxa"/>
            <w:vMerge/>
            <w:tcBorders>
              <w:left w:val="single" w:sz="12" w:space="0" w:color="auto"/>
              <w:bottom w:val="single" w:sz="12" w:space="0" w:color="auto"/>
              <w:right w:val="single" w:sz="12" w:space="0" w:color="auto"/>
            </w:tcBorders>
          </w:tcPr>
          <w:p w14:paraId="5857BC6B" w14:textId="77777777" w:rsidR="006E335F" w:rsidRPr="006E335F" w:rsidRDefault="006E335F" w:rsidP="00576CB4">
            <w:pPr>
              <w:spacing w:after="0" w:line="240" w:lineRule="auto"/>
              <w:jc w:val="center"/>
              <w:rPr>
                <w:sz w:val="16"/>
                <w:szCs w:val="16"/>
              </w:rPr>
            </w:pPr>
          </w:p>
        </w:tc>
        <w:tc>
          <w:tcPr>
            <w:tcW w:w="1406" w:type="dxa"/>
            <w:tcBorders>
              <w:left w:val="single" w:sz="12" w:space="0" w:color="auto"/>
              <w:bottom w:val="single" w:sz="12" w:space="0" w:color="auto"/>
              <w:right w:val="single" w:sz="12" w:space="0" w:color="auto"/>
            </w:tcBorders>
          </w:tcPr>
          <w:p w14:paraId="38E4475D" w14:textId="77777777" w:rsidR="006E335F" w:rsidRPr="006E335F" w:rsidRDefault="006E335F" w:rsidP="00576CB4">
            <w:pPr>
              <w:spacing w:after="0" w:line="240" w:lineRule="auto"/>
              <w:jc w:val="center"/>
              <w:rPr>
                <w:sz w:val="16"/>
                <w:szCs w:val="16"/>
              </w:rPr>
            </w:pPr>
            <w:r w:rsidRPr="006E335F">
              <w:rPr>
                <w:sz w:val="16"/>
                <w:szCs w:val="16"/>
              </w:rPr>
              <w:t xml:space="preserve">J </w:t>
            </w:r>
            <w:proofErr w:type="spellStart"/>
            <w:r w:rsidRPr="006E335F">
              <w:rPr>
                <w:sz w:val="16"/>
                <w:szCs w:val="16"/>
                <w:vertAlign w:val="superscript"/>
              </w:rPr>
              <w:t>J</w:t>
            </w:r>
            <w:proofErr w:type="spellEnd"/>
            <w:r w:rsidRPr="006E335F">
              <w:rPr>
                <w:sz w:val="16"/>
                <w:szCs w:val="16"/>
                <w:vertAlign w:val="superscript"/>
              </w:rPr>
              <w:t xml:space="preserve"> </w:t>
            </w:r>
            <w:r w:rsidRPr="006E335F">
              <w:rPr>
                <w:sz w:val="16"/>
                <w:szCs w:val="16"/>
              </w:rPr>
              <w:t>E 1724</w:t>
            </w:r>
          </w:p>
        </w:tc>
        <w:tc>
          <w:tcPr>
            <w:tcW w:w="1429" w:type="dxa"/>
            <w:tcBorders>
              <w:left w:val="single" w:sz="12" w:space="0" w:color="auto"/>
              <w:bottom w:val="single" w:sz="12" w:space="0" w:color="auto"/>
              <w:right w:val="single" w:sz="12" w:space="0" w:color="auto"/>
            </w:tcBorders>
          </w:tcPr>
          <w:p w14:paraId="2892833E" w14:textId="77777777" w:rsidR="006E335F" w:rsidRPr="006E335F" w:rsidRDefault="006E335F" w:rsidP="00576CB4">
            <w:pPr>
              <w:spacing w:after="0" w:line="240" w:lineRule="auto"/>
              <w:jc w:val="center"/>
              <w:rPr>
                <w:sz w:val="16"/>
                <w:szCs w:val="16"/>
              </w:rPr>
            </w:pPr>
            <w:r w:rsidRPr="006E335F">
              <w:rPr>
                <w:sz w:val="16"/>
                <w:szCs w:val="16"/>
              </w:rPr>
              <w:t>Porch, door handle</w:t>
            </w:r>
          </w:p>
        </w:tc>
        <w:tc>
          <w:tcPr>
            <w:tcW w:w="1559" w:type="dxa"/>
            <w:tcBorders>
              <w:left w:val="single" w:sz="12" w:space="0" w:color="auto"/>
              <w:bottom w:val="single" w:sz="12" w:space="0" w:color="auto"/>
              <w:right w:val="single" w:sz="12" w:space="0" w:color="auto"/>
            </w:tcBorders>
          </w:tcPr>
          <w:p w14:paraId="17C1ADCE" w14:textId="77777777" w:rsidR="006E335F" w:rsidRPr="006E335F" w:rsidRDefault="006E335F" w:rsidP="00576CB4">
            <w:pPr>
              <w:spacing w:after="0" w:line="240" w:lineRule="auto"/>
              <w:jc w:val="center"/>
              <w:rPr>
                <w:sz w:val="16"/>
                <w:szCs w:val="16"/>
              </w:rPr>
            </w:pPr>
            <w:r w:rsidRPr="006E335F">
              <w:rPr>
                <w:sz w:val="16"/>
                <w:szCs w:val="16"/>
              </w:rPr>
              <w:t>Elizabeth Johnson</w:t>
            </w:r>
          </w:p>
        </w:tc>
        <w:tc>
          <w:tcPr>
            <w:tcW w:w="1134" w:type="dxa"/>
            <w:tcBorders>
              <w:left w:val="single" w:sz="12" w:space="0" w:color="auto"/>
              <w:bottom w:val="single" w:sz="12" w:space="0" w:color="auto"/>
              <w:right w:val="single" w:sz="12" w:space="0" w:color="auto"/>
            </w:tcBorders>
          </w:tcPr>
          <w:p w14:paraId="7C3567DD" w14:textId="77777777" w:rsidR="006E335F" w:rsidRPr="006E335F" w:rsidRDefault="006E335F" w:rsidP="00576CB4">
            <w:pPr>
              <w:numPr>
                <w:ilvl w:val="0"/>
                <w:numId w:val="8"/>
              </w:numPr>
              <w:spacing w:after="0" w:line="240" w:lineRule="auto"/>
              <w:contextualSpacing/>
              <w:jc w:val="center"/>
              <w:rPr>
                <w:sz w:val="16"/>
                <w:szCs w:val="16"/>
              </w:rPr>
            </w:pPr>
          </w:p>
        </w:tc>
        <w:tc>
          <w:tcPr>
            <w:tcW w:w="850" w:type="dxa"/>
            <w:tcBorders>
              <w:left w:val="single" w:sz="12" w:space="0" w:color="auto"/>
              <w:bottom w:val="single" w:sz="12" w:space="0" w:color="auto"/>
              <w:right w:val="single" w:sz="12" w:space="0" w:color="auto"/>
            </w:tcBorders>
          </w:tcPr>
          <w:p w14:paraId="27DE73AF" w14:textId="77777777" w:rsidR="006E335F" w:rsidRPr="006E335F" w:rsidRDefault="006E335F" w:rsidP="00576CB4">
            <w:pPr>
              <w:spacing w:after="0" w:line="240" w:lineRule="auto"/>
              <w:jc w:val="center"/>
              <w:rPr>
                <w:sz w:val="16"/>
                <w:szCs w:val="16"/>
              </w:rPr>
            </w:pPr>
            <w:r w:rsidRPr="006E335F">
              <w:rPr>
                <w:sz w:val="16"/>
                <w:szCs w:val="16"/>
              </w:rPr>
              <w:t>No</w:t>
            </w:r>
          </w:p>
        </w:tc>
        <w:tc>
          <w:tcPr>
            <w:tcW w:w="993" w:type="dxa"/>
            <w:tcBorders>
              <w:left w:val="single" w:sz="12" w:space="0" w:color="auto"/>
              <w:bottom w:val="single" w:sz="12" w:space="0" w:color="auto"/>
              <w:right w:val="single" w:sz="12" w:space="0" w:color="auto"/>
            </w:tcBorders>
          </w:tcPr>
          <w:p w14:paraId="1C08D7B8" w14:textId="77777777" w:rsidR="006E335F" w:rsidRPr="006E335F" w:rsidRDefault="006E335F" w:rsidP="00576CB4">
            <w:pPr>
              <w:spacing w:after="0" w:line="240" w:lineRule="auto"/>
              <w:jc w:val="center"/>
              <w:rPr>
                <w:sz w:val="16"/>
                <w:szCs w:val="16"/>
              </w:rPr>
            </w:pPr>
            <w:r w:rsidRPr="006E335F">
              <w:rPr>
                <w:sz w:val="16"/>
                <w:szCs w:val="16"/>
              </w:rPr>
              <w:t>No</w:t>
            </w:r>
          </w:p>
        </w:tc>
        <w:tc>
          <w:tcPr>
            <w:tcW w:w="992" w:type="dxa"/>
            <w:tcBorders>
              <w:left w:val="single" w:sz="12" w:space="0" w:color="auto"/>
              <w:bottom w:val="single" w:sz="12" w:space="0" w:color="auto"/>
              <w:right w:val="single" w:sz="12" w:space="0" w:color="auto"/>
            </w:tcBorders>
          </w:tcPr>
          <w:p w14:paraId="1A486AD7" w14:textId="77777777" w:rsidR="006E335F" w:rsidRPr="006E335F" w:rsidRDefault="006E335F" w:rsidP="00576CB4">
            <w:pPr>
              <w:spacing w:after="0" w:line="240" w:lineRule="auto"/>
              <w:jc w:val="center"/>
              <w:rPr>
                <w:sz w:val="16"/>
                <w:szCs w:val="16"/>
              </w:rPr>
            </w:pPr>
            <w:r w:rsidRPr="006E335F">
              <w:rPr>
                <w:sz w:val="16"/>
                <w:szCs w:val="16"/>
              </w:rPr>
              <w:t>-</w:t>
            </w:r>
          </w:p>
        </w:tc>
        <w:tc>
          <w:tcPr>
            <w:tcW w:w="992" w:type="dxa"/>
            <w:tcBorders>
              <w:left w:val="single" w:sz="12" w:space="0" w:color="auto"/>
              <w:bottom w:val="single" w:sz="12" w:space="0" w:color="auto"/>
              <w:right w:val="single" w:sz="12" w:space="0" w:color="auto"/>
            </w:tcBorders>
          </w:tcPr>
          <w:p w14:paraId="67376809" w14:textId="77777777" w:rsidR="006E335F" w:rsidRPr="006E335F" w:rsidRDefault="006E335F" w:rsidP="00576CB4">
            <w:pPr>
              <w:spacing w:after="0" w:line="240" w:lineRule="auto"/>
              <w:jc w:val="center"/>
              <w:rPr>
                <w:sz w:val="16"/>
                <w:szCs w:val="16"/>
              </w:rPr>
            </w:pPr>
            <w:r w:rsidRPr="006E335F">
              <w:rPr>
                <w:sz w:val="16"/>
                <w:szCs w:val="16"/>
              </w:rPr>
              <w:t>None</w:t>
            </w:r>
          </w:p>
        </w:tc>
        <w:tc>
          <w:tcPr>
            <w:tcW w:w="992" w:type="dxa"/>
            <w:tcBorders>
              <w:left w:val="single" w:sz="12" w:space="0" w:color="auto"/>
              <w:bottom w:val="single" w:sz="12" w:space="0" w:color="auto"/>
              <w:right w:val="single" w:sz="12" w:space="0" w:color="auto"/>
            </w:tcBorders>
          </w:tcPr>
          <w:p w14:paraId="539F085F" w14:textId="77777777" w:rsidR="006E335F" w:rsidRPr="006E335F" w:rsidRDefault="006E335F" w:rsidP="00576CB4">
            <w:pPr>
              <w:spacing w:after="0" w:line="240" w:lineRule="auto"/>
              <w:jc w:val="center"/>
              <w:rPr>
                <w:sz w:val="16"/>
                <w:szCs w:val="16"/>
              </w:rPr>
            </w:pPr>
            <w:r w:rsidRPr="006E335F">
              <w:rPr>
                <w:sz w:val="16"/>
                <w:szCs w:val="16"/>
              </w:rPr>
              <w:t>-</w:t>
            </w:r>
          </w:p>
        </w:tc>
        <w:tc>
          <w:tcPr>
            <w:tcW w:w="1469" w:type="dxa"/>
            <w:tcBorders>
              <w:left w:val="single" w:sz="12" w:space="0" w:color="auto"/>
              <w:bottom w:val="single" w:sz="12" w:space="0" w:color="auto"/>
              <w:right w:val="single" w:sz="12" w:space="0" w:color="auto"/>
            </w:tcBorders>
          </w:tcPr>
          <w:p w14:paraId="1710FBF5" w14:textId="77777777" w:rsidR="006E335F" w:rsidRPr="006E335F" w:rsidRDefault="006E335F" w:rsidP="00576CB4">
            <w:pPr>
              <w:spacing w:after="0" w:line="240" w:lineRule="auto"/>
              <w:jc w:val="center"/>
              <w:rPr>
                <w:sz w:val="16"/>
                <w:szCs w:val="16"/>
              </w:rPr>
            </w:pPr>
            <w:r w:rsidRPr="006E335F">
              <w:rPr>
                <w:sz w:val="16"/>
                <w:szCs w:val="16"/>
              </w:rPr>
              <w:t>Unknown</w:t>
            </w:r>
          </w:p>
        </w:tc>
      </w:tr>
      <w:tr w:rsidR="006E335F" w:rsidRPr="006E335F" w14:paraId="7E691118" w14:textId="77777777" w:rsidTr="00576CB4">
        <w:tc>
          <w:tcPr>
            <w:tcW w:w="978" w:type="dxa"/>
            <w:tcBorders>
              <w:top w:val="single" w:sz="12" w:space="0" w:color="auto"/>
              <w:left w:val="single" w:sz="12" w:space="0" w:color="auto"/>
              <w:bottom w:val="single" w:sz="12" w:space="0" w:color="auto"/>
              <w:right w:val="single" w:sz="12" w:space="0" w:color="auto"/>
            </w:tcBorders>
          </w:tcPr>
          <w:p w14:paraId="3C4D770A" w14:textId="77777777" w:rsidR="006E335F" w:rsidRPr="006E335F" w:rsidRDefault="006E335F" w:rsidP="00576CB4">
            <w:pPr>
              <w:spacing w:after="0" w:line="240" w:lineRule="auto"/>
              <w:jc w:val="center"/>
              <w:rPr>
                <w:b/>
                <w:bCs/>
                <w:sz w:val="16"/>
                <w:szCs w:val="16"/>
              </w:rPr>
            </w:pPr>
            <w:r w:rsidRPr="006E335F">
              <w:rPr>
                <w:b/>
                <w:bCs/>
                <w:sz w:val="16"/>
                <w:szCs w:val="16"/>
              </w:rPr>
              <w:t>Total Number:</w:t>
            </w:r>
          </w:p>
        </w:tc>
        <w:tc>
          <w:tcPr>
            <w:tcW w:w="1134" w:type="dxa"/>
            <w:tcBorders>
              <w:top w:val="single" w:sz="12" w:space="0" w:color="auto"/>
              <w:left w:val="single" w:sz="12" w:space="0" w:color="auto"/>
              <w:bottom w:val="single" w:sz="12" w:space="0" w:color="auto"/>
              <w:right w:val="single" w:sz="12" w:space="0" w:color="auto"/>
            </w:tcBorders>
          </w:tcPr>
          <w:p w14:paraId="02DC7CE0" w14:textId="77777777" w:rsidR="006E335F" w:rsidRPr="006E335F" w:rsidRDefault="006E335F" w:rsidP="00576CB4">
            <w:pPr>
              <w:spacing w:after="0" w:line="240" w:lineRule="auto"/>
              <w:jc w:val="center"/>
              <w:rPr>
                <w:b/>
                <w:bCs/>
                <w:sz w:val="16"/>
                <w:szCs w:val="16"/>
              </w:rPr>
            </w:pPr>
            <w:r w:rsidRPr="006E335F">
              <w:rPr>
                <w:b/>
                <w:bCs/>
                <w:sz w:val="16"/>
                <w:szCs w:val="16"/>
              </w:rPr>
              <w:t>10</w:t>
            </w:r>
          </w:p>
        </w:tc>
        <w:tc>
          <w:tcPr>
            <w:tcW w:w="1406" w:type="dxa"/>
            <w:tcBorders>
              <w:top w:val="single" w:sz="12" w:space="0" w:color="auto"/>
              <w:left w:val="single" w:sz="12" w:space="0" w:color="auto"/>
              <w:bottom w:val="single" w:sz="12" w:space="0" w:color="auto"/>
              <w:right w:val="single" w:sz="12" w:space="0" w:color="auto"/>
            </w:tcBorders>
          </w:tcPr>
          <w:p w14:paraId="5FAF4BD4" w14:textId="77777777" w:rsidR="006E335F" w:rsidRPr="006E335F" w:rsidRDefault="006E335F" w:rsidP="00576CB4">
            <w:pPr>
              <w:spacing w:after="0" w:line="240" w:lineRule="auto"/>
              <w:jc w:val="center"/>
              <w:rPr>
                <w:b/>
                <w:bCs/>
                <w:sz w:val="16"/>
                <w:szCs w:val="16"/>
              </w:rPr>
            </w:pPr>
            <w:r w:rsidRPr="006E335F">
              <w:rPr>
                <w:b/>
                <w:bCs/>
                <w:sz w:val="16"/>
                <w:szCs w:val="16"/>
              </w:rPr>
              <w:t>14</w:t>
            </w:r>
          </w:p>
        </w:tc>
        <w:tc>
          <w:tcPr>
            <w:tcW w:w="1429" w:type="dxa"/>
            <w:tcBorders>
              <w:top w:val="single" w:sz="12" w:space="0" w:color="auto"/>
              <w:left w:val="single" w:sz="12" w:space="0" w:color="auto"/>
              <w:bottom w:val="single" w:sz="12" w:space="0" w:color="auto"/>
              <w:right w:val="single" w:sz="12" w:space="0" w:color="auto"/>
            </w:tcBorders>
          </w:tcPr>
          <w:p w14:paraId="62FCF588" w14:textId="77777777" w:rsidR="006E335F" w:rsidRPr="006E335F" w:rsidRDefault="006E335F" w:rsidP="00576CB4">
            <w:pPr>
              <w:spacing w:after="0" w:line="240" w:lineRule="auto"/>
              <w:jc w:val="center"/>
              <w:rPr>
                <w:b/>
                <w:bCs/>
                <w:sz w:val="16"/>
                <w:szCs w:val="16"/>
              </w:rPr>
            </w:pPr>
            <w:r w:rsidRPr="006E335F">
              <w:rPr>
                <w:b/>
                <w:bCs/>
                <w:sz w:val="16"/>
                <w:szCs w:val="16"/>
              </w:rPr>
              <w:t>14</w:t>
            </w:r>
          </w:p>
        </w:tc>
        <w:tc>
          <w:tcPr>
            <w:tcW w:w="1559" w:type="dxa"/>
            <w:tcBorders>
              <w:top w:val="single" w:sz="12" w:space="0" w:color="auto"/>
              <w:left w:val="single" w:sz="12" w:space="0" w:color="auto"/>
              <w:bottom w:val="single" w:sz="12" w:space="0" w:color="auto"/>
              <w:right w:val="single" w:sz="12" w:space="0" w:color="auto"/>
            </w:tcBorders>
          </w:tcPr>
          <w:p w14:paraId="1D645A5E" w14:textId="77777777" w:rsidR="006E335F" w:rsidRPr="006E335F" w:rsidRDefault="006E335F" w:rsidP="00576CB4">
            <w:pPr>
              <w:spacing w:after="0" w:line="240" w:lineRule="auto"/>
              <w:jc w:val="center"/>
              <w:rPr>
                <w:b/>
                <w:bCs/>
                <w:sz w:val="16"/>
                <w:szCs w:val="16"/>
              </w:rPr>
            </w:pPr>
            <w:r w:rsidRPr="006E335F">
              <w:rPr>
                <w:b/>
                <w:bCs/>
                <w:sz w:val="16"/>
                <w:szCs w:val="16"/>
              </w:rPr>
              <w:t>19</w:t>
            </w:r>
          </w:p>
        </w:tc>
        <w:tc>
          <w:tcPr>
            <w:tcW w:w="1134" w:type="dxa"/>
            <w:tcBorders>
              <w:top w:val="single" w:sz="12" w:space="0" w:color="auto"/>
              <w:left w:val="single" w:sz="12" w:space="0" w:color="auto"/>
              <w:bottom w:val="single" w:sz="12" w:space="0" w:color="auto"/>
              <w:right w:val="single" w:sz="12" w:space="0" w:color="auto"/>
            </w:tcBorders>
          </w:tcPr>
          <w:p w14:paraId="2DEB9A92" w14:textId="77777777" w:rsidR="006E335F" w:rsidRPr="006E335F" w:rsidRDefault="006E335F" w:rsidP="00576CB4">
            <w:pPr>
              <w:numPr>
                <w:ilvl w:val="0"/>
                <w:numId w:val="8"/>
              </w:numPr>
              <w:spacing w:after="0" w:line="240" w:lineRule="auto"/>
              <w:contextualSpacing/>
              <w:jc w:val="center"/>
              <w:rPr>
                <w:b/>
                <w:bCs/>
                <w:sz w:val="16"/>
                <w:szCs w:val="16"/>
              </w:rPr>
            </w:pPr>
          </w:p>
        </w:tc>
        <w:tc>
          <w:tcPr>
            <w:tcW w:w="850" w:type="dxa"/>
            <w:tcBorders>
              <w:top w:val="single" w:sz="12" w:space="0" w:color="auto"/>
              <w:left w:val="single" w:sz="12" w:space="0" w:color="auto"/>
              <w:bottom w:val="single" w:sz="12" w:space="0" w:color="auto"/>
              <w:right w:val="single" w:sz="12" w:space="0" w:color="auto"/>
            </w:tcBorders>
          </w:tcPr>
          <w:p w14:paraId="4295A563" w14:textId="77777777" w:rsidR="006E335F" w:rsidRPr="006E335F" w:rsidRDefault="006E335F" w:rsidP="00576CB4">
            <w:pPr>
              <w:spacing w:after="0" w:line="240" w:lineRule="auto"/>
              <w:jc w:val="center"/>
              <w:rPr>
                <w:b/>
                <w:bCs/>
                <w:sz w:val="16"/>
                <w:szCs w:val="16"/>
              </w:rPr>
            </w:pPr>
            <w:r w:rsidRPr="006E335F">
              <w:rPr>
                <w:b/>
                <w:bCs/>
                <w:sz w:val="16"/>
                <w:szCs w:val="16"/>
              </w:rPr>
              <w:t>5</w:t>
            </w:r>
          </w:p>
        </w:tc>
        <w:tc>
          <w:tcPr>
            <w:tcW w:w="993" w:type="dxa"/>
            <w:tcBorders>
              <w:top w:val="single" w:sz="12" w:space="0" w:color="auto"/>
              <w:left w:val="single" w:sz="12" w:space="0" w:color="auto"/>
              <w:bottom w:val="single" w:sz="12" w:space="0" w:color="auto"/>
              <w:right w:val="single" w:sz="12" w:space="0" w:color="auto"/>
            </w:tcBorders>
          </w:tcPr>
          <w:p w14:paraId="01F69259" w14:textId="77777777" w:rsidR="006E335F" w:rsidRPr="006E335F" w:rsidRDefault="006E335F" w:rsidP="00576CB4">
            <w:pPr>
              <w:spacing w:after="0" w:line="240" w:lineRule="auto"/>
              <w:jc w:val="center"/>
              <w:rPr>
                <w:b/>
                <w:bCs/>
                <w:sz w:val="16"/>
                <w:szCs w:val="16"/>
              </w:rPr>
            </w:pPr>
            <w:r w:rsidRPr="006E335F">
              <w:rPr>
                <w:b/>
                <w:bCs/>
                <w:sz w:val="16"/>
                <w:szCs w:val="16"/>
              </w:rPr>
              <w:t>1</w:t>
            </w:r>
          </w:p>
        </w:tc>
        <w:tc>
          <w:tcPr>
            <w:tcW w:w="992" w:type="dxa"/>
            <w:tcBorders>
              <w:top w:val="single" w:sz="12" w:space="0" w:color="auto"/>
              <w:left w:val="single" w:sz="12" w:space="0" w:color="auto"/>
              <w:bottom w:val="single" w:sz="12" w:space="0" w:color="auto"/>
              <w:right w:val="single" w:sz="12" w:space="0" w:color="auto"/>
            </w:tcBorders>
          </w:tcPr>
          <w:p w14:paraId="6B590977" w14:textId="77777777" w:rsidR="006E335F" w:rsidRPr="006E335F" w:rsidRDefault="006E335F" w:rsidP="00576CB4">
            <w:pPr>
              <w:spacing w:after="0" w:line="240" w:lineRule="auto"/>
              <w:jc w:val="center"/>
              <w:rPr>
                <w:b/>
                <w:bCs/>
                <w:sz w:val="16"/>
                <w:szCs w:val="16"/>
              </w:rPr>
            </w:pPr>
            <w:r w:rsidRPr="006E335F">
              <w:rPr>
                <w:b/>
                <w:bCs/>
                <w:sz w:val="16"/>
                <w:szCs w:val="16"/>
              </w:rPr>
              <w:t>1</w:t>
            </w:r>
          </w:p>
        </w:tc>
        <w:tc>
          <w:tcPr>
            <w:tcW w:w="992" w:type="dxa"/>
            <w:tcBorders>
              <w:top w:val="single" w:sz="12" w:space="0" w:color="auto"/>
              <w:left w:val="single" w:sz="12" w:space="0" w:color="auto"/>
              <w:bottom w:val="single" w:sz="12" w:space="0" w:color="auto"/>
              <w:right w:val="single" w:sz="12" w:space="0" w:color="auto"/>
            </w:tcBorders>
          </w:tcPr>
          <w:p w14:paraId="51CD0FB8" w14:textId="77777777" w:rsidR="006E335F" w:rsidRPr="006E335F" w:rsidRDefault="006E335F" w:rsidP="00576CB4">
            <w:pPr>
              <w:spacing w:after="0" w:line="240" w:lineRule="auto"/>
              <w:jc w:val="center"/>
              <w:rPr>
                <w:b/>
                <w:bCs/>
                <w:sz w:val="16"/>
                <w:szCs w:val="16"/>
              </w:rPr>
            </w:pPr>
            <w:r w:rsidRPr="006E335F">
              <w:rPr>
                <w:b/>
                <w:bCs/>
                <w:sz w:val="16"/>
                <w:szCs w:val="16"/>
              </w:rPr>
              <w:t>1</w:t>
            </w:r>
          </w:p>
        </w:tc>
        <w:tc>
          <w:tcPr>
            <w:tcW w:w="992" w:type="dxa"/>
            <w:tcBorders>
              <w:top w:val="single" w:sz="12" w:space="0" w:color="auto"/>
              <w:left w:val="single" w:sz="12" w:space="0" w:color="auto"/>
              <w:bottom w:val="single" w:sz="12" w:space="0" w:color="auto"/>
              <w:right w:val="single" w:sz="12" w:space="0" w:color="auto"/>
            </w:tcBorders>
          </w:tcPr>
          <w:p w14:paraId="42E0EF91" w14:textId="77777777" w:rsidR="006E335F" w:rsidRPr="006E335F" w:rsidRDefault="006E335F" w:rsidP="00576CB4">
            <w:pPr>
              <w:spacing w:after="0" w:line="240" w:lineRule="auto"/>
              <w:jc w:val="center"/>
              <w:rPr>
                <w:b/>
                <w:bCs/>
                <w:sz w:val="16"/>
                <w:szCs w:val="16"/>
              </w:rPr>
            </w:pPr>
            <w:r w:rsidRPr="006E335F">
              <w:rPr>
                <w:b/>
                <w:bCs/>
                <w:sz w:val="16"/>
                <w:szCs w:val="16"/>
              </w:rPr>
              <w:t>4</w:t>
            </w:r>
          </w:p>
        </w:tc>
        <w:tc>
          <w:tcPr>
            <w:tcW w:w="1469" w:type="dxa"/>
            <w:tcBorders>
              <w:top w:val="single" w:sz="12" w:space="0" w:color="auto"/>
              <w:left w:val="single" w:sz="12" w:space="0" w:color="auto"/>
              <w:bottom w:val="single" w:sz="12" w:space="0" w:color="auto"/>
              <w:right w:val="single" w:sz="12" w:space="0" w:color="auto"/>
            </w:tcBorders>
          </w:tcPr>
          <w:p w14:paraId="4A5372D4" w14:textId="77777777" w:rsidR="006E335F" w:rsidRPr="006E335F" w:rsidRDefault="006E335F" w:rsidP="00576CB4">
            <w:pPr>
              <w:spacing w:after="0" w:line="240" w:lineRule="auto"/>
              <w:jc w:val="center"/>
              <w:rPr>
                <w:b/>
                <w:bCs/>
                <w:sz w:val="16"/>
                <w:szCs w:val="16"/>
              </w:rPr>
            </w:pPr>
            <w:r w:rsidRPr="006E335F">
              <w:rPr>
                <w:b/>
                <w:bCs/>
                <w:sz w:val="16"/>
                <w:szCs w:val="16"/>
              </w:rPr>
              <w:t>&lt;52% Some Degree of Literacy</w:t>
            </w:r>
          </w:p>
        </w:tc>
      </w:tr>
    </w:tbl>
    <w:p w14:paraId="1FC1BD02" w14:textId="77777777" w:rsidR="006E335F" w:rsidRPr="006E335F" w:rsidRDefault="006E335F" w:rsidP="006E335F">
      <w:pPr>
        <w:spacing w:after="0" w:line="240" w:lineRule="auto"/>
      </w:pPr>
    </w:p>
    <w:p w14:paraId="45E470F2" w14:textId="77777777" w:rsidR="00576CB4" w:rsidRDefault="00576CB4" w:rsidP="006E335F">
      <w:pPr>
        <w:spacing w:after="0" w:line="240" w:lineRule="auto"/>
        <w:jc w:val="center"/>
      </w:pPr>
    </w:p>
    <w:p w14:paraId="5B5CFDB4" w14:textId="77777777" w:rsidR="00576CB4" w:rsidRDefault="00576CB4" w:rsidP="009020B7">
      <w:pPr>
        <w:spacing w:after="0" w:line="240" w:lineRule="auto"/>
        <w:jc w:val="center"/>
      </w:pPr>
    </w:p>
    <w:p w14:paraId="667CAFCB" w14:textId="3DBF2183" w:rsidR="006E335F" w:rsidRPr="006E335F" w:rsidRDefault="006E335F" w:rsidP="009020B7">
      <w:pPr>
        <w:spacing w:after="0" w:line="240" w:lineRule="auto"/>
        <w:jc w:val="center"/>
      </w:pPr>
      <w:r w:rsidRPr="006E335F">
        <w:t xml:space="preserve">Table 3 – Names of inscribed properties and inscribers within the core sample in </w:t>
      </w:r>
      <w:r w:rsidR="00FD476E">
        <w:t>Prestbury</w:t>
      </w:r>
      <w:r w:rsidRPr="006E335F">
        <w:t xml:space="preserve"> parish, including content and location of inscriptions within each property.</w:t>
      </w:r>
    </w:p>
    <w:p w14:paraId="5870F62E" w14:textId="77777777" w:rsidR="006E335F" w:rsidRPr="006E335F" w:rsidRDefault="006E335F" w:rsidP="006E335F">
      <w:pPr>
        <w:jc w:val="center"/>
      </w:pPr>
      <w:r w:rsidRPr="006E335F">
        <w:br w:type="page"/>
      </w:r>
    </w:p>
    <w:p w14:paraId="51826ABE" w14:textId="77777777" w:rsidR="009E4DFA" w:rsidRDefault="009E4DFA" w:rsidP="005A57CA">
      <w:pPr>
        <w:spacing w:after="0" w:line="240" w:lineRule="auto"/>
        <w:jc w:val="center"/>
        <w:rPr>
          <w:b/>
          <w:bCs/>
          <w:sz w:val="32"/>
          <w:szCs w:val="32"/>
          <w:u w:val="single"/>
        </w:rPr>
        <w:sectPr w:rsidR="009E4DFA" w:rsidSect="006E335F">
          <w:pgSz w:w="16838" w:h="11906" w:orient="landscape"/>
          <w:pgMar w:top="1440" w:right="1440" w:bottom="1440" w:left="1440" w:header="720" w:footer="720" w:gutter="0"/>
          <w:cols w:space="720"/>
          <w:docGrid w:linePitch="360"/>
        </w:sectPr>
      </w:pPr>
    </w:p>
    <w:p w14:paraId="34185ACA" w14:textId="77777777" w:rsidR="00966825" w:rsidRPr="00966825" w:rsidRDefault="00966825" w:rsidP="00966825"/>
    <w:tbl>
      <w:tblPr>
        <w:tblStyle w:val="TableGrid3"/>
        <w:tblpPr w:leftFromText="180" w:rightFromText="180" w:vertAnchor="text" w:horzAnchor="margin" w:tblpY="2529"/>
        <w:tblW w:w="0" w:type="auto"/>
        <w:tblLook w:val="04A0" w:firstRow="1" w:lastRow="0" w:firstColumn="1" w:lastColumn="0" w:noHBand="0" w:noVBand="1"/>
      </w:tblPr>
      <w:tblGrid>
        <w:gridCol w:w="2540"/>
        <w:gridCol w:w="2122"/>
        <w:gridCol w:w="1981"/>
        <w:gridCol w:w="2353"/>
      </w:tblGrid>
      <w:tr w:rsidR="00A5461A" w:rsidRPr="00966825" w14:paraId="476365E9" w14:textId="77777777" w:rsidTr="00576CB4">
        <w:tc>
          <w:tcPr>
            <w:tcW w:w="2540" w:type="dxa"/>
            <w:tcBorders>
              <w:top w:val="single" w:sz="12" w:space="0" w:color="auto"/>
              <w:left w:val="single" w:sz="12" w:space="0" w:color="auto"/>
              <w:bottom w:val="single" w:sz="12" w:space="0" w:color="auto"/>
            </w:tcBorders>
            <w:shd w:val="clear" w:color="auto" w:fill="auto"/>
          </w:tcPr>
          <w:p w14:paraId="7FF36761" w14:textId="77777777" w:rsidR="00A5461A" w:rsidRPr="00966825" w:rsidRDefault="00A5461A" w:rsidP="00576CB4">
            <w:pPr>
              <w:spacing w:after="0" w:line="240" w:lineRule="auto"/>
              <w:jc w:val="center"/>
              <w:rPr>
                <w:b/>
                <w:bCs/>
              </w:rPr>
            </w:pPr>
            <w:r w:rsidRPr="00966825">
              <w:rPr>
                <w:b/>
                <w:bCs/>
              </w:rPr>
              <w:t>Bolton-le-Sands</w:t>
            </w:r>
          </w:p>
        </w:tc>
        <w:tc>
          <w:tcPr>
            <w:tcW w:w="2122" w:type="dxa"/>
            <w:tcBorders>
              <w:top w:val="single" w:sz="12" w:space="0" w:color="auto"/>
              <w:bottom w:val="single" w:sz="12" w:space="0" w:color="auto"/>
              <w:right w:val="single" w:sz="12" w:space="0" w:color="auto"/>
            </w:tcBorders>
            <w:shd w:val="clear" w:color="auto" w:fill="auto"/>
          </w:tcPr>
          <w:p w14:paraId="37D1EF59" w14:textId="77777777" w:rsidR="00A5461A" w:rsidRPr="00966825" w:rsidRDefault="00A5461A" w:rsidP="00576CB4">
            <w:pPr>
              <w:spacing w:after="0" w:line="240" w:lineRule="auto"/>
              <w:rPr>
                <w:b/>
                <w:bCs/>
              </w:rPr>
            </w:pPr>
            <w:r w:rsidRPr="00966825">
              <w:rPr>
                <w:b/>
                <w:bCs/>
              </w:rPr>
              <w:t>No. of Households</w:t>
            </w:r>
          </w:p>
        </w:tc>
        <w:tc>
          <w:tcPr>
            <w:tcW w:w="1981" w:type="dxa"/>
            <w:tcBorders>
              <w:top w:val="single" w:sz="12" w:space="0" w:color="auto"/>
              <w:left w:val="single" w:sz="12" w:space="0" w:color="auto"/>
              <w:bottom w:val="single" w:sz="12" w:space="0" w:color="auto"/>
            </w:tcBorders>
            <w:shd w:val="clear" w:color="auto" w:fill="auto"/>
          </w:tcPr>
          <w:p w14:paraId="0BD7ED98" w14:textId="77777777" w:rsidR="00A5461A" w:rsidRPr="00966825" w:rsidRDefault="00A5461A" w:rsidP="00576CB4">
            <w:pPr>
              <w:spacing w:after="0" w:line="240" w:lineRule="auto"/>
              <w:jc w:val="center"/>
              <w:rPr>
                <w:b/>
                <w:bCs/>
              </w:rPr>
            </w:pPr>
            <w:r w:rsidRPr="00966825">
              <w:rPr>
                <w:b/>
                <w:bCs/>
              </w:rPr>
              <w:t>Prestbury</w:t>
            </w:r>
          </w:p>
        </w:tc>
        <w:tc>
          <w:tcPr>
            <w:tcW w:w="2353" w:type="dxa"/>
            <w:tcBorders>
              <w:top w:val="single" w:sz="12" w:space="0" w:color="auto"/>
              <w:bottom w:val="single" w:sz="12" w:space="0" w:color="auto"/>
              <w:right w:val="single" w:sz="12" w:space="0" w:color="auto"/>
            </w:tcBorders>
          </w:tcPr>
          <w:p w14:paraId="75C2A5E6" w14:textId="77777777" w:rsidR="00A5461A" w:rsidRPr="00966825" w:rsidRDefault="00A5461A" w:rsidP="00576CB4">
            <w:pPr>
              <w:spacing w:after="0" w:line="240" w:lineRule="auto"/>
              <w:rPr>
                <w:b/>
                <w:bCs/>
              </w:rPr>
            </w:pPr>
            <w:r w:rsidRPr="00966825">
              <w:rPr>
                <w:b/>
                <w:bCs/>
              </w:rPr>
              <w:t>No. of Households</w:t>
            </w:r>
          </w:p>
        </w:tc>
      </w:tr>
      <w:tr w:rsidR="00A5461A" w:rsidRPr="00966825" w14:paraId="32A15188" w14:textId="77777777" w:rsidTr="00576CB4">
        <w:tc>
          <w:tcPr>
            <w:tcW w:w="2540" w:type="dxa"/>
            <w:tcBorders>
              <w:top w:val="single" w:sz="12" w:space="0" w:color="auto"/>
              <w:left w:val="single" w:sz="12" w:space="0" w:color="auto"/>
            </w:tcBorders>
          </w:tcPr>
          <w:p w14:paraId="4B497123" w14:textId="77777777" w:rsidR="00A5461A" w:rsidRPr="00966825" w:rsidRDefault="00A5461A" w:rsidP="00576CB4">
            <w:pPr>
              <w:spacing w:after="0" w:line="240" w:lineRule="auto"/>
            </w:pPr>
            <w:r w:rsidRPr="00966825">
              <w:t>Bolton-le-Sands</w:t>
            </w:r>
          </w:p>
        </w:tc>
        <w:tc>
          <w:tcPr>
            <w:tcW w:w="2122" w:type="dxa"/>
            <w:tcBorders>
              <w:top w:val="single" w:sz="12" w:space="0" w:color="auto"/>
              <w:right w:val="single" w:sz="12" w:space="0" w:color="auto"/>
            </w:tcBorders>
          </w:tcPr>
          <w:p w14:paraId="5B862F38" w14:textId="77777777" w:rsidR="00A5461A" w:rsidRPr="00966825" w:rsidRDefault="00A5461A" w:rsidP="00576CB4">
            <w:pPr>
              <w:spacing w:after="0" w:line="240" w:lineRule="auto"/>
              <w:jc w:val="center"/>
            </w:pPr>
            <w:r w:rsidRPr="00966825">
              <w:t>35</w:t>
            </w:r>
          </w:p>
        </w:tc>
        <w:tc>
          <w:tcPr>
            <w:tcW w:w="1981" w:type="dxa"/>
            <w:tcBorders>
              <w:top w:val="single" w:sz="12" w:space="0" w:color="auto"/>
              <w:left w:val="single" w:sz="12" w:space="0" w:color="auto"/>
            </w:tcBorders>
          </w:tcPr>
          <w:p w14:paraId="45CE5993" w14:textId="77777777" w:rsidR="00A5461A" w:rsidRPr="00966825" w:rsidRDefault="00A5461A" w:rsidP="00576CB4">
            <w:pPr>
              <w:spacing w:after="0" w:line="240" w:lineRule="auto"/>
            </w:pPr>
            <w:r w:rsidRPr="00966825">
              <w:t>Butley</w:t>
            </w:r>
          </w:p>
        </w:tc>
        <w:tc>
          <w:tcPr>
            <w:tcW w:w="2353" w:type="dxa"/>
            <w:tcBorders>
              <w:top w:val="single" w:sz="12" w:space="0" w:color="auto"/>
              <w:right w:val="single" w:sz="12" w:space="0" w:color="auto"/>
            </w:tcBorders>
          </w:tcPr>
          <w:p w14:paraId="184F3B44" w14:textId="77777777" w:rsidR="00A5461A" w:rsidRPr="00966825" w:rsidRDefault="00A5461A" w:rsidP="00576CB4">
            <w:pPr>
              <w:spacing w:after="0" w:line="240" w:lineRule="auto"/>
              <w:jc w:val="center"/>
            </w:pPr>
            <w:r w:rsidRPr="00966825">
              <w:t>61</w:t>
            </w:r>
          </w:p>
        </w:tc>
      </w:tr>
      <w:tr w:rsidR="00A5461A" w:rsidRPr="00966825" w14:paraId="228C688B" w14:textId="77777777" w:rsidTr="00576CB4">
        <w:tc>
          <w:tcPr>
            <w:tcW w:w="2540" w:type="dxa"/>
            <w:tcBorders>
              <w:left w:val="single" w:sz="12" w:space="0" w:color="auto"/>
            </w:tcBorders>
          </w:tcPr>
          <w:p w14:paraId="71C1A03A" w14:textId="77777777" w:rsidR="00A5461A" w:rsidRPr="00966825" w:rsidRDefault="00A5461A" w:rsidP="00576CB4">
            <w:pPr>
              <w:spacing w:after="0" w:line="240" w:lineRule="auto"/>
            </w:pPr>
            <w:r w:rsidRPr="00966825">
              <w:t>Slyne with Hest</w:t>
            </w:r>
          </w:p>
        </w:tc>
        <w:tc>
          <w:tcPr>
            <w:tcW w:w="2122" w:type="dxa"/>
            <w:tcBorders>
              <w:right w:val="single" w:sz="12" w:space="0" w:color="auto"/>
            </w:tcBorders>
          </w:tcPr>
          <w:p w14:paraId="2C2CB866" w14:textId="77777777" w:rsidR="00A5461A" w:rsidRPr="00966825" w:rsidRDefault="00A5461A" w:rsidP="00576CB4">
            <w:pPr>
              <w:spacing w:after="0" w:line="240" w:lineRule="auto"/>
              <w:jc w:val="center"/>
            </w:pPr>
            <w:r w:rsidRPr="00966825">
              <w:t>36</w:t>
            </w:r>
          </w:p>
        </w:tc>
        <w:tc>
          <w:tcPr>
            <w:tcW w:w="1981" w:type="dxa"/>
            <w:tcBorders>
              <w:left w:val="single" w:sz="12" w:space="0" w:color="auto"/>
              <w:bottom w:val="single" w:sz="12" w:space="0" w:color="auto"/>
            </w:tcBorders>
          </w:tcPr>
          <w:p w14:paraId="4AAAE71D" w14:textId="77777777" w:rsidR="00A5461A" w:rsidRPr="00966825" w:rsidRDefault="00A5461A" w:rsidP="00576CB4">
            <w:pPr>
              <w:spacing w:after="0" w:line="240" w:lineRule="auto"/>
            </w:pPr>
            <w:r w:rsidRPr="00966825">
              <w:t>Sutton</w:t>
            </w:r>
          </w:p>
        </w:tc>
        <w:tc>
          <w:tcPr>
            <w:tcW w:w="2353" w:type="dxa"/>
            <w:tcBorders>
              <w:bottom w:val="single" w:sz="12" w:space="0" w:color="auto"/>
              <w:right w:val="single" w:sz="12" w:space="0" w:color="auto"/>
            </w:tcBorders>
          </w:tcPr>
          <w:p w14:paraId="19711702" w14:textId="77777777" w:rsidR="00A5461A" w:rsidRPr="00966825" w:rsidRDefault="00A5461A" w:rsidP="00576CB4">
            <w:pPr>
              <w:spacing w:after="0" w:line="240" w:lineRule="auto"/>
              <w:jc w:val="center"/>
            </w:pPr>
            <w:r w:rsidRPr="00966825">
              <w:t>180</w:t>
            </w:r>
          </w:p>
        </w:tc>
      </w:tr>
      <w:tr w:rsidR="00A5461A" w:rsidRPr="00966825" w14:paraId="62FF8361" w14:textId="77777777" w:rsidTr="00576CB4">
        <w:tc>
          <w:tcPr>
            <w:tcW w:w="2540" w:type="dxa"/>
            <w:tcBorders>
              <w:left w:val="single" w:sz="12" w:space="0" w:color="auto"/>
            </w:tcBorders>
          </w:tcPr>
          <w:p w14:paraId="7F93548A" w14:textId="77777777" w:rsidR="00A5461A" w:rsidRPr="00966825" w:rsidRDefault="00A5461A" w:rsidP="00576CB4">
            <w:pPr>
              <w:spacing w:after="0" w:line="240" w:lineRule="auto"/>
            </w:pPr>
            <w:r w:rsidRPr="00966825">
              <w:t>Nether Kellet</w:t>
            </w:r>
          </w:p>
        </w:tc>
        <w:tc>
          <w:tcPr>
            <w:tcW w:w="2122" w:type="dxa"/>
            <w:tcBorders>
              <w:right w:val="single" w:sz="12" w:space="0" w:color="auto"/>
            </w:tcBorders>
          </w:tcPr>
          <w:p w14:paraId="521F2D3D" w14:textId="77777777" w:rsidR="00A5461A" w:rsidRPr="00966825" w:rsidRDefault="00A5461A" w:rsidP="00576CB4">
            <w:pPr>
              <w:spacing w:after="0" w:line="240" w:lineRule="auto"/>
              <w:jc w:val="center"/>
            </w:pPr>
            <w:r w:rsidRPr="00966825">
              <w:t>18</w:t>
            </w:r>
          </w:p>
        </w:tc>
        <w:tc>
          <w:tcPr>
            <w:tcW w:w="1981" w:type="dxa"/>
            <w:tcBorders>
              <w:top w:val="single" w:sz="12" w:space="0" w:color="auto"/>
              <w:left w:val="single" w:sz="12" w:space="0" w:color="auto"/>
              <w:bottom w:val="single" w:sz="12" w:space="0" w:color="auto"/>
            </w:tcBorders>
            <w:shd w:val="clear" w:color="auto" w:fill="auto"/>
          </w:tcPr>
          <w:p w14:paraId="111767C9" w14:textId="77777777" w:rsidR="00A5461A" w:rsidRPr="00966825" w:rsidRDefault="00A5461A" w:rsidP="00576CB4">
            <w:pPr>
              <w:spacing w:after="0" w:line="240" w:lineRule="auto"/>
              <w:jc w:val="center"/>
            </w:pPr>
            <w:r w:rsidRPr="00966825">
              <w:rPr>
                <w:b/>
                <w:bCs/>
              </w:rPr>
              <w:t>Total</w:t>
            </w:r>
          </w:p>
        </w:tc>
        <w:tc>
          <w:tcPr>
            <w:tcW w:w="2353" w:type="dxa"/>
            <w:tcBorders>
              <w:top w:val="single" w:sz="12" w:space="0" w:color="auto"/>
              <w:bottom w:val="single" w:sz="12" w:space="0" w:color="auto"/>
              <w:right w:val="single" w:sz="12" w:space="0" w:color="auto"/>
            </w:tcBorders>
            <w:shd w:val="clear" w:color="auto" w:fill="auto"/>
          </w:tcPr>
          <w:p w14:paraId="49F54FB4" w14:textId="77777777" w:rsidR="00A5461A" w:rsidRPr="00966825" w:rsidRDefault="00A5461A" w:rsidP="00576CB4">
            <w:pPr>
              <w:spacing w:after="0" w:line="240" w:lineRule="auto"/>
              <w:jc w:val="center"/>
            </w:pPr>
            <w:r w:rsidRPr="00966825">
              <w:rPr>
                <w:b/>
                <w:bCs/>
              </w:rPr>
              <w:t>241</w:t>
            </w:r>
          </w:p>
        </w:tc>
      </w:tr>
      <w:tr w:rsidR="00A5461A" w:rsidRPr="00966825" w14:paraId="10B10913" w14:textId="77777777" w:rsidTr="00576CB4">
        <w:tc>
          <w:tcPr>
            <w:tcW w:w="2540" w:type="dxa"/>
            <w:tcBorders>
              <w:left w:val="single" w:sz="12" w:space="0" w:color="auto"/>
              <w:bottom w:val="single" w:sz="12" w:space="0" w:color="auto"/>
            </w:tcBorders>
          </w:tcPr>
          <w:p w14:paraId="7F601C04" w14:textId="77777777" w:rsidR="00A5461A" w:rsidRPr="00966825" w:rsidRDefault="00A5461A" w:rsidP="00576CB4">
            <w:pPr>
              <w:spacing w:after="0" w:line="240" w:lineRule="auto"/>
            </w:pPr>
            <w:r w:rsidRPr="00966825">
              <w:t>Over Kellet</w:t>
            </w:r>
          </w:p>
        </w:tc>
        <w:tc>
          <w:tcPr>
            <w:tcW w:w="2122" w:type="dxa"/>
            <w:tcBorders>
              <w:bottom w:val="single" w:sz="12" w:space="0" w:color="auto"/>
              <w:right w:val="single" w:sz="12" w:space="0" w:color="auto"/>
            </w:tcBorders>
          </w:tcPr>
          <w:p w14:paraId="251FC85B" w14:textId="77777777" w:rsidR="00A5461A" w:rsidRPr="00966825" w:rsidRDefault="00A5461A" w:rsidP="00576CB4">
            <w:pPr>
              <w:spacing w:after="0" w:line="240" w:lineRule="auto"/>
              <w:jc w:val="center"/>
            </w:pPr>
            <w:r w:rsidRPr="00966825">
              <w:t>67</w:t>
            </w:r>
          </w:p>
        </w:tc>
        <w:tc>
          <w:tcPr>
            <w:tcW w:w="1981" w:type="dxa"/>
            <w:tcBorders>
              <w:top w:val="single" w:sz="12" w:space="0" w:color="auto"/>
              <w:left w:val="single" w:sz="12" w:space="0" w:color="auto"/>
              <w:bottom w:val="single" w:sz="12" w:space="0" w:color="FDFDFD"/>
              <w:right w:val="single" w:sz="12" w:space="0" w:color="FDFDFD"/>
            </w:tcBorders>
            <w:shd w:val="clear" w:color="auto" w:fill="auto"/>
          </w:tcPr>
          <w:p w14:paraId="4F560B1F" w14:textId="77777777" w:rsidR="00A5461A" w:rsidRPr="00966825" w:rsidRDefault="00A5461A" w:rsidP="00576CB4">
            <w:pPr>
              <w:spacing w:after="0" w:line="240" w:lineRule="auto"/>
            </w:pPr>
          </w:p>
        </w:tc>
        <w:tc>
          <w:tcPr>
            <w:tcW w:w="2353" w:type="dxa"/>
            <w:tcBorders>
              <w:top w:val="single" w:sz="12" w:space="0" w:color="auto"/>
              <w:left w:val="single" w:sz="12" w:space="0" w:color="FDFDFD"/>
              <w:bottom w:val="single" w:sz="12" w:space="0" w:color="FDFDFD"/>
              <w:right w:val="single" w:sz="12" w:space="0" w:color="FDFDFD"/>
            </w:tcBorders>
            <w:shd w:val="clear" w:color="auto" w:fill="auto"/>
          </w:tcPr>
          <w:p w14:paraId="32F589B7" w14:textId="77777777" w:rsidR="00A5461A" w:rsidRPr="00966825" w:rsidRDefault="00A5461A" w:rsidP="00576CB4">
            <w:pPr>
              <w:spacing w:after="0" w:line="240" w:lineRule="auto"/>
              <w:jc w:val="center"/>
            </w:pPr>
          </w:p>
        </w:tc>
      </w:tr>
      <w:tr w:rsidR="00A5461A" w:rsidRPr="00966825" w14:paraId="4B9A3A9E" w14:textId="77777777" w:rsidTr="00576CB4">
        <w:tc>
          <w:tcPr>
            <w:tcW w:w="2540" w:type="dxa"/>
            <w:tcBorders>
              <w:top w:val="single" w:sz="12" w:space="0" w:color="auto"/>
              <w:left w:val="single" w:sz="12" w:space="0" w:color="auto"/>
              <w:bottom w:val="single" w:sz="12" w:space="0" w:color="auto"/>
            </w:tcBorders>
          </w:tcPr>
          <w:p w14:paraId="72B5DE57" w14:textId="77777777" w:rsidR="00A5461A" w:rsidRPr="00966825" w:rsidRDefault="00A5461A" w:rsidP="00576CB4">
            <w:pPr>
              <w:spacing w:after="0" w:line="240" w:lineRule="auto"/>
              <w:jc w:val="center"/>
              <w:rPr>
                <w:b/>
                <w:bCs/>
              </w:rPr>
            </w:pPr>
            <w:r w:rsidRPr="00966825">
              <w:rPr>
                <w:b/>
                <w:bCs/>
              </w:rPr>
              <w:t>Total</w:t>
            </w:r>
          </w:p>
        </w:tc>
        <w:tc>
          <w:tcPr>
            <w:tcW w:w="2122" w:type="dxa"/>
            <w:tcBorders>
              <w:top w:val="single" w:sz="12" w:space="0" w:color="auto"/>
              <w:bottom w:val="single" w:sz="12" w:space="0" w:color="auto"/>
              <w:right w:val="single" w:sz="12" w:space="0" w:color="auto"/>
            </w:tcBorders>
          </w:tcPr>
          <w:p w14:paraId="461F9189" w14:textId="77777777" w:rsidR="00A5461A" w:rsidRPr="00966825" w:rsidRDefault="00A5461A" w:rsidP="00576CB4">
            <w:pPr>
              <w:spacing w:after="0" w:line="240" w:lineRule="auto"/>
              <w:jc w:val="center"/>
              <w:rPr>
                <w:b/>
                <w:bCs/>
              </w:rPr>
            </w:pPr>
            <w:r w:rsidRPr="00966825">
              <w:rPr>
                <w:b/>
                <w:bCs/>
              </w:rPr>
              <w:t>156</w:t>
            </w:r>
          </w:p>
        </w:tc>
        <w:tc>
          <w:tcPr>
            <w:tcW w:w="1981" w:type="dxa"/>
            <w:tcBorders>
              <w:top w:val="single" w:sz="12" w:space="0" w:color="FDFDFD"/>
              <w:left w:val="single" w:sz="12" w:space="0" w:color="auto"/>
              <w:bottom w:val="single" w:sz="12" w:space="0" w:color="FDFDFD"/>
              <w:right w:val="single" w:sz="12" w:space="0" w:color="FDFDFD"/>
            </w:tcBorders>
          </w:tcPr>
          <w:p w14:paraId="441F1E32" w14:textId="77777777" w:rsidR="00A5461A" w:rsidRPr="00966825" w:rsidRDefault="00A5461A" w:rsidP="00576CB4">
            <w:pPr>
              <w:spacing w:after="0" w:line="240" w:lineRule="auto"/>
              <w:rPr>
                <w:b/>
                <w:bCs/>
              </w:rPr>
            </w:pPr>
          </w:p>
        </w:tc>
        <w:tc>
          <w:tcPr>
            <w:tcW w:w="2353" w:type="dxa"/>
            <w:tcBorders>
              <w:top w:val="single" w:sz="12" w:space="0" w:color="FDFDFD"/>
              <w:left w:val="single" w:sz="12" w:space="0" w:color="FDFDFD"/>
              <w:bottom w:val="single" w:sz="12" w:space="0" w:color="FDFDFD"/>
              <w:right w:val="single" w:sz="12" w:space="0" w:color="FDFDFD"/>
            </w:tcBorders>
          </w:tcPr>
          <w:p w14:paraId="78D62D71" w14:textId="77777777" w:rsidR="00A5461A" w:rsidRPr="00966825" w:rsidRDefault="00A5461A" w:rsidP="00576CB4">
            <w:pPr>
              <w:spacing w:after="0" w:line="240" w:lineRule="auto"/>
              <w:jc w:val="center"/>
              <w:rPr>
                <w:b/>
                <w:bCs/>
              </w:rPr>
            </w:pPr>
          </w:p>
        </w:tc>
      </w:tr>
    </w:tbl>
    <w:p w14:paraId="0282FB49" w14:textId="77777777" w:rsidR="00A5461A" w:rsidRDefault="00A5461A" w:rsidP="00966825">
      <w:pPr>
        <w:jc w:val="center"/>
      </w:pPr>
    </w:p>
    <w:p w14:paraId="6604939A" w14:textId="77777777" w:rsidR="00A5461A" w:rsidRDefault="00A5461A" w:rsidP="00966825">
      <w:pPr>
        <w:jc w:val="center"/>
      </w:pPr>
    </w:p>
    <w:p w14:paraId="7755C8B8" w14:textId="77777777" w:rsidR="00A5461A" w:rsidRDefault="00A5461A" w:rsidP="00966825">
      <w:pPr>
        <w:jc w:val="center"/>
      </w:pPr>
    </w:p>
    <w:p w14:paraId="3A8C708B" w14:textId="77777777" w:rsidR="00A5461A" w:rsidRDefault="00A5461A" w:rsidP="00966825">
      <w:pPr>
        <w:jc w:val="center"/>
      </w:pPr>
    </w:p>
    <w:p w14:paraId="2D4836A7" w14:textId="77777777" w:rsidR="00A5461A" w:rsidRDefault="00A5461A" w:rsidP="00966825">
      <w:pPr>
        <w:jc w:val="center"/>
      </w:pPr>
    </w:p>
    <w:p w14:paraId="01262339" w14:textId="77777777" w:rsidR="00576CB4" w:rsidRDefault="00576CB4" w:rsidP="00966825">
      <w:pPr>
        <w:jc w:val="center"/>
      </w:pPr>
    </w:p>
    <w:p w14:paraId="255FB92C" w14:textId="0DE0B901" w:rsidR="00966825" w:rsidRPr="00966825" w:rsidRDefault="00966825" w:rsidP="00966825">
      <w:pPr>
        <w:jc w:val="center"/>
      </w:pPr>
      <w:r w:rsidRPr="00966825">
        <w:t>Table 4 – Number of households in Bolton-le-Sands and Prestbury parish townships according to 1664 hearth tax returns.</w:t>
      </w:r>
    </w:p>
    <w:p w14:paraId="644F92E4" w14:textId="77777777" w:rsidR="00966825" w:rsidRPr="00966825" w:rsidRDefault="00966825" w:rsidP="00966825">
      <w:r w:rsidRPr="00966825">
        <w:br w:type="page"/>
      </w:r>
    </w:p>
    <w:p w14:paraId="5BC320B9" w14:textId="77777777" w:rsidR="00966825" w:rsidRPr="00966825" w:rsidRDefault="00966825" w:rsidP="00966825"/>
    <w:tbl>
      <w:tblPr>
        <w:tblStyle w:val="TableGrid3"/>
        <w:tblpPr w:leftFromText="180" w:rightFromText="180" w:vertAnchor="text" w:horzAnchor="margin" w:tblpY="2158"/>
        <w:tblW w:w="0" w:type="auto"/>
        <w:tblLook w:val="04A0" w:firstRow="1" w:lastRow="0" w:firstColumn="1" w:lastColumn="0" w:noHBand="0" w:noVBand="1"/>
      </w:tblPr>
      <w:tblGrid>
        <w:gridCol w:w="2540"/>
        <w:gridCol w:w="2122"/>
        <w:gridCol w:w="1981"/>
        <w:gridCol w:w="2353"/>
      </w:tblGrid>
      <w:tr w:rsidR="00A5461A" w:rsidRPr="00966825" w14:paraId="67BA71A6" w14:textId="77777777" w:rsidTr="00A5461A">
        <w:tc>
          <w:tcPr>
            <w:tcW w:w="2540" w:type="dxa"/>
            <w:tcBorders>
              <w:top w:val="single" w:sz="12" w:space="0" w:color="auto"/>
              <w:left w:val="single" w:sz="12" w:space="0" w:color="auto"/>
              <w:bottom w:val="single" w:sz="12" w:space="0" w:color="auto"/>
            </w:tcBorders>
            <w:shd w:val="clear" w:color="auto" w:fill="auto"/>
          </w:tcPr>
          <w:p w14:paraId="657FDB9E" w14:textId="77777777" w:rsidR="00A5461A" w:rsidRPr="00966825" w:rsidRDefault="00A5461A" w:rsidP="00A5461A">
            <w:pPr>
              <w:spacing w:after="0" w:line="240" w:lineRule="auto"/>
              <w:jc w:val="center"/>
              <w:rPr>
                <w:b/>
                <w:bCs/>
              </w:rPr>
            </w:pPr>
            <w:r w:rsidRPr="00966825">
              <w:rPr>
                <w:b/>
                <w:bCs/>
              </w:rPr>
              <w:t>Bolton-le-Sands</w:t>
            </w:r>
          </w:p>
        </w:tc>
        <w:tc>
          <w:tcPr>
            <w:tcW w:w="2122" w:type="dxa"/>
            <w:tcBorders>
              <w:top w:val="single" w:sz="12" w:space="0" w:color="auto"/>
              <w:bottom w:val="single" w:sz="12" w:space="0" w:color="auto"/>
              <w:right w:val="single" w:sz="12" w:space="0" w:color="auto"/>
            </w:tcBorders>
            <w:shd w:val="clear" w:color="auto" w:fill="auto"/>
          </w:tcPr>
          <w:p w14:paraId="75192D76" w14:textId="77777777" w:rsidR="00A5461A" w:rsidRPr="00966825" w:rsidRDefault="00A5461A" w:rsidP="00A5461A">
            <w:pPr>
              <w:spacing w:after="0" w:line="240" w:lineRule="auto"/>
              <w:jc w:val="center"/>
              <w:rPr>
                <w:b/>
                <w:bCs/>
              </w:rPr>
            </w:pPr>
            <w:r w:rsidRPr="00966825">
              <w:rPr>
                <w:b/>
                <w:bCs/>
              </w:rPr>
              <w:t>Total Population</w:t>
            </w:r>
          </w:p>
        </w:tc>
        <w:tc>
          <w:tcPr>
            <w:tcW w:w="1981" w:type="dxa"/>
            <w:tcBorders>
              <w:top w:val="single" w:sz="12" w:space="0" w:color="auto"/>
              <w:left w:val="single" w:sz="12" w:space="0" w:color="auto"/>
              <w:bottom w:val="single" w:sz="12" w:space="0" w:color="auto"/>
            </w:tcBorders>
            <w:shd w:val="clear" w:color="auto" w:fill="auto"/>
          </w:tcPr>
          <w:p w14:paraId="61F20BBD" w14:textId="77777777" w:rsidR="00A5461A" w:rsidRPr="00966825" w:rsidRDefault="00A5461A" w:rsidP="00A5461A">
            <w:pPr>
              <w:spacing w:after="0" w:line="240" w:lineRule="auto"/>
              <w:jc w:val="center"/>
              <w:rPr>
                <w:b/>
                <w:bCs/>
              </w:rPr>
            </w:pPr>
            <w:r w:rsidRPr="00966825">
              <w:rPr>
                <w:b/>
                <w:bCs/>
              </w:rPr>
              <w:t>Prestbury</w:t>
            </w:r>
          </w:p>
        </w:tc>
        <w:tc>
          <w:tcPr>
            <w:tcW w:w="2353" w:type="dxa"/>
            <w:tcBorders>
              <w:top w:val="single" w:sz="12" w:space="0" w:color="auto"/>
              <w:bottom w:val="single" w:sz="12" w:space="0" w:color="auto"/>
              <w:right w:val="single" w:sz="12" w:space="0" w:color="auto"/>
            </w:tcBorders>
          </w:tcPr>
          <w:p w14:paraId="1DB945E0" w14:textId="77777777" w:rsidR="00A5461A" w:rsidRPr="00966825" w:rsidRDefault="00A5461A" w:rsidP="00A5461A">
            <w:pPr>
              <w:spacing w:after="0" w:line="240" w:lineRule="auto"/>
              <w:jc w:val="center"/>
              <w:rPr>
                <w:b/>
                <w:bCs/>
              </w:rPr>
            </w:pPr>
            <w:r w:rsidRPr="00966825">
              <w:rPr>
                <w:b/>
                <w:bCs/>
              </w:rPr>
              <w:t>Total Population</w:t>
            </w:r>
          </w:p>
        </w:tc>
      </w:tr>
      <w:tr w:rsidR="00A5461A" w:rsidRPr="00966825" w14:paraId="5C4B5DFC" w14:textId="77777777" w:rsidTr="00A5461A">
        <w:tc>
          <w:tcPr>
            <w:tcW w:w="2540" w:type="dxa"/>
            <w:tcBorders>
              <w:top w:val="single" w:sz="12" w:space="0" w:color="auto"/>
              <w:left w:val="single" w:sz="12" w:space="0" w:color="auto"/>
            </w:tcBorders>
          </w:tcPr>
          <w:p w14:paraId="76A6CDE2" w14:textId="77777777" w:rsidR="00A5461A" w:rsidRPr="00966825" w:rsidRDefault="00A5461A" w:rsidP="00A5461A">
            <w:pPr>
              <w:spacing w:after="0" w:line="240" w:lineRule="auto"/>
            </w:pPr>
            <w:r w:rsidRPr="00966825">
              <w:t>Bolton-le-Sands</w:t>
            </w:r>
          </w:p>
        </w:tc>
        <w:tc>
          <w:tcPr>
            <w:tcW w:w="2122" w:type="dxa"/>
            <w:tcBorders>
              <w:top w:val="single" w:sz="12" w:space="0" w:color="auto"/>
              <w:right w:val="single" w:sz="12" w:space="0" w:color="auto"/>
            </w:tcBorders>
          </w:tcPr>
          <w:p w14:paraId="78355C79" w14:textId="77777777" w:rsidR="00A5461A" w:rsidRPr="00966825" w:rsidRDefault="00A5461A" w:rsidP="00A5461A">
            <w:pPr>
              <w:spacing w:after="0" w:line="240" w:lineRule="auto"/>
              <w:jc w:val="center"/>
            </w:pPr>
            <w:r w:rsidRPr="00966825">
              <w:t>151</w:t>
            </w:r>
          </w:p>
        </w:tc>
        <w:tc>
          <w:tcPr>
            <w:tcW w:w="1981" w:type="dxa"/>
            <w:tcBorders>
              <w:top w:val="single" w:sz="12" w:space="0" w:color="auto"/>
              <w:left w:val="single" w:sz="12" w:space="0" w:color="auto"/>
            </w:tcBorders>
          </w:tcPr>
          <w:p w14:paraId="32297416" w14:textId="77777777" w:rsidR="00A5461A" w:rsidRPr="00966825" w:rsidRDefault="00A5461A" w:rsidP="00A5461A">
            <w:pPr>
              <w:spacing w:after="0" w:line="240" w:lineRule="auto"/>
            </w:pPr>
            <w:r w:rsidRPr="00966825">
              <w:t>Butley</w:t>
            </w:r>
          </w:p>
        </w:tc>
        <w:tc>
          <w:tcPr>
            <w:tcW w:w="2353" w:type="dxa"/>
            <w:tcBorders>
              <w:top w:val="single" w:sz="12" w:space="0" w:color="auto"/>
              <w:right w:val="single" w:sz="12" w:space="0" w:color="auto"/>
            </w:tcBorders>
          </w:tcPr>
          <w:p w14:paraId="7B5739A5" w14:textId="77777777" w:rsidR="00A5461A" w:rsidRPr="00966825" w:rsidRDefault="00A5461A" w:rsidP="00A5461A">
            <w:pPr>
              <w:spacing w:after="0" w:line="240" w:lineRule="auto"/>
              <w:jc w:val="center"/>
            </w:pPr>
            <w:r w:rsidRPr="00966825">
              <w:t>262</w:t>
            </w:r>
          </w:p>
        </w:tc>
      </w:tr>
      <w:tr w:rsidR="00A5461A" w:rsidRPr="00966825" w14:paraId="6EC1BB4A" w14:textId="77777777" w:rsidTr="00A5461A">
        <w:tc>
          <w:tcPr>
            <w:tcW w:w="2540" w:type="dxa"/>
            <w:tcBorders>
              <w:left w:val="single" w:sz="12" w:space="0" w:color="auto"/>
            </w:tcBorders>
          </w:tcPr>
          <w:p w14:paraId="52616DE1" w14:textId="77777777" w:rsidR="00A5461A" w:rsidRPr="00966825" w:rsidRDefault="00A5461A" w:rsidP="00A5461A">
            <w:pPr>
              <w:spacing w:after="0" w:line="240" w:lineRule="auto"/>
            </w:pPr>
            <w:r w:rsidRPr="00966825">
              <w:t>Slyne with Hest</w:t>
            </w:r>
          </w:p>
        </w:tc>
        <w:tc>
          <w:tcPr>
            <w:tcW w:w="2122" w:type="dxa"/>
            <w:tcBorders>
              <w:right w:val="single" w:sz="12" w:space="0" w:color="auto"/>
            </w:tcBorders>
          </w:tcPr>
          <w:p w14:paraId="7EC128B3" w14:textId="77777777" w:rsidR="00A5461A" w:rsidRPr="00966825" w:rsidRDefault="00A5461A" w:rsidP="00A5461A">
            <w:pPr>
              <w:spacing w:after="0" w:line="240" w:lineRule="auto"/>
              <w:jc w:val="center"/>
            </w:pPr>
            <w:r w:rsidRPr="00966825">
              <w:t>155</w:t>
            </w:r>
          </w:p>
        </w:tc>
        <w:tc>
          <w:tcPr>
            <w:tcW w:w="1981" w:type="dxa"/>
            <w:tcBorders>
              <w:left w:val="single" w:sz="12" w:space="0" w:color="auto"/>
              <w:bottom w:val="single" w:sz="12" w:space="0" w:color="auto"/>
            </w:tcBorders>
          </w:tcPr>
          <w:p w14:paraId="534364AB" w14:textId="77777777" w:rsidR="00A5461A" w:rsidRPr="00966825" w:rsidRDefault="00A5461A" w:rsidP="00A5461A">
            <w:pPr>
              <w:spacing w:after="0" w:line="240" w:lineRule="auto"/>
            </w:pPr>
            <w:r w:rsidRPr="00966825">
              <w:t>Sutton</w:t>
            </w:r>
          </w:p>
        </w:tc>
        <w:tc>
          <w:tcPr>
            <w:tcW w:w="2353" w:type="dxa"/>
            <w:tcBorders>
              <w:bottom w:val="single" w:sz="12" w:space="0" w:color="auto"/>
              <w:right w:val="single" w:sz="12" w:space="0" w:color="auto"/>
            </w:tcBorders>
          </w:tcPr>
          <w:p w14:paraId="5B79E7E2" w14:textId="77777777" w:rsidR="00A5461A" w:rsidRPr="00966825" w:rsidRDefault="00A5461A" w:rsidP="00A5461A">
            <w:pPr>
              <w:spacing w:after="0" w:line="240" w:lineRule="auto"/>
              <w:jc w:val="center"/>
            </w:pPr>
            <w:r w:rsidRPr="00966825">
              <w:t>774</w:t>
            </w:r>
          </w:p>
        </w:tc>
      </w:tr>
      <w:tr w:rsidR="00A5461A" w:rsidRPr="00966825" w14:paraId="78360AE9" w14:textId="77777777" w:rsidTr="00A5461A">
        <w:tc>
          <w:tcPr>
            <w:tcW w:w="2540" w:type="dxa"/>
            <w:tcBorders>
              <w:left w:val="single" w:sz="12" w:space="0" w:color="auto"/>
            </w:tcBorders>
          </w:tcPr>
          <w:p w14:paraId="193AFF32" w14:textId="77777777" w:rsidR="00A5461A" w:rsidRPr="00966825" w:rsidRDefault="00A5461A" w:rsidP="00A5461A">
            <w:pPr>
              <w:spacing w:after="0" w:line="240" w:lineRule="auto"/>
            </w:pPr>
            <w:r w:rsidRPr="00966825">
              <w:t>Nether Kellet</w:t>
            </w:r>
          </w:p>
        </w:tc>
        <w:tc>
          <w:tcPr>
            <w:tcW w:w="2122" w:type="dxa"/>
            <w:tcBorders>
              <w:right w:val="single" w:sz="12" w:space="0" w:color="auto"/>
            </w:tcBorders>
          </w:tcPr>
          <w:p w14:paraId="075CD7A4" w14:textId="77777777" w:rsidR="00A5461A" w:rsidRPr="00966825" w:rsidRDefault="00A5461A" w:rsidP="00A5461A">
            <w:pPr>
              <w:spacing w:after="0" w:line="240" w:lineRule="auto"/>
              <w:jc w:val="center"/>
            </w:pPr>
            <w:r w:rsidRPr="00966825">
              <w:t>77</w:t>
            </w:r>
          </w:p>
        </w:tc>
        <w:tc>
          <w:tcPr>
            <w:tcW w:w="1981" w:type="dxa"/>
            <w:tcBorders>
              <w:top w:val="single" w:sz="12" w:space="0" w:color="auto"/>
              <w:left w:val="single" w:sz="12" w:space="0" w:color="auto"/>
              <w:bottom w:val="single" w:sz="12" w:space="0" w:color="auto"/>
            </w:tcBorders>
            <w:shd w:val="clear" w:color="auto" w:fill="auto"/>
          </w:tcPr>
          <w:p w14:paraId="0FC96415" w14:textId="77777777" w:rsidR="00A5461A" w:rsidRPr="00966825" w:rsidRDefault="00A5461A" w:rsidP="00A5461A">
            <w:pPr>
              <w:spacing w:after="0" w:line="240" w:lineRule="auto"/>
            </w:pPr>
            <w:r w:rsidRPr="00966825">
              <w:rPr>
                <w:b/>
                <w:bCs/>
              </w:rPr>
              <w:t>Total</w:t>
            </w:r>
          </w:p>
        </w:tc>
        <w:tc>
          <w:tcPr>
            <w:tcW w:w="2353" w:type="dxa"/>
            <w:tcBorders>
              <w:top w:val="single" w:sz="12" w:space="0" w:color="auto"/>
              <w:bottom w:val="single" w:sz="12" w:space="0" w:color="auto"/>
              <w:right w:val="single" w:sz="12" w:space="0" w:color="auto"/>
            </w:tcBorders>
            <w:shd w:val="clear" w:color="auto" w:fill="auto"/>
          </w:tcPr>
          <w:p w14:paraId="3C112144" w14:textId="77777777" w:rsidR="00A5461A" w:rsidRPr="00966825" w:rsidRDefault="00A5461A" w:rsidP="00A5461A">
            <w:pPr>
              <w:spacing w:after="0" w:line="240" w:lineRule="auto"/>
              <w:jc w:val="center"/>
              <w:rPr>
                <w:b/>
                <w:bCs/>
              </w:rPr>
            </w:pPr>
            <w:r w:rsidRPr="00966825">
              <w:rPr>
                <w:b/>
                <w:bCs/>
              </w:rPr>
              <w:t>1036</w:t>
            </w:r>
          </w:p>
        </w:tc>
      </w:tr>
      <w:tr w:rsidR="00A5461A" w:rsidRPr="00966825" w14:paraId="7DAB17AD" w14:textId="77777777" w:rsidTr="00A5461A">
        <w:tc>
          <w:tcPr>
            <w:tcW w:w="2540" w:type="dxa"/>
            <w:tcBorders>
              <w:left w:val="single" w:sz="12" w:space="0" w:color="auto"/>
              <w:bottom w:val="single" w:sz="12" w:space="0" w:color="auto"/>
            </w:tcBorders>
          </w:tcPr>
          <w:p w14:paraId="4C4D8B59" w14:textId="77777777" w:rsidR="00A5461A" w:rsidRPr="00966825" w:rsidRDefault="00A5461A" w:rsidP="00A5461A">
            <w:pPr>
              <w:spacing w:after="0" w:line="240" w:lineRule="auto"/>
            </w:pPr>
            <w:r w:rsidRPr="00966825">
              <w:t>Over Kellet</w:t>
            </w:r>
          </w:p>
        </w:tc>
        <w:tc>
          <w:tcPr>
            <w:tcW w:w="2122" w:type="dxa"/>
            <w:tcBorders>
              <w:bottom w:val="single" w:sz="12" w:space="0" w:color="auto"/>
              <w:right w:val="single" w:sz="12" w:space="0" w:color="auto"/>
            </w:tcBorders>
          </w:tcPr>
          <w:p w14:paraId="55E7B52A" w14:textId="77777777" w:rsidR="00A5461A" w:rsidRPr="00966825" w:rsidRDefault="00A5461A" w:rsidP="00A5461A">
            <w:pPr>
              <w:spacing w:after="0" w:line="240" w:lineRule="auto"/>
              <w:jc w:val="center"/>
            </w:pPr>
            <w:r w:rsidRPr="00966825">
              <w:t>288</w:t>
            </w:r>
          </w:p>
        </w:tc>
        <w:tc>
          <w:tcPr>
            <w:tcW w:w="1981" w:type="dxa"/>
            <w:tcBorders>
              <w:top w:val="single" w:sz="12" w:space="0" w:color="auto"/>
              <w:left w:val="single" w:sz="12" w:space="0" w:color="auto"/>
              <w:bottom w:val="single" w:sz="12" w:space="0" w:color="FDFDFD"/>
              <w:right w:val="single" w:sz="12" w:space="0" w:color="FDFDFD"/>
            </w:tcBorders>
            <w:shd w:val="clear" w:color="auto" w:fill="auto"/>
          </w:tcPr>
          <w:p w14:paraId="351DF250" w14:textId="77777777" w:rsidR="00A5461A" w:rsidRPr="00966825" w:rsidRDefault="00A5461A" w:rsidP="00A5461A">
            <w:pPr>
              <w:spacing w:after="0" w:line="240" w:lineRule="auto"/>
            </w:pPr>
          </w:p>
        </w:tc>
        <w:tc>
          <w:tcPr>
            <w:tcW w:w="2353" w:type="dxa"/>
            <w:tcBorders>
              <w:top w:val="single" w:sz="12" w:space="0" w:color="auto"/>
              <w:left w:val="single" w:sz="12" w:space="0" w:color="FDFDFD"/>
              <w:bottom w:val="single" w:sz="12" w:space="0" w:color="FDFDFD"/>
              <w:right w:val="single" w:sz="12" w:space="0" w:color="FDFDFD"/>
            </w:tcBorders>
            <w:shd w:val="clear" w:color="auto" w:fill="auto"/>
          </w:tcPr>
          <w:p w14:paraId="58E5A9AC" w14:textId="77777777" w:rsidR="00A5461A" w:rsidRPr="00966825" w:rsidRDefault="00A5461A" w:rsidP="00A5461A">
            <w:pPr>
              <w:spacing w:after="0" w:line="240" w:lineRule="auto"/>
            </w:pPr>
          </w:p>
        </w:tc>
      </w:tr>
      <w:tr w:rsidR="00A5461A" w:rsidRPr="00966825" w14:paraId="4B2D2F20" w14:textId="77777777" w:rsidTr="00A5461A">
        <w:tc>
          <w:tcPr>
            <w:tcW w:w="2540" w:type="dxa"/>
            <w:tcBorders>
              <w:top w:val="single" w:sz="12" w:space="0" w:color="auto"/>
              <w:left w:val="single" w:sz="12" w:space="0" w:color="auto"/>
              <w:bottom w:val="single" w:sz="12" w:space="0" w:color="auto"/>
            </w:tcBorders>
          </w:tcPr>
          <w:p w14:paraId="27B85324" w14:textId="77777777" w:rsidR="00A5461A" w:rsidRPr="00966825" w:rsidRDefault="00A5461A" w:rsidP="00A5461A">
            <w:pPr>
              <w:spacing w:after="0" w:line="240" w:lineRule="auto"/>
              <w:rPr>
                <w:b/>
                <w:bCs/>
              </w:rPr>
            </w:pPr>
            <w:r w:rsidRPr="00966825">
              <w:rPr>
                <w:b/>
                <w:bCs/>
              </w:rPr>
              <w:t>Total</w:t>
            </w:r>
          </w:p>
        </w:tc>
        <w:tc>
          <w:tcPr>
            <w:tcW w:w="2122" w:type="dxa"/>
            <w:tcBorders>
              <w:top w:val="single" w:sz="12" w:space="0" w:color="auto"/>
              <w:bottom w:val="single" w:sz="12" w:space="0" w:color="auto"/>
              <w:right w:val="single" w:sz="12" w:space="0" w:color="auto"/>
            </w:tcBorders>
          </w:tcPr>
          <w:p w14:paraId="655A5954" w14:textId="77777777" w:rsidR="00A5461A" w:rsidRPr="00966825" w:rsidRDefault="00A5461A" w:rsidP="00A5461A">
            <w:pPr>
              <w:spacing w:after="0" w:line="240" w:lineRule="auto"/>
              <w:jc w:val="center"/>
              <w:rPr>
                <w:b/>
                <w:bCs/>
              </w:rPr>
            </w:pPr>
            <w:r w:rsidRPr="00966825">
              <w:rPr>
                <w:b/>
                <w:bCs/>
              </w:rPr>
              <w:t>671</w:t>
            </w:r>
          </w:p>
        </w:tc>
        <w:tc>
          <w:tcPr>
            <w:tcW w:w="1981" w:type="dxa"/>
            <w:tcBorders>
              <w:top w:val="single" w:sz="12" w:space="0" w:color="FDFDFD"/>
              <w:left w:val="single" w:sz="12" w:space="0" w:color="auto"/>
              <w:bottom w:val="single" w:sz="12" w:space="0" w:color="FDFDFD"/>
              <w:right w:val="single" w:sz="12" w:space="0" w:color="FDFDFD"/>
            </w:tcBorders>
          </w:tcPr>
          <w:p w14:paraId="5621CFC5" w14:textId="77777777" w:rsidR="00A5461A" w:rsidRPr="00966825" w:rsidRDefault="00A5461A" w:rsidP="00A5461A">
            <w:pPr>
              <w:spacing w:after="0" w:line="240" w:lineRule="auto"/>
              <w:rPr>
                <w:b/>
                <w:bCs/>
              </w:rPr>
            </w:pPr>
          </w:p>
        </w:tc>
        <w:tc>
          <w:tcPr>
            <w:tcW w:w="2353" w:type="dxa"/>
            <w:tcBorders>
              <w:top w:val="single" w:sz="12" w:space="0" w:color="FDFDFD"/>
              <w:left w:val="single" w:sz="12" w:space="0" w:color="FDFDFD"/>
              <w:bottom w:val="single" w:sz="12" w:space="0" w:color="FDFDFD"/>
              <w:right w:val="single" w:sz="12" w:space="0" w:color="FDFDFD"/>
            </w:tcBorders>
          </w:tcPr>
          <w:p w14:paraId="6A2C93C0" w14:textId="77777777" w:rsidR="00A5461A" w:rsidRPr="00966825" w:rsidRDefault="00A5461A" w:rsidP="00A5461A">
            <w:pPr>
              <w:spacing w:after="0" w:line="240" w:lineRule="auto"/>
              <w:rPr>
                <w:b/>
                <w:bCs/>
              </w:rPr>
            </w:pPr>
          </w:p>
        </w:tc>
      </w:tr>
    </w:tbl>
    <w:p w14:paraId="1DC86B3E" w14:textId="77777777" w:rsidR="00966825" w:rsidRPr="00966825" w:rsidRDefault="00966825" w:rsidP="00966825">
      <w:pPr>
        <w:jc w:val="center"/>
      </w:pPr>
    </w:p>
    <w:p w14:paraId="79B7752D" w14:textId="77777777" w:rsidR="00A5461A" w:rsidRDefault="00A5461A" w:rsidP="00966825">
      <w:pPr>
        <w:jc w:val="center"/>
      </w:pPr>
    </w:p>
    <w:p w14:paraId="2B69C75B" w14:textId="77777777" w:rsidR="00A5461A" w:rsidRDefault="00A5461A" w:rsidP="00966825">
      <w:pPr>
        <w:jc w:val="center"/>
      </w:pPr>
    </w:p>
    <w:p w14:paraId="064055FC" w14:textId="77777777" w:rsidR="00A5461A" w:rsidRDefault="00A5461A" w:rsidP="00966825">
      <w:pPr>
        <w:jc w:val="center"/>
      </w:pPr>
    </w:p>
    <w:p w14:paraId="4C760E2B" w14:textId="77777777" w:rsidR="00A5461A" w:rsidRDefault="00A5461A" w:rsidP="00966825">
      <w:pPr>
        <w:jc w:val="center"/>
      </w:pPr>
    </w:p>
    <w:p w14:paraId="2CC6FEB8" w14:textId="6D2F58FF" w:rsidR="00966825" w:rsidRPr="00966825" w:rsidRDefault="00966825" w:rsidP="00966825">
      <w:pPr>
        <w:jc w:val="center"/>
      </w:pPr>
      <w:r w:rsidRPr="00966825">
        <w:t>Table 5 – Population estimates for Bolton-le-Sands and Prestbury parish townships based on 1664 hearth tax data.</w:t>
      </w:r>
    </w:p>
    <w:p w14:paraId="6926A079" w14:textId="77777777" w:rsidR="00966825" w:rsidRPr="00966825" w:rsidRDefault="00966825" w:rsidP="00966825"/>
    <w:p w14:paraId="09E734AD" w14:textId="77777777" w:rsidR="00966825" w:rsidRPr="00966825" w:rsidRDefault="00966825" w:rsidP="00966825">
      <w:r w:rsidRPr="00966825">
        <w:br w:type="page"/>
      </w:r>
    </w:p>
    <w:tbl>
      <w:tblPr>
        <w:tblStyle w:val="TableGrid3"/>
        <w:tblpPr w:leftFromText="180" w:rightFromText="180" w:horzAnchor="margin" w:tblpY="2325"/>
        <w:tblW w:w="0" w:type="auto"/>
        <w:tblLook w:val="04A0" w:firstRow="1" w:lastRow="0" w:firstColumn="1" w:lastColumn="0" w:noHBand="0" w:noVBand="1"/>
      </w:tblPr>
      <w:tblGrid>
        <w:gridCol w:w="2502"/>
        <w:gridCol w:w="1594"/>
        <w:gridCol w:w="1499"/>
        <w:gridCol w:w="1709"/>
        <w:gridCol w:w="1692"/>
      </w:tblGrid>
      <w:tr w:rsidR="00966825" w:rsidRPr="00966825" w14:paraId="09DFB273" w14:textId="77777777" w:rsidTr="00CC3A2F">
        <w:tc>
          <w:tcPr>
            <w:tcW w:w="2502" w:type="dxa"/>
            <w:tcBorders>
              <w:top w:val="single" w:sz="12" w:space="0" w:color="auto"/>
              <w:left w:val="single" w:sz="12" w:space="0" w:color="auto"/>
              <w:bottom w:val="single" w:sz="12" w:space="0" w:color="auto"/>
              <w:right w:val="single" w:sz="12" w:space="0" w:color="auto"/>
            </w:tcBorders>
          </w:tcPr>
          <w:p w14:paraId="05DC87D9" w14:textId="77777777" w:rsidR="00966825" w:rsidRPr="00966825" w:rsidRDefault="00966825" w:rsidP="00CC3A2F">
            <w:pPr>
              <w:spacing w:after="0" w:line="240" w:lineRule="auto"/>
            </w:pPr>
          </w:p>
        </w:tc>
        <w:tc>
          <w:tcPr>
            <w:tcW w:w="1594" w:type="dxa"/>
            <w:tcBorders>
              <w:top w:val="single" w:sz="12" w:space="0" w:color="auto"/>
              <w:left w:val="single" w:sz="12" w:space="0" w:color="auto"/>
              <w:bottom w:val="single" w:sz="12" w:space="0" w:color="auto"/>
            </w:tcBorders>
          </w:tcPr>
          <w:p w14:paraId="78544FBE" w14:textId="77777777" w:rsidR="00966825" w:rsidRPr="00966825" w:rsidRDefault="00966825" w:rsidP="00CC3A2F">
            <w:pPr>
              <w:spacing w:after="0" w:line="240" w:lineRule="auto"/>
              <w:jc w:val="center"/>
              <w:rPr>
                <w:b/>
                <w:bCs/>
              </w:rPr>
            </w:pPr>
            <w:r w:rsidRPr="00966825">
              <w:rPr>
                <w:b/>
                <w:bCs/>
              </w:rPr>
              <w:t>Total No. of Households</w:t>
            </w:r>
          </w:p>
        </w:tc>
        <w:tc>
          <w:tcPr>
            <w:tcW w:w="1499" w:type="dxa"/>
            <w:tcBorders>
              <w:top w:val="single" w:sz="12" w:space="0" w:color="auto"/>
              <w:bottom w:val="single" w:sz="12" w:space="0" w:color="auto"/>
            </w:tcBorders>
          </w:tcPr>
          <w:p w14:paraId="558429E7" w14:textId="77777777" w:rsidR="00966825" w:rsidRPr="00966825" w:rsidRDefault="00966825" w:rsidP="00CC3A2F">
            <w:pPr>
              <w:spacing w:after="0" w:line="240" w:lineRule="auto"/>
              <w:jc w:val="center"/>
              <w:rPr>
                <w:b/>
                <w:bCs/>
              </w:rPr>
            </w:pPr>
            <w:r w:rsidRPr="00966825">
              <w:rPr>
                <w:b/>
                <w:bCs/>
              </w:rPr>
              <w:t>No. of Taxed Households</w:t>
            </w:r>
          </w:p>
        </w:tc>
        <w:tc>
          <w:tcPr>
            <w:tcW w:w="1709" w:type="dxa"/>
            <w:tcBorders>
              <w:top w:val="single" w:sz="12" w:space="0" w:color="auto"/>
              <w:bottom w:val="single" w:sz="12" w:space="0" w:color="auto"/>
            </w:tcBorders>
          </w:tcPr>
          <w:p w14:paraId="4A4862C0" w14:textId="77777777" w:rsidR="00966825" w:rsidRPr="00966825" w:rsidRDefault="00966825" w:rsidP="00CC3A2F">
            <w:pPr>
              <w:spacing w:after="0" w:line="240" w:lineRule="auto"/>
              <w:jc w:val="center"/>
              <w:rPr>
                <w:b/>
                <w:bCs/>
              </w:rPr>
            </w:pPr>
            <w:r w:rsidRPr="00966825">
              <w:rPr>
                <w:b/>
                <w:bCs/>
              </w:rPr>
              <w:t>No. of Untaxed Households</w:t>
            </w:r>
          </w:p>
        </w:tc>
        <w:tc>
          <w:tcPr>
            <w:tcW w:w="1692" w:type="dxa"/>
            <w:tcBorders>
              <w:top w:val="single" w:sz="12" w:space="0" w:color="auto"/>
              <w:bottom w:val="single" w:sz="12" w:space="0" w:color="auto"/>
              <w:right w:val="single" w:sz="12" w:space="0" w:color="auto"/>
            </w:tcBorders>
          </w:tcPr>
          <w:p w14:paraId="560145CD" w14:textId="77777777" w:rsidR="00966825" w:rsidRPr="00966825" w:rsidRDefault="00966825" w:rsidP="00CC3A2F">
            <w:pPr>
              <w:spacing w:after="0" w:line="240" w:lineRule="auto"/>
              <w:jc w:val="center"/>
              <w:rPr>
                <w:b/>
                <w:bCs/>
              </w:rPr>
            </w:pPr>
            <w:r w:rsidRPr="00966825">
              <w:rPr>
                <w:b/>
                <w:bCs/>
              </w:rPr>
              <w:t>Percentage of Untaxed Households</w:t>
            </w:r>
          </w:p>
        </w:tc>
      </w:tr>
      <w:tr w:rsidR="00966825" w:rsidRPr="00966825" w14:paraId="3449351F" w14:textId="77777777" w:rsidTr="00CC3A2F">
        <w:tc>
          <w:tcPr>
            <w:tcW w:w="2502" w:type="dxa"/>
            <w:tcBorders>
              <w:top w:val="single" w:sz="12" w:space="0" w:color="auto"/>
              <w:left w:val="single" w:sz="12" w:space="0" w:color="auto"/>
              <w:bottom w:val="single" w:sz="2" w:space="0" w:color="000000"/>
              <w:right w:val="single" w:sz="12" w:space="0" w:color="auto"/>
            </w:tcBorders>
          </w:tcPr>
          <w:p w14:paraId="65CDAB9C" w14:textId="77777777" w:rsidR="00966825" w:rsidRPr="00966825" w:rsidRDefault="00966825" w:rsidP="00CC3A2F">
            <w:pPr>
              <w:spacing w:after="0" w:line="240" w:lineRule="auto"/>
              <w:rPr>
                <w:b/>
                <w:bCs/>
              </w:rPr>
            </w:pPr>
            <w:r w:rsidRPr="00966825">
              <w:rPr>
                <w:b/>
                <w:bCs/>
              </w:rPr>
              <w:t>Townships within Bolton-le-Sands Parish</w:t>
            </w:r>
          </w:p>
        </w:tc>
        <w:tc>
          <w:tcPr>
            <w:tcW w:w="6494" w:type="dxa"/>
            <w:gridSpan w:val="4"/>
            <w:tcBorders>
              <w:top w:val="single" w:sz="12" w:space="0" w:color="auto"/>
              <w:left w:val="single" w:sz="12" w:space="0" w:color="auto"/>
              <w:bottom w:val="single" w:sz="2" w:space="0" w:color="000000"/>
              <w:right w:val="single" w:sz="12" w:space="0" w:color="auto"/>
            </w:tcBorders>
          </w:tcPr>
          <w:p w14:paraId="1E3D649A" w14:textId="77777777" w:rsidR="00966825" w:rsidRPr="00966825" w:rsidRDefault="00966825" w:rsidP="00CC3A2F">
            <w:pPr>
              <w:spacing w:after="0" w:line="240" w:lineRule="auto"/>
              <w:rPr>
                <w:b/>
                <w:bCs/>
              </w:rPr>
            </w:pPr>
          </w:p>
        </w:tc>
      </w:tr>
      <w:tr w:rsidR="00966825" w:rsidRPr="00966825" w14:paraId="6527EAC5" w14:textId="77777777" w:rsidTr="00CC3A2F">
        <w:tc>
          <w:tcPr>
            <w:tcW w:w="2502" w:type="dxa"/>
            <w:tcBorders>
              <w:top w:val="single" w:sz="2" w:space="0" w:color="000000"/>
              <w:left w:val="single" w:sz="12" w:space="0" w:color="auto"/>
              <w:right w:val="single" w:sz="12" w:space="0" w:color="auto"/>
            </w:tcBorders>
          </w:tcPr>
          <w:p w14:paraId="7787C38B" w14:textId="77777777" w:rsidR="00966825" w:rsidRPr="00966825" w:rsidRDefault="00966825" w:rsidP="00CC3A2F">
            <w:pPr>
              <w:spacing w:after="0" w:line="240" w:lineRule="auto"/>
            </w:pPr>
            <w:r w:rsidRPr="00966825">
              <w:t xml:space="preserve">     Bolton-le-Sands</w:t>
            </w:r>
          </w:p>
        </w:tc>
        <w:tc>
          <w:tcPr>
            <w:tcW w:w="1594" w:type="dxa"/>
            <w:tcBorders>
              <w:top w:val="single" w:sz="2" w:space="0" w:color="000000"/>
              <w:left w:val="single" w:sz="12" w:space="0" w:color="auto"/>
            </w:tcBorders>
          </w:tcPr>
          <w:p w14:paraId="2E65B12B" w14:textId="77777777" w:rsidR="00966825" w:rsidRPr="00966825" w:rsidRDefault="00966825" w:rsidP="00CC3A2F">
            <w:pPr>
              <w:spacing w:after="0" w:line="240" w:lineRule="auto"/>
              <w:jc w:val="center"/>
            </w:pPr>
            <w:r w:rsidRPr="00966825">
              <w:t>35</w:t>
            </w:r>
          </w:p>
        </w:tc>
        <w:tc>
          <w:tcPr>
            <w:tcW w:w="1499" w:type="dxa"/>
            <w:tcBorders>
              <w:top w:val="single" w:sz="2" w:space="0" w:color="000000"/>
            </w:tcBorders>
          </w:tcPr>
          <w:p w14:paraId="0E4A9A43" w14:textId="77777777" w:rsidR="00966825" w:rsidRPr="00966825" w:rsidRDefault="00966825" w:rsidP="00CC3A2F">
            <w:pPr>
              <w:spacing w:after="0" w:line="240" w:lineRule="auto"/>
              <w:jc w:val="center"/>
            </w:pPr>
            <w:r w:rsidRPr="00966825">
              <w:t>22</w:t>
            </w:r>
          </w:p>
        </w:tc>
        <w:tc>
          <w:tcPr>
            <w:tcW w:w="1709" w:type="dxa"/>
            <w:tcBorders>
              <w:top w:val="single" w:sz="2" w:space="0" w:color="000000"/>
            </w:tcBorders>
          </w:tcPr>
          <w:p w14:paraId="5F0CB56F" w14:textId="77777777" w:rsidR="00966825" w:rsidRPr="00966825" w:rsidRDefault="00966825" w:rsidP="00CC3A2F">
            <w:pPr>
              <w:spacing w:after="0" w:line="240" w:lineRule="auto"/>
              <w:jc w:val="center"/>
            </w:pPr>
            <w:r w:rsidRPr="00966825">
              <w:t>13</w:t>
            </w:r>
          </w:p>
        </w:tc>
        <w:tc>
          <w:tcPr>
            <w:tcW w:w="1692" w:type="dxa"/>
            <w:tcBorders>
              <w:top w:val="single" w:sz="2" w:space="0" w:color="000000"/>
              <w:right w:val="single" w:sz="12" w:space="0" w:color="auto"/>
            </w:tcBorders>
          </w:tcPr>
          <w:p w14:paraId="05994CE7" w14:textId="77777777" w:rsidR="00966825" w:rsidRPr="00966825" w:rsidRDefault="00966825" w:rsidP="00CC3A2F">
            <w:pPr>
              <w:spacing w:after="0" w:line="240" w:lineRule="auto"/>
              <w:jc w:val="center"/>
            </w:pPr>
            <w:r w:rsidRPr="00966825">
              <w:t>59%</w:t>
            </w:r>
          </w:p>
        </w:tc>
      </w:tr>
      <w:tr w:rsidR="00966825" w:rsidRPr="00966825" w14:paraId="7B3E01B3" w14:textId="77777777" w:rsidTr="00CC3A2F">
        <w:tc>
          <w:tcPr>
            <w:tcW w:w="2502" w:type="dxa"/>
            <w:tcBorders>
              <w:top w:val="single" w:sz="2" w:space="0" w:color="000000"/>
              <w:left w:val="single" w:sz="12" w:space="0" w:color="auto"/>
              <w:right w:val="single" w:sz="12" w:space="0" w:color="auto"/>
            </w:tcBorders>
          </w:tcPr>
          <w:p w14:paraId="476671E4" w14:textId="77777777" w:rsidR="00966825" w:rsidRPr="00966825" w:rsidRDefault="00966825" w:rsidP="00CC3A2F">
            <w:pPr>
              <w:spacing w:after="0" w:line="240" w:lineRule="auto"/>
            </w:pPr>
            <w:r w:rsidRPr="00966825">
              <w:t xml:space="preserve">     Slyne with Hest</w:t>
            </w:r>
          </w:p>
        </w:tc>
        <w:tc>
          <w:tcPr>
            <w:tcW w:w="1594" w:type="dxa"/>
            <w:tcBorders>
              <w:top w:val="single" w:sz="2" w:space="0" w:color="000000"/>
              <w:left w:val="single" w:sz="12" w:space="0" w:color="auto"/>
            </w:tcBorders>
          </w:tcPr>
          <w:p w14:paraId="402C0800" w14:textId="77777777" w:rsidR="00966825" w:rsidRPr="00966825" w:rsidRDefault="00966825" w:rsidP="00CC3A2F">
            <w:pPr>
              <w:spacing w:after="0" w:line="240" w:lineRule="auto"/>
              <w:jc w:val="center"/>
            </w:pPr>
            <w:r w:rsidRPr="00966825">
              <w:t>36</w:t>
            </w:r>
          </w:p>
        </w:tc>
        <w:tc>
          <w:tcPr>
            <w:tcW w:w="1499" w:type="dxa"/>
            <w:tcBorders>
              <w:top w:val="single" w:sz="2" w:space="0" w:color="000000"/>
            </w:tcBorders>
          </w:tcPr>
          <w:p w14:paraId="743BCF79" w14:textId="77777777" w:rsidR="00966825" w:rsidRPr="00966825" w:rsidRDefault="00966825" w:rsidP="00CC3A2F">
            <w:pPr>
              <w:spacing w:after="0" w:line="240" w:lineRule="auto"/>
              <w:jc w:val="center"/>
            </w:pPr>
            <w:r w:rsidRPr="00966825">
              <w:t>30</w:t>
            </w:r>
          </w:p>
        </w:tc>
        <w:tc>
          <w:tcPr>
            <w:tcW w:w="1709" w:type="dxa"/>
            <w:tcBorders>
              <w:top w:val="single" w:sz="2" w:space="0" w:color="000000"/>
            </w:tcBorders>
          </w:tcPr>
          <w:p w14:paraId="35934F3E" w14:textId="77777777" w:rsidR="00966825" w:rsidRPr="00966825" w:rsidRDefault="00966825" w:rsidP="00CC3A2F">
            <w:pPr>
              <w:spacing w:after="0" w:line="240" w:lineRule="auto"/>
              <w:jc w:val="center"/>
            </w:pPr>
            <w:r w:rsidRPr="00966825">
              <w:t>6</w:t>
            </w:r>
          </w:p>
        </w:tc>
        <w:tc>
          <w:tcPr>
            <w:tcW w:w="1692" w:type="dxa"/>
            <w:tcBorders>
              <w:top w:val="single" w:sz="2" w:space="0" w:color="000000"/>
              <w:right w:val="single" w:sz="12" w:space="0" w:color="auto"/>
            </w:tcBorders>
          </w:tcPr>
          <w:p w14:paraId="6F53C1C8" w14:textId="77777777" w:rsidR="00966825" w:rsidRPr="00966825" w:rsidRDefault="00966825" w:rsidP="00CC3A2F">
            <w:pPr>
              <w:spacing w:after="0" w:line="240" w:lineRule="auto"/>
              <w:jc w:val="center"/>
            </w:pPr>
            <w:r w:rsidRPr="00966825">
              <w:t>17%</w:t>
            </w:r>
          </w:p>
        </w:tc>
      </w:tr>
      <w:tr w:rsidR="00966825" w:rsidRPr="00966825" w14:paraId="14943E3D" w14:textId="77777777" w:rsidTr="00CC3A2F">
        <w:tc>
          <w:tcPr>
            <w:tcW w:w="2502" w:type="dxa"/>
            <w:tcBorders>
              <w:left w:val="single" w:sz="12" w:space="0" w:color="auto"/>
              <w:right w:val="single" w:sz="12" w:space="0" w:color="auto"/>
            </w:tcBorders>
          </w:tcPr>
          <w:p w14:paraId="14D42D89" w14:textId="77777777" w:rsidR="00966825" w:rsidRPr="00966825" w:rsidRDefault="00966825" w:rsidP="00CC3A2F">
            <w:pPr>
              <w:spacing w:after="0" w:line="240" w:lineRule="auto"/>
            </w:pPr>
            <w:r w:rsidRPr="00966825">
              <w:t xml:space="preserve">     Nether Kellet</w:t>
            </w:r>
          </w:p>
        </w:tc>
        <w:tc>
          <w:tcPr>
            <w:tcW w:w="1594" w:type="dxa"/>
            <w:tcBorders>
              <w:left w:val="single" w:sz="12" w:space="0" w:color="auto"/>
            </w:tcBorders>
          </w:tcPr>
          <w:p w14:paraId="2AE39DD6" w14:textId="77777777" w:rsidR="00966825" w:rsidRPr="00966825" w:rsidRDefault="00966825" w:rsidP="00CC3A2F">
            <w:pPr>
              <w:spacing w:after="0" w:line="240" w:lineRule="auto"/>
              <w:jc w:val="center"/>
            </w:pPr>
            <w:r w:rsidRPr="00966825">
              <w:t>18</w:t>
            </w:r>
          </w:p>
        </w:tc>
        <w:tc>
          <w:tcPr>
            <w:tcW w:w="1499" w:type="dxa"/>
          </w:tcPr>
          <w:p w14:paraId="792AF600" w14:textId="77777777" w:rsidR="00966825" w:rsidRPr="00966825" w:rsidRDefault="00966825" w:rsidP="00CC3A2F">
            <w:pPr>
              <w:spacing w:after="0" w:line="240" w:lineRule="auto"/>
              <w:jc w:val="center"/>
            </w:pPr>
            <w:r w:rsidRPr="00966825">
              <w:t>9</w:t>
            </w:r>
          </w:p>
        </w:tc>
        <w:tc>
          <w:tcPr>
            <w:tcW w:w="1709" w:type="dxa"/>
          </w:tcPr>
          <w:p w14:paraId="002C6759" w14:textId="77777777" w:rsidR="00966825" w:rsidRPr="00966825" w:rsidRDefault="00966825" w:rsidP="00CC3A2F">
            <w:pPr>
              <w:spacing w:after="0" w:line="240" w:lineRule="auto"/>
              <w:jc w:val="center"/>
            </w:pPr>
            <w:r w:rsidRPr="00966825">
              <w:t>9</w:t>
            </w:r>
          </w:p>
        </w:tc>
        <w:tc>
          <w:tcPr>
            <w:tcW w:w="1692" w:type="dxa"/>
            <w:tcBorders>
              <w:right w:val="single" w:sz="12" w:space="0" w:color="auto"/>
            </w:tcBorders>
          </w:tcPr>
          <w:p w14:paraId="428572DC" w14:textId="77777777" w:rsidR="00966825" w:rsidRPr="00966825" w:rsidRDefault="00966825" w:rsidP="00CC3A2F">
            <w:pPr>
              <w:spacing w:after="0" w:line="240" w:lineRule="auto"/>
              <w:jc w:val="center"/>
            </w:pPr>
            <w:r w:rsidRPr="00966825">
              <w:t>50%</w:t>
            </w:r>
          </w:p>
        </w:tc>
      </w:tr>
      <w:tr w:rsidR="00966825" w:rsidRPr="00966825" w14:paraId="3989416C" w14:textId="77777777" w:rsidTr="00CC3A2F">
        <w:tc>
          <w:tcPr>
            <w:tcW w:w="2502" w:type="dxa"/>
            <w:tcBorders>
              <w:left w:val="single" w:sz="12" w:space="0" w:color="auto"/>
              <w:right w:val="single" w:sz="12" w:space="0" w:color="auto"/>
            </w:tcBorders>
          </w:tcPr>
          <w:p w14:paraId="162463A2" w14:textId="77777777" w:rsidR="00966825" w:rsidRPr="00966825" w:rsidRDefault="00966825" w:rsidP="00CC3A2F">
            <w:pPr>
              <w:spacing w:after="0" w:line="240" w:lineRule="auto"/>
            </w:pPr>
            <w:r w:rsidRPr="00966825">
              <w:t xml:space="preserve">     Over Kellet</w:t>
            </w:r>
          </w:p>
        </w:tc>
        <w:tc>
          <w:tcPr>
            <w:tcW w:w="1594" w:type="dxa"/>
            <w:tcBorders>
              <w:left w:val="single" w:sz="12" w:space="0" w:color="auto"/>
            </w:tcBorders>
          </w:tcPr>
          <w:p w14:paraId="0D0EFD8B" w14:textId="77777777" w:rsidR="00966825" w:rsidRPr="00966825" w:rsidRDefault="00966825" w:rsidP="00CC3A2F">
            <w:pPr>
              <w:spacing w:after="0" w:line="240" w:lineRule="auto"/>
              <w:jc w:val="center"/>
            </w:pPr>
            <w:r w:rsidRPr="00966825">
              <w:t>67</w:t>
            </w:r>
          </w:p>
        </w:tc>
        <w:tc>
          <w:tcPr>
            <w:tcW w:w="1499" w:type="dxa"/>
          </w:tcPr>
          <w:p w14:paraId="1321801C" w14:textId="77777777" w:rsidR="00966825" w:rsidRPr="00966825" w:rsidRDefault="00966825" w:rsidP="00CC3A2F">
            <w:pPr>
              <w:spacing w:after="0" w:line="240" w:lineRule="auto"/>
              <w:jc w:val="center"/>
            </w:pPr>
            <w:r w:rsidRPr="00966825">
              <w:t>57</w:t>
            </w:r>
          </w:p>
        </w:tc>
        <w:tc>
          <w:tcPr>
            <w:tcW w:w="1709" w:type="dxa"/>
          </w:tcPr>
          <w:p w14:paraId="073C7802" w14:textId="77777777" w:rsidR="00966825" w:rsidRPr="00966825" w:rsidRDefault="00966825" w:rsidP="00CC3A2F">
            <w:pPr>
              <w:spacing w:after="0" w:line="240" w:lineRule="auto"/>
              <w:jc w:val="center"/>
            </w:pPr>
            <w:r w:rsidRPr="00966825">
              <w:t>10</w:t>
            </w:r>
          </w:p>
        </w:tc>
        <w:tc>
          <w:tcPr>
            <w:tcW w:w="1692" w:type="dxa"/>
            <w:tcBorders>
              <w:right w:val="single" w:sz="12" w:space="0" w:color="auto"/>
            </w:tcBorders>
          </w:tcPr>
          <w:p w14:paraId="35D4A34B" w14:textId="77777777" w:rsidR="00966825" w:rsidRPr="00966825" w:rsidRDefault="00966825" w:rsidP="00CC3A2F">
            <w:pPr>
              <w:spacing w:after="0" w:line="240" w:lineRule="auto"/>
              <w:jc w:val="center"/>
            </w:pPr>
            <w:r w:rsidRPr="00966825">
              <w:t>18%</w:t>
            </w:r>
          </w:p>
        </w:tc>
      </w:tr>
      <w:tr w:rsidR="00966825" w:rsidRPr="00966825" w14:paraId="326E6E09" w14:textId="77777777" w:rsidTr="00CC3A2F">
        <w:tc>
          <w:tcPr>
            <w:tcW w:w="2502" w:type="dxa"/>
            <w:tcBorders>
              <w:left w:val="single" w:sz="12" w:space="0" w:color="auto"/>
              <w:bottom w:val="single" w:sz="12" w:space="0" w:color="auto"/>
              <w:right w:val="single" w:sz="12" w:space="0" w:color="auto"/>
            </w:tcBorders>
          </w:tcPr>
          <w:p w14:paraId="619FA985" w14:textId="77777777" w:rsidR="00966825" w:rsidRPr="00966825" w:rsidRDefault="00966825" w:rsidP="00CC3A2F">
            <w:pPr>
              <w:spacing w:after="0" w:line="240" w:lineRule="auto"/>
              <w:rPr>
                <w:b/>
                <w:bCs/>
              </w:rPr>
            </w:pPr>
            <w:r w:rsidRPr="00966825">
              <w:rPr>
                <w:b/>
                <w:bCs/>
              </w:rPr>
              <w:t>Total</w:t>
            </w:r>
          </w:p>
        </w:tc>
        <w:tc>
          <w:tcPr>
            <w:tcW w:w="1594" w:type="dxa"/>
            <w:tcBorders>
              <w:left w:val="single" w:sz="12" w:space="0" w:color="auto"/>
              <w:bottom w:val="single" w:sz="12" w:space="0" w:color="auto"/>
            </w:tcBorders>
          </w:tcPr>
          <w:p w14:paraId="453732A0" w14:textId="77777777" w:rsidR="00966825" w:rsidRPr="00966825" w:rsidRDefault="00966825" w:rsidP="00CC3A2F">
            <w:pPr>
              <w:spacing w:after="0" w:line="240" w:lineRule="auto"/>
              <w:jc w:val="center"/>
              <w:rPr>
                <w:b/>
                <w:bCs/>
              </w:rPr>
            </w:pPr>
            <w:r w:rsidRPr="00966825">
              <w:rPr>
                <w:b/>
                <w:bCs/>
              </w:rPr>
              <w:t>156</w:t>
            </w:r>
          </w:p>
        </w:tc>
        <w:tc>
          <w:tcPr>
            <w:tcW w:w="1499" w:type="dxa"/>
            <w:tcBorders>
              <w:bottom w:val="single" w:sz="12" w:space="0" w:color="auto"/>
            </w:tcBorders>
          </w:tcPr>
          <w:p w14:paraId="719DFFC2" w14:textId="77777777" w:rsidR="00966825" w:rsidRPr="00966825" w:rsidRDefault="00966825" w:rsidP="00CC3A2F">
            <w:pPr>
              <w:spacing w:after="0" w:line="240" w:lineRule="auto"/>
              <w:jc w:val="center"/>
              <w:rPr>
                <w:b/>
                <w:bCs/>
              </w:rPr>
            </w:pPr>
            <w:r w:rsidRPr="00966825">
              <w:rPr>
                <w:b/>
                <w:bCs/>
              </w:rPr>
              <w:t>118</w:t>
            </w:r>
          </w:p>
        </w:tc>
        <w:tc>
          <w:tcPr>
            <w:tcW w:w="1709" w:type="dxa"/>
            <w:tcBorders>
              <w:bottom w:val="single" w:sz="12" w:space="0" w:color="auto"/>
            </w:tcBorders>
          </w:tcPr>
          <w:p w14:paraId="5569BB4C" w14:textId="77777777" w:rsidR="00966825" w:rsidRPr="00966825" w:rsidRDefault="00966825" w:rsidP="00CC3A2F">
            <w:pPr>
              <w:spacing w:after="0" w:line="240" w:lineRule="auto"/>
              <w:jc w:val="center"/>
              <w:rPr>
                <w:b/>
                <w:bCs/>
              </w:rPr>
            </w:pPr>
            <w:r w:rsidRPr="00966825">
              <w:rPr>
                <w:b/>
                <w:bCs/>
              </w:rPr>
              <w:t>38</w:t>
            </w:r>
          </w:p>
        </w:tc>
        <w:tc>
          <w:tcPr>
            <w:tcW w:w="1692" w:type="dxa"/>
            <w:tcBorders>
              <w:bottom w:val="single" w:sz="12" w:space="0" w:color="auto"/>
              <w:right w:val="single" w:sz="12" w:space="0" w:color="auto"/>
            </w:tcBorders>
          </w:tcPr>
          <w:p w14:paraId="54433C55" w14:textId="77777777" w:rsidR="00966825" w:rsidRPr="00966825" w:rsidRDefault="00966825" w:rsidP="00CC3A2F">
            <w:pPr>
              <w:spacing w:after="0" w:line="240" w:lineRule="auto"/>
              <w:jc w:val="center"/>
              <w:rPr>
                <w:b/>
                <w:bCs/>
              </w:rPr>
            </w:pPr>
            <w:r w:rsidRPr="00966825">
              <w:rPr>
                <w:b/>
                <w:bCs/>
              </w:rPr>
              <w:t>24%</w:t>
            </w:r>
          </w:p>
        </w:tc>
      </w:tr>
      <w:tr w:rsidR="00966825" w:rsidRPr="00966825" w14:paraId="7F2037CF" w14:textId="77777777" w:rsidTr="00CC3A2F">
        <w:tc>
          <w:tcPr>
            <w:tcW w:w="2502" w:type="dxa"/>
            <w:tcBorders>
              <w:left w:val="single" w:sz="12" w:space="0" w:color="auto"/>
              <w:bottom w:val="single" w:sz="2" w:space="0" w:color="000000"/>
              <w:right w:val="single" w:sz="12" w:space="0" w:color="auto"/>
            </w:tcBorders>
          </w:tcPr>
          <w:p w14:paraId="51800AFD" w14:textId="77777777" w:rsidR="00966825" w:rsidRPr="00966825" w:rsidRDefault="00966825" w:rsidP="00CC3A2F">
            <w:pPr>
              <w:spacing w:after="0" w:line="240" w:lineRule="auto"/>
            </w:pPr>
            <w:r w:rsidRPr="00966825">
              <w:rPr>
                <w:b/>
                <w:bCs/>
              </w:rPr>
              <w:t>Townships within Prestbury Parish</w:t>
            </w:r>
          </w:p>
        </w:tc>
        <w:tc>
          <w:tcPr>
            <w:tcW w:w="6494" w:type="dxa"/>
            <w:gridSpan w:val="4"/>
            <w:tcBorders>
              <w:left w:val="single" w:sz="12" w:space="0" w:color="auto"/>
              <w:bottom w:val="single" w:sz="2" w:space="0" w:color="000000"/>
              <w:right w:val="single" w:sz="12" w:space="0" w:color="auto"/>
            </w:tcBorders>
          </w:tcPr>
          <w:p w14:paraId="38325CD5" w14:textId="77777777" w:rsidR="00966825" w:rsidRPr="00966825" w:rsidRDefault="00966825" w:rsidP="00CC3A2F">
            <w:pPr>
              <w:spacing w:after="0" w:line="240" w:lineRule="auto"/>
            </w:pPr>
          </w:p>
        </w:tc>
      </w:tr>
      <w:tr w:rsidR="00966825" w:rsidRPr="00966825" w14:paraId="4C71130B" w14:textId="77777777" w:rsidTr="00CC3A2F">
        <w:tc>
          <w:tcPr>
            <w:tcW w:w="2502" w:type="dxa"/>
            <w:tcBorders>
              <w:top w:val="single" w:sz="2" w:space="0" w:color="000000"/>
              <w:left w:val="single" w:sz="12" w:space="0" w:color="auto"/>
              <w:right w:val="single" w:sz="12" w:space="0" w:color="auto"/>
            </w:tcBorders>
          </w:tcPr>
          <w:p w14:paraId="1209F7A3" w14:textId="77777777" w:rsidR="00966825" w:rsidRPr="00966825" w:rsidRDefault="00966825" w:rsidP="00CC3A2F">
            <w:pPr>
              <w:spacing w:after="0" w:line="240" w:lineRule="auto"/>
            </w:pPr>
            <w:r w:rsidRPr="00966825">
              <w:t xml:space="preserve">     Butley </w:t>
            </w:r>
          </w:p>
        </w:tc>
        <w:tc>
          <w:tcPr>
            <w:tcW w:w="1594" w:type="dxa"/>
            <w:tcBorders>
              <w:top w:val="single" w:sz="2" w:space="0" w:color="000000"/>
              <w:left w:val="single" w:sz="12" w:space="0" w:color="auto"/>
            </w:tcBorders>
          </w:tcPr>
          <w:p w14:paraId="236DF05F" w14:textId="77777777" w:rsidR="00966825" w:rsidRPr="00966825" w:rsidRDefault="00966825" w:rsidP="00CC3A2F">
            <w:pPr>
              <w:spacing w:after="0" w:line="240" w:lineRule="auto"/>
              <w:jc w:val="center"/>
            </w:pPr>
            <w:r w:rsidRPr="00966825">
              <w:t>61</w:t>
            </w:r>
          </w:p>
        </w:tc>
        <w:tc>
          <w:tcPr>
            <w:tcW w:w="1499" w:type="dxa"/>
            <w:tcBorders>
              <w:top w:val="single" w:sz="2" w:space="0" w:color="000000"/>
            </w:tcBorders>
          </w:tcPr>
          <w:p w14:paraId="4BAB4347" w14:textId="77777777" w:rsidR="00966825" w:rsidRPr="00966825" w:rsidRDefault="00966825" w:rsidP="00CC3A2F">
            <w:pPr>
              <w:spacing w:after="0" w:line="240" w:lineRule="auto"/>
              <w:jc w:val="center"/>
            </w:pPr>
            <w:r w:rsidRPr="00966825">
              <w:t>50</w:t>
            </w:r>
          </w:p>
        </w:tc>
        <w:tc>
          <w:tcPr>
            <w:tcW w:w="1709" w:type="dxa"/>
            <w:tcBorders>
              <w:top w:val="single" w:sz="2" w:space="0" w:color="000000"/>
            </w:tcBorders>
          </w:tcPr>
          <w:p w14:paraId="0440E1AC" w14:textId="77777777" w:rsidR="00966825" w:rsidRPr="00966825" w:rsidRDefault="00966825" w:rsidP="00CC3A2F">
            <w:pPr>
              <w:spacing w:after="0" w:line="240" w:lineRule="auto"/>
              <w:jc w:val="center"/>
            </w:pPr>
            <w:r w:rsidRPr="00966825">
              <w:t>11</w:t>
            </w:r>
          </w:p>
        </w:tc>
        <w:tc>
          <w:tcPr>
            <w:tcW w:w="1692" w:type="dxa"/>
            <w:tcBorders>
              <w:top w:val="single" w:sz="2" w:space="0" w:color="000000"/>
              <w:right w:val="single" w:sz="12" w:space="0" w:color="auto"/>
            </w:tcBorders>
          </w:tcPr>
          <w:p w14:paraId="481E4605" w14:textId="77777777" w:rsidR="00966825" w:rsidRPr="00966825" w:rsidRDefault="00966825" w:rsidP="00CC3A2F">
            <w:pPr>
              <w:spacing w:after="0" w:line="240" w:lineRule="auto"/>
              <w:jc w:val="center"/>
            </w:pPr>
            <w:r w:rsidRPr="00966825">
              <w:t>18%</w:t>
            </w:r>
          </w:p>
        </w:tc>
      </w:tr>
      <w:tr w:rsidR="00966825" w:rsidRPr="00966825" w14:paraId="67AF5F47" w14:textId="77777777" w:rsidTr="00CC3A2F">
        <w:tc>
          <w:tcPr>
            <w:tcW w:w="2502" w:type="dxa"/>
            <w:tcBorders>
              <w:left w:val="single" w:sz="12" w:space="0" w:color="auto"/>
              <w:right w:val="single" w:sz="12" w:space="0" w:color="auto"/>
            </w:tcBorders>
          </w:tcPr>
          <w:p w14:paraId="28F4760C" w14:textId="77777777" w:rsidR="00966825" w:rsidRPr="00966825" w:rsidRDefault="00966825" w:rsidP="00CC3A2F">
            <w:pPr>
              <w:spacing w:after="0" w:line="240" w:lineRule="auto"/>
            </w:pPr>
            <w:r w:rsidRPr="00966825">
              <w:t xml:space="preserve">     Sutton</w:t>
            </w:r>
          </w:p>
        </w:tc>
        <w:tc>
          <w:tcPr>
            <w:tcW w:w="1594" w:type="dxa"/>
            <w:tcBorders>
              <w:left w:val="single" w:sz="12" w:space="0" w:color="auto"/>
            </w:tcBorders>
          </w:tcPr>
          <w:p w14:paraId="45617729" w14:textId="77777777" w:rsidR="00966825" w:rsidRPr="00966825" w:rsidRDefault="00966825" w:rsidP="00CC3A2F">
            <w:pPr>
              <w:spacing w:after="0" w:line="240" w:lineRule="auto"/>
              <w:jc w:val="center"/>
            </w:pPr>
            <w:r w:rsidRPr="00966825">
              <w:t>180</w:t>
            </w:r>
          </w:p>
        </w:tc>
        <w:tc>
          <w:tcPr>
            <w:tcW w:w="1499" w:type="dxa"/>
          </w:tcPr>
          <w:p w14:paraId="472540B4" w14:textId="77777777" w:rsidR="00966825" w:rsidRPr="00966825" w:rsidRDefault="00966825" w:rsidP="00CC3A2F">
            <w:pPr>
              <w:spacing w:after="0" w:line="240" w:lineRule="auto"/>
              <w:jc w:val="center"/>
            </w:pPr>
            <w:r w:rsidRPr="00966825">
              <w:t>138</w:t>
            </w:r>
          </w:p>
        </w:tc>
        <w:tc>
          <w:tcPr>
            <w:tcW w:w="1709" w:type="dxa"/>
          </w:tcPr>
          <w:p w14:paraId="7B3006F0" w14:textId="77777777" w:rsidR="00966825" w:rsidRPr="00966825" w:rsidRDefault="00966825" w:rsidP="00CC3A2F">
            <w:pPr>
              <w:spacing w:after="0" w:line="240" w:lineRule="auto"/>
              <w:jc w:val="center"/>
            </w:pPr>
            <w:r w:rsidRPr="00966825">
              <w:t>42</w:t>
            </w:r>
          </w:p>
        </w:tc>
        <w:tc>
          <w:tcPr>
            <w:tcW w:w="1692" w:type="dxa"/>
            <w:tcBorders>
              <w:right w:val="single" w:sz="12" w:space="0" w:color="auto"/>
            </w:tcBorders>
          </w:tcPr>
          <w:p w14:paraId="7C872550" w14:textId="77777777" w:rsidR="00966825" w:rsidRPr="00966825" w:rsidRDefault="00966825" w:rsidP="00CC3A2F">
            <w:pPr>
              <w:spacing w:after="0" w:line="240" w:lineRule="auto"/>
              <w:jc w:val="center"/>
            </w:pPr>
            <w:r w:rsidRPr="00966825">
              <w:t>23%</w:t>
            </w:r>
          </w:p>
        </w:tc>
      </w:tr>
      <w:tr w:rsidR="00966825" w:rsidRPr="00966825" w14:paraId="6F1030F9" w14:textId="77777777" w:rsidTr="00CC3A2F">
        <w:tc>
          <w:tcPr>
            <w:tcW w:w="2502" w:type="dxa"/>
            <w:tcBorders>
              <w:left w:val="single" w:sz="12" w:space="0" w:color="auto"/>
              <w:bottom w:val="single" w:sz="12" w:space="0" w:color="auto"/>
              <w:right w:val="single" w:sz="12" w:space="0" w:color="auto"/>
            </w:tcBorders>
          </w:tcPr>
          <w:p w14:paraId="4DE71251" w14:textId="77777777" w:rsidR="00966825" w:rsidRPr="00966825" w:rsidRDefault="00966825" w:rsidP="00CC3A2F">
            <w:pPr>
              <w:spacing w:after="0" w:line="240" w:lineRule="auto"/>
              <w:rPr>
                <w:b/>
                <w:bCs/>
              </w:rPr>
            </w:pPr>
            <w:r w:rsidRPr="00966825">
              <w:rPr>
                <w:b/>
                <w:bCs/>
              </w:rPr>
              <w:t>Total</w:t>
            </w:r>
          </w:p>
        </w:tc>
        <w:tc>
          <w:tcPr>
            <w:tcW w:w="1594" w:type="dxa"/>
            <w:tcBorders>
              <w:left w:val="single" w:sz="12" w:space="0" w:color="auto"/>
              <w:bottom w:val="single" w:sz="12" w:space="0" w:color="auto"/>
            </w:tcBorders>
          </w:tcPr>
          <w:p w14:paraId="34B67A01" w14:textId="77777777" w:rsidR="00966825" w:rsidRPr="00966825" w:rsidRDefault="00966825" w:rsidP="00CC3A2F">
            <w:pPr>
              <w:spacing w:after="0" w:line="240" w:lineRule="auto"/>
              <w:jc w:val="center"/>
              <w:rPr>
                <w:b/>
                <w:bCs/>
              </w:rPr>
            </w:pPr>
            <w:r w:rsidRPr="00966825">
              <w:rPr>
                <w:b/>
                <w:bCs/>
              </w:rPr>
              <w:t>241</w:t>
            </w:r>
          </w:p>
        </w:tc>
        <w:tc>
          <w:tcPr>
            <w:tcW w:w="1499" w:type="dxa"/>
            <w:tcBorders>
              <w:bottom w:val="single" w:sz="12" w:space="0" w:color="auto"/>
            </w:tcBorders>
          </w:tcPr>
          <w:p w14:paraId="57734444" w14:textId="77777777" w:rsidR="00966825" w:rsidRPr="00966825" w:rsidRDefault="00966825" w:rsidP="00CC3A2F">
            <w:pPr>
              <w:spacing w:after="0" w:line="240" w:lineRule="auto"/>
              <w:jc w:val="center"/>
              <w:rPr>
                <w:b/>
                <w:bCs/>
              </w:rPr>
            </w:pPr>
            <w:r w:rsidRPr="00966825">
              <w:rPr>
                <w:b/>
                <w:bCs/>
              </w:rPr>
              <w:t>188</w:t>
            </w:r>
          </w:p>
        </w:tc>
        <w:tc>
          <w:tcPr>
            <w:tcW w:w="1709" w:type="dxa"/>
            <w:tcBorders>
              <w:bottom w:val="single" w:sz="12" w:space="0" w:color="auto"/>
            </w:tcBorders>
          </w:tcPr>
          <w:p w14:paraId="7C0EBE9D" w14:textId="77777777" w:rsidR="00966825" w:rsidRPr="00966825" w:rsidRDefault="00966825" w:rsidP="00CC3A2F">
            <w:pPr>
              <w:spacing w:after="0" w:line="240" w:lineRule="auto"/>
              <w:jc w:val="center"/>
              <w:rPr>
                <w:b/>
                <w:bCs/>
              </w:rPr>
            </w:pPr>
            <w:r w:rsidRPr="00966825">
              <w:rPr>
                <w:b/>
                <w:bCs/>
              </w:rPr>
              <w:t>53</w:t>
            </w:r>
          </w:p>
        </w:tc>
        <w:tc>
          <w:tcPr>
            <w:tcW w:w="1692" w:type="dxa"/>
            <w:tcBorders>
              <w:bottom w:val="single" w:sz="12" w:space="0" w:color="auto"/>
              <w:right w:val="single" w:sz="12" w:space="0" w:color="auto"/>
            </w:tcBorders>
          </w:tcPr>
          <w:p w14:paraId="5CB38C0A" w14:textId="77777777" w:rsidR="00966825" w:rsidRPr="00966825" w:rsidRDefault="00966825" w:rsidP="00CC3A2F">
            <w:pPr>
              <w:spacing w:after="0" w:line="240" w:lineRule="auto"/>
              <w:jc w:val="center"/>
              <w:rPr>
                <w:b/>
                <w:bCs/>
              </w:rPr>
            </w:pPr>
            <w:r w:rsidRPr="00966825">
              <w:rPr>
                <w:b/>
                <w:bCs/>
              </w:rPr>
              <w:t>22%</w:t>
            </w:r>
          </w:p>
        </w:tc>
      </w:tr>
    </w:tbl>
    <w:p w14:paraId="5B33BC63" w14:textId="77777777" w:rsidR="00966825" w:rsidRPr="00966825" w:rsidRDefault="00966825" w:rsidP="00966825">
      <w:pPr>
        <w:jc w:val="center"/>
      </w:pPr>
    </w:p>
    <w:p w14:paraId="36659491" w14:textId="77777777" w:rsidR="00CC3A2F" w:rsidRDefault="00CC3A2F" w:rsidP="00966825">
      <w:pPr>
        <w:jc w:val="center"/>
      </w:pPr>
    </w:p>
    <w:p w14:paraId="3740820D" w14:textId="77777777" w:rsidR="00CC3A2F" w:rsidRDefault="00CC3A2F" w:rsidP="00966825">
      <w:pPr>
        <w:jc w:val="center"/>
      </w:pPr>
    </w:p>
    <w:p w14:paraId="1F4E2C4D" w14:textId="77777777" w:rsidR="00CC3A2F" w:rsidRDefault="00CC3A2F" w:rsidP="00966825">
      <w:pPr>
        <w:jc w:val="center"/>
      </w:pPr>
    </w:p>
    <w:p w14:paraId="2BE4F64B" w14:textId="77777777" w:rsidR="00CC3A2F" w:rsidRDefault="00CC3A2F" w:rsidP="00966825">
      <w:pPr>
        <w:jc w:val="center"/>
      </w:pPr>
    </w:p>
    <w:p w14:paraId="0FFCA5E9" w14:textId="77777777" w:rsidR="00CC3A2F" w:rsidRDefault="00CC3A2F" w:rsidP="00966825">
      <w:pPr>
        <w:jc w:val="center"/>
      </w:pPr>
    </w:p>
    <w:p w14:paraId="6ACF0C96" w14:textId="09C970E5" w:rsidR="00966825" w:rsidRPr="00966825" w:rsidRDefault="00966825" w:rsidP="00966825">
      <w:pPr>
        <w:jc w:val="center"/>
      </w:pPr>
      <w:r w:rsidRPr="00966825">
        <w:t>Table 6 – Number of chargeable and not-chargeable households in Bolton-le-Sands and Prestbury parish townships according to 1664 hearth tax returns.</w:t>
      </w:r>
    </w:p>
    <w:p w14:paraId="2422C28A" w14:textId="77777777" w:rsidR="00966825" w:rsidRPr="00966825" w:rsidRDefault="00966825" w:rsidP="00966825">
      <w:r w:rsidRPr="00966825">
        <w:br w:type="page"/>
      </w:r>
    </w:p>
    <w:tbl>
      <w:tblPr>
        <w:tblStyle w:val="TableGrid4"/>
        <w:tblpPr w:leftFromText="180" w:rightFromText="180" w:vertAnchor="page" w:horzAnchor="margin" w:tblpY="4456"/>
        <w:tblW w:w="0" w:type="auto"/>
        <w:tblLook w:val="04A0" w:firstRow="1" w:lastRow="0" w:firstColumn="1" w:lastColumn="0" w:noHBand="0" w:noVBand="1"/>
      </w:tblPr>
      <w:tblGrid>
        <w:gridCol w:w="1799"/>
        <w:gridCol w:w="1798"/>
        <w:gridCol w:w="1800"/>
        <w:gridCol w:w="1798"/>
        <w:gridCol w:w="1801"/>
      </w:tblGrid>
      <w:tr w:rsidR="00DF3703" w:rsidRPr="00DF3703" w14:paraId="620F40C6" w14:textId="77777777" w:rsidTr="00CC3A2F">
        <w:trPr>
          <w:trHeight w:val="396"/>
        </w:trPr>
        <w:tc>
          <w:tcPr>
            <w:tcW w:w="1799" w:type="dxa"/>
            <w:vMerge w:val="restart"/>
            <w:tcBorders>
              <w:top w:val="single" w:sz="12" w:space="0" w:color="auto"/>
              <w:left w:val="single" w:sz="12" w:space="0" w:color="auto"/>
              <w:right w:val="single" w:sz="12" w:space="0" w:color="auto"/>
            </w:tcBorders>
          </w:tcPr>
          <w:p w14:paraId="14AE4C27" w14:textId="77777777" w:rsidR="00DF3703" w:rsidRPr="00DF3703" w:rsidRDefault="00DF3703" w:rsidP="00CC3A2F">
            <w:pPr>
              <w:spacing w:after="0" w:line="240" w:lineRule="auto"/>
              <w:rPr>
                <w:b/>
                <w:bCs/>
              </w:rPr>
            </w:pPr>
          </w:p>
        </w:tc>
        <w:tc>
          <w:tcPr>
            <w:tcW w:w="3598" w:type="dxa"/>
            <w:gridSpan w:val="2"/>
            <w:tcBorders>
              <w:top w:val="single" w:sz="12" w:space="0" w:color="auto"/>
              <w:left w:val="single" w:sz="12" w:space="0" w:color="auto"/>
              <w:right w:val="single" w:sz="12" w:space="0" w:color="auto"/>
            </w:tcBorders>
          </w:tcPr>
          <w:p w14:paraId="7DAC37E6" w14:textId="77777777" w:rsidR="00DF3703" w:rsidRPr="00DF3703" w:rsidRDefault="00DF3703" w:rsidP="00CC3A2F">
            <w:pPr>
              <w:spacing w:after="0" w:line="240" w:lineRule="auto"/>
              <w:jc w:val="center"/>
              <w:rPr>
                <w:b/>
                <w:bCs/>
              </w:rPr>
            </w:pPr>
            <w:r w:rsidRPr="00DF3703">
              <w:rPr>
                <w:b/>
                <w:bCs/>
              </w:rPr>
              <w:t>Bolton-le-Sands Parish</w:t>
            </w:r>
          </w:p>
        </w:tc>
        <w:tc>
          <w:tcPr>
            <w:tcW w:w="3599" w:type="dxa"/>
            <w:gridSpan w:val="2"/>
            <w:tcBorders>
              <w:top w:val="single" w:sz="12" w:space="0" w:color="auto"/>
              <w:left w:val="single" w:sz="12" w:space="0" w:color="auto"/>
              <w:right w:val="single" w:sz="12" w:space="0" w:color="auto"/>
            </w:tcBorders>
          </w:tcPr>
          <w:p w14:paraId="52E97A8C" w14:textId="77777777" w:rsidR="00DF3703" w:rsidRPr="00DF3703" w:rsidRDefault="00DF3703" w:rsidP="00CC3A2F">
            <w:pPr>
              <w:spacing w:after="0" w:line="240" w:lineRule="auto"/>
              <w:jc w:val="center"/>
              <w:rPr>
                <w:b/>
                <w:bCs/>
              </w:rPr>
            </w:pPr>
            <w:r w:rsidRPr="00DF3703">
              <w:rPr>
                <w:b/>
                <w:bCs/>
              </w:rPr>
              <w:t>Prestbury Parish</w:t>
            </w:r>
          </w:p>
        </w:tc>
      </w:tr>
      <w:tr w:rsidR="00DF3703" w:rsidRPr="00DF3703" w14:paraId="213FC5AF" w14:textId="77777777" w:rsidTr="00CC3A2F">
        <w:tc>
          <w:tcPr>
            <w:tcW w:w="1799" w:type="dxa"/>
            <w:vMerge/>
            <w:tcBorders>
              <w:left w:val="single" w:sz="12" w:space="0" w:color="auto"/>
              <w:bottom w:val="single" w:sz="12" w:space="0" w:color="auto"/>
              <w:right w:val="single" w:sz="12" w:space="0" w:color="auto"/>
            </w:tcBorders>
          </w:tcPr>
          <w:p w14:paraId="7E34C5B1" w14:textId="77777777" w:rsidR="00DF3703" w:rsidRPr="00DF3703" w:rsidRDefault="00DF3703" w:rsidP="00CC3A2F">
            <w:pPr>
              <w:spacing w:after="0" w:line="240" w:lineRule="auto"/>
              <w:rPr>
                <w:b/>
                <w:bCs/>
              </w:rPr>
            </w:pPr>
          </w:p>
        </w:tc>
        <w:tc>
          <w:tcPr>
            <w:tcW w:w="1798" w:type="dxa"/>
            <w:tcBorders>
              <w:left w:val="single" w:sz="12" w:space="0" w:color="auto"/>
              <w:bottom w:val="single" w:sz="12" w:space="0" w:color="auto"/>
            </w:tcBorders>
          </w:tcPr>
          <w:p w14:paraId="4991085E" w14:textId="77777777" w:rsidR="00DF3703" w:rsidRPr="00DF3703" w:rsidRDefault="00DF3703" w:rsidP="00CC3A2F">
            <w:pPr>
              <w:spacing w:after="0" w:line="240" w:lineRule="auto"/>
              <w:jc w:val="center"/>
              <w:rPr>
                <w:b/>
                <w:bCs/>
              </w:rPr>
            </w:pPr>
            <w:r w:rsidRPr="00DF3703">
              <w:rPr>
                <w:b/>
                <w:bCs/>
              </w:rPr>
              <w:t>Number of Houses</w:t>
            </w:r>
          </w:p>
        </w:tc>
        <w:tc>
          <w:tcPr>
            <w:tcW w:w="1800" w:type="dxa"/>
            <w:tcBorders>
              <w:bottom w:val="single" w:sz="12" w:space="0" w:color="auto"/>
              <w:right w:val="single" w:sz="12" w:space="0" w:color="auto"/>
            </w:tcBorders>
          </w:tcPr>
          <w:p w14:paraId="5BFADBBC" w14:textId="77777777" w:rsidR="00DF3703" w:rsidRPr="00DF3703" w:rsidRDefault="00DF3703" w:rsidP="00CC3A2F">
            <w:pPr>
              <w:spacing w:after="0" w:line="240" w:lineRule="auto"/>
              <w:jc w:val="center"/>
              <w:rPr>
                <w:b/>
                <w:bCs/>
              </w:rPr>
            </w:pPr>
            <w:r w:rsidRPr="00DF3703">
              <w:rPr>
                <w:b/>
                <w:bCs/>
              </w:rPr>
              <w:t>Proportion of Total</w:t>
            </w:r>
          </w:p>
        </w:tc>
        <w:tc>
          <w:tcPr>
            <w:tcW w:w="1798" w:type="dxa"/>
            <w:tcBorders>
              <w:left w:val="single" w:sz="12" w:space="0" w:color="auto"/>
              <w:bottom w:val="single" w:sz="12" w:space="0" w:color="auto"/>
            </w:tcBorders>
          </w:tcPr>
          <w:p w14:paraId="41CC901E" w14:textId="77777777" w:rsidR="00DF3703" w:rsidRPr="00DF3703" w:rsidRDefault="00DF3703" w:rsidP="00CC3A2F">
            <w:pPr>
              <w:spacing w:after="0" w:line="240" w:lineRule="auto"/>
              <w:jc w:val="center"/>
              <w:rPr>
                <w:b/>
                <w:bCs/>
              </w:rPr>
            </w:pPr>
            <w:r w:rsidRPr="00DF3703">
              <w:rPr>
                <w:b/>
                <w:bCs/>
              </w:rPr>
              <w:t>Number of Houses</w:t>
            </w:r>
          </w:p>
        </w:tc>
        <w:tc>
          <w:tcPr>
            <w:tcW w:w="1801" w:type="dxa"/>
            <w:tcBorders>
              <w:bottom w:val="single" w:sz="12" w:space="0" w:color="auto"/>
              <w:right w:val="single" w:sz="12" w:space="0" w:color="auto"/>
            </w:tcBorders>
          </w:tcPr>
          <w:p w14:paraId="5FC19A0D" w14:textId="77777777" w:rsidR="00DF3703" w:rsidRPr="00DF3703" w:rsidRDefault="00DF3703" w:rsidP="00CC3A2F">
            <w:pPr>
              <w:spacing w:after="0" w:line="240" w:lineRule="auto"/>
              <w:jc w:val="center"/>
              <w:rPr>
                <w:b/>
                <w:bCs/>
              </w:rPr>
            </w:pPr>
            <w:r w:rsidRPr="00DF3703">
              <w:rPr>
                <w:b/>
                <w:bCs/>
              </w:rPr>
              <w:t>Proportion of Total</w:t>
            </w:r>
          </w:p>
        </w:tc>
      </w:tr>
      <w:tr w:rsidR="00DF3703" w:rsidRPr="00DF3703" w14:paraId="2364F30F" w14:textId="77777777" w:rsidTr="00CC3A2F">
        <w:tc>
          <w:tcPr>
            <w:tcW w:w="1799" w:type="dxa"/>
            <w:tcBorders>
              <w:top w:val="single" w:sz="12" w:space="0" w:color="auto"/>
              <w:left w:val="single" w:sz="12" w:space="0" w:color="auto"/>
              <w:right w:val="single" w:sz="12" w:space="0" w:color="auto"/>
            </w:tcBorders>
          </w:tcPr>
          <w:p w14:paraId="268F7FB3" w14:textId="77777777" w:rsidR="00DF3703" w:rsidRPr="00DF3703" w:rsidRDefault="00DF3703" w:rsidP="00CC3A2F">
            <w:pPr>
              <w:spacing w:after="0" w:line="240" w:lineRule="auto"/>
              <w:rPr>
                <w:b/>
                <w:bCs/>
              </w:rPr>
            </w:pPr>
            <w:r w:rsidRPr="00DF3703">
              <w:rPr>
                <w:b/>
                <w:bCs/>
              </w:rPr>
              <w:t>1 hearth</w:t>
            </w:r>
          </w:p>
        </w:tc>
        <w:tc>
          <w:tcPr>
            <w:tcW w:w="1798" w:type="dxa"/>
            <w:tcBorders>
              <w:top w:val="single" w:sz="12" w:space="0" w:color="auto"/>
              <w:left w:val="single" w:sz="12" w:space="0" w:color="auto"/>
            </w:tcBorders>
          </w:tcPr>
          <w:p w14:paraId="6A22C78C" w14:textId="77777777" w:rsidR="00DF3703" w:rsidRPr="00DF3703" w:rsidRDefault="00DF3703" w:rsidP="00CC3A2F">
            <w:pPr>
              <w:spacing w:after="0" w:line="240" w:lineRule="auto"/>
              <w:jc w:val="center"/>
            </w:pPr>
            <w:r w:rsidRPr="00DF3703">
              <w:t>118</w:t>
            </w:r>
          </w:p>
        </w:tc>
        <w:tc>
          <w:tcPr>
            <w:tcW w:w="1800" w:type="dxa"/>
            <w:tcBorders>
              <w:top w:val="single" w:sz="12" w:space="0" w:color="auto"/>
              <w:right w:val="single" w:sz="12" w:space="0" w:color="auto"/>
            </w:tcBorders>
          </w:tcPr>
          <w:p w14:paraId="534E37AD" w14:textId="77777777" w:rsidR="00DF3703" w:rsidRPr="00DF3703" w:rsidRDefault="00DF3703" w:rsidP="00CC3A2F">
            <w:pPr>
              <w:spacing w:after="0" w:line="240" w:lineRule="auto"/>
              <w:jc w:val="center"/>
            </w:pPr>
            <w:r w:rsidRPr="00DF3703">
              <w:t>75.6%</w:t>
            </w:r>
          </w:p>
        </w:tc>
        <w:tc>
          <w:tcPr>
            <w:tcW w:w="1798" w:type="dxa"/>
            <w:tcBorders>
              <w:top w:val="single" w:sz="12" w:space="0" w:color="auto"/>
              <w:left w:val="single" w:sz="12" w:space="0" w:color="auto"/>
            </w:tcBorders>
          </w:tcPr>
          <w:p w14:paraId="7ABABE50" w14:textId="77777777" w:rsidR="00DF3703" w:rsidRPr="00DF3703" w:rsidRDefault="00DF3703" w:rsidP="00CC3A2F">
            <w:pPr>
              <w:spacing w:after="0" w:line="240" w:lineRule="auto"/>
              <w:jc w:val="center"/>
            </w:pPr>
            <w:r w:rsidRPr="00DF3703">
              <w:t>192</w:t>
            </w:r>
          </w:p>
        </w:tc>
        <w:tc>
          <w:tcPr>
            <w:tcW w:w="1801" w:type="dxa"/>
            <w:tcBorders>
              <w:top w:val="single" w:sz="12" w:space="0" w:color="auto"/>
              <w:right w:val="single" w:sz="12" w:space="0" w:color="auto"/>
            </w:tcBorders>
          </w:tcPr>
          <w:p w14:paraId="6923F46D" w14:textId="77777777" w:rsidR="00DF3703" w:rsidRPr="00DF3703" w:rsidRDefault="00DF3703" w:rsidP="00CC3A2F">
            <w:pPr>
              <w:spacing w:after="0" w:line="240" w:lineRule="auto"/>
              <w:jc w:val="center"/>
            </w:pPr>
            <w:r w:rsidRPr="00DF3703">
              <w:t>79.7%</w:t>
            </w:r>
          </w:p>
        </w:tc>
      </w:tr>
      <w:tr w:rsidR="00DF3703" w:rsidRPr="00DF3703" w14:paraId="0D27BF92" w14:textId="77777777" w:rsidTr="00CC3A2F">
        <w:tc>
          <w:tcPr>
            <w:tcW w:w="1799" w:type="dxa"/>
            <w:tcBorders>
              <w:left w:val="single" w:sz="12" w:space="0" w:color="auto"/>
              <w:right w:val="single" w:sz="12" w:space="0" w:color="auto"/>
            </w:tcBorders>
          </w:tcPr>
          <w:p w14:paraId="72CD4AC8" w14:textId="77777777" w:rsidR="00DF3703" w:rsidRPr="00DF3703" w:rsidRDefault="00DF3703" w:rsidP="00CC3A2F">
            <w:pPr>
              <w:spacing w:after="0" w:line="240" w:lineRule="auto"/>
              <w:rPr>
                <w:b/>
                <w:bCs/>
              </w:rPr>
            </w:pPr>
            <w:r w:rsidRPr="00DF3703">
              <w:rPr>
                <w:b/>
                <w:bCs/>
              </w:rPr>
              <w:t>2 hearths</w:t>
            </w:r>
          </w:p>
        </w:tc>
        <w:tc>
          <w:tcPr>
            <w:tcW w:w="1798" w:type="dxa"/>
            <w:tcBorders>
              <w:left w:val="single" w:sz="12" w:space="0" w:color="auto"/>
            </w:tcBorders>
          </w:tcPr>
          <w:p w14:paraId="48BACDAC" w14:textId="77777777" w:rsidR="00DF3703" w:rsidRPr="00DF3703" w:rsidRDefault="00DF3703" w:rsidP="00CC3A2F">
            <w:pPr>
              <w:spacing w:after="0" w:line="240" w:lineRule="auto"/>
              <w:jc w:val="center"/>
            </w:pPr>
            <w:r w:rsidRPr="00DF3703">
              <w:t>24</w:t>
            </w:r>
          </w:p>
        </w:tc>
        <w:tc>
          <w:tcPr>
            <w:tcW w:w="1800" w:type="dxa"/>
            <w:tcBorders>
              <w:right w:val="single" w:sz="12" w:space="0" w:color="auto"/>
            </w:tcBorders>
          </w:tcPr>
          <w:p w14:paraId="4171126E" w14:textId="77777777" w:rsidR="00DF3703" w:rsidRPr="00DF3703" w:rsidRDefault="00DF3703" w:rsidP="00CC3A2F">
            <w:pPr>
              <w:spacing w:after="0" w:line="240" w:lineRule="auto"/>
              <w:jc w:val="center"/>
            </w:pPr>
            <w:r w:rsidRPr="00DF3703">
              <w:t>15.4%</w:t>
            </w:r>
          </w:p>
        </w:tc>
        <w:tc>
          <w:tcPr>
            <w:tcW w:w="1798" w:type="dxa"/>
            <w:tcBorders>
              <w:left w:val="single" w:sz="12" w:space="0" w:color="auto"/>
            </w:tcBorders>
          </w:tcPr>
          <w:p w14:paraId="29DCE2B9" w14:textId="77777777" w:rsidR="00DF3703" w:rsidRPr="00DF3703" w:rsidRDefault="00DF3703" w:rsidP="00CC3A2F">
            <w:pPr>
              <w:spacing w:after="0" w:line="240" w:lineRule="auto"/>
              <w:jc w:val="center"/>
            </w:pPr>
            <w:r w:rsidRPr="00DF3703">
              <w:t>34</w:t>
            </w:r>
          </w:p>
        </w:tc>
        <w:tc>
          <w:tcPr>
            <w:tcW w:w="1801" w:type="dxa"/>
            <w:tcBorders>
              <w:right w:val="single" w:sz="12" w:space="0" w:color="auto"/>
            </w:tcBorders>
          </w:tcPr>
          <w:p w14:paraId="19F2A81A" w14:textId="77777777" w:rsidR="00DF3703" w:rsidRPr="00DF3703" w:rsidRDefault="00DF3703" w:rsidP="00CC3A2F">
            <w:pPr>
              <w:spacing w:after="0" w:line="240" w:lineRule="auto"/>
              <w:jc w:val="center"/>
            </w:pPr>
            <w:r w:rsidRPr="00DF3703">
              <w:t>14.1%</w:t>
            </w:r>
          </w:p>
        </w:tc>
      </w:tr>
      <w:tr w:rsidR="00DF3703" w:rsidRPr="00DF3703" w14:paraId="76347E76" w14:textId="77777777" w:rsidTr="00CC3A2F">
        <w:tc>
          <w:tcPr>
            <w:tcW w:w="1799" w:type="dxa"/>
            <w:tcBorders>
              <w:left w:val="single" w:sz="12" w:space="0" w:color="auto"/>
              <w:right w:val="single" w:sz="12" w:space="0" w:color="auto"/>
            </w:tcBorders>
          </w:tcPr>
          <w:p w14:paraId="48ECFA83" w14:textId="77777777" w:rsidR="00DF3703" w:rsidRPr="00DF3703" w:rsidRDefault="00DF3703" w:rsidP="00CC3A2F">
            <w:pPr>
              <w:spacing w:after="0" w:line="240" w:lineRule="auto"/>
              <w:rPr>
                <w:b/>
                <w:bCs/>
              </w:rPr>
            </w:pPr>
            <w:r w:rsidRPr="00DF3703">
              <w:rPr>
                <w:b/>
                <w:bCs/>
              </w:rPr>
              <w:t>3-5 hearths</w:t>
            </w:r>
          </w:p>
        </w:tc>
        <w:tc>
          <w:tcPr>
            <w:tcW w:w="1798" w:type="dxa"/>
            <w:tcBorders>
              <w:left w:val="single" w:sz="12" w:space="0" w:color="auto"/>
            </w:tcBorders>
          </w:tcPr>
          <w:p w14:paraId="46534F74" w14:textId="77777777" w:rsidR="00DF3703" w:rsidRPr="00DF3703" w:rsidRDefault="00DF3703" w:rsidP="00CC3A2F">
            <w:pPr>
              <w:spacing w:after="0" w:line="240" w:lineRule="auto"/>
              <w:jc w:val="center"/>
            </w:pPr>
            <w:r w:rsidRPr="00DF3703">
              <w:t>13</w:t>
            </w:r>
          </w:p>
        </w:tc>
        <w:tc>
          <w:tcPr>
            <w:tcW w:w="1800" w:type="dxa"/>
            <w:tcBorders>
              <w:right w:val="single" w:sz="12" w:space="0" w:color="auto"/>
            </w:tcBorders>
          </w:tcPr>
          <w:p w14:paraId="051BE325" w14:textId="77777777" w:rsidR="00DF3703" w:rsidRPr="00DF3703" w:rsidRDefault="00DF3703" w:rsidP="00CC3A2F">
            <w:pPr>
              <w:spacing w:after="0" w:line="240" w:lineRule="auto"/>
              <w:jc w:val="center"/>
            </w:pPr>
            <w:r w:rsidRPr="00DF3703">
              <w:t>8.3%</w:t>
            </w:r>
          </w:p>
        </w:tc>
        <w:tc>
          <w:tcPr>
            <w:tcW w:w="1798" w:type="dxa"/>
            <w:tcBorders>
              <w:left w:val="single" w:sz="12" w:space="0" w:color="auto"/>
            </w:tcBorders>
          </w:tcPr>
          <w:p w14:paraId="19E5B94B" w14:textId="77777777" w:rsidR="00DF3703" w:rsidRPr="00DF3703" w:rsidRDefault="00DF3703" w:rsidP="00CC3A2F">
            <w:pPr>
              <w:spacing w:after="0" w:line="240" w:lineRule="auto"/>
              <w:jc w:val="center"/>
            </w:pPr>
            <w:r w:rsidRPr="00DF3703">
              <w:t>13</w:t>
            </w:r>
          </w:p>
        </w:tc>
        <w:tc>
          <w:tcPr>
            <w:tcW w:w="1801" w:type="dxa"/>
            <w:tcBorders>
              <w:right w:val="single" w:sz="12" w:space="0" w:color="auto"/>
            </w:tcBorders>
          </w:tcPr>
          <w:p w14:paraId="1D02243A" w14:textId="77777777" w:rsidR="00DF3703" w:rsidRPr="00DF3703" w:rsidRDefault="00DF3703" w:rsidP="00CC3A2F">
            <w:pPr>
              <w:spacing w:after="0" w:line="240" w:lineRule="auto"/>
              <w:jc w:val="center"/>
            </w:pPr>
            <w:r w:rsidRPr="00DF3703">
              <w:t>5.4%</w:t>
            </w:r>
          </w:p>
        </w:tc>
      </w:tr>
      <w:tr w:rsidR="00DF3703" w:rsidRPr="00DF3703" w14:paraId="0BA8B17E" w14:textId="77777777" w:rsidTr="00CC3A2F">
        <w:tc>
          <w:tcPr>
            <w:tcW w:w="1799" w:type="dxa"/>
            <w:tcBorders>
              <w:left w:val="single" w:sz="12" w:space="0" w:color="auto"/>
              <w:right w:val="single" w:sz="12" w:space="0" w:color="auto"/>
            </w:tcBorders>
          </w:tcPr>
          <w:p w14:paraId="56E47A50" w14:textId="77777777" w:rsidR="00DF3703" w:rsidRPr="00DF3703" w:rsidRDefault="00DF3703" w:rsidP="00CC3A2F">
            <w:pPr>
              <w:spacing w:after="0" w:line="240" w:lineRule="auto"/>
              <w:rPr>
                <w:b/>
                <w:bCs/>
              </w:rPr>
            </w:pPr>
            <w:r w:rsidRPr="00DF3703">
              <w:rPr>
                <w:b/>
                <w:bCs/>
              </w:rPr>
              <w:t>6-8 hearths</w:t>
            </w:r>
          </w:p>
        </w:tc>
        <w:tc>
          <w:tcPr>
            <w:tcW w:w="1798" w:type="dxa"/>
            <w:tcBorders>
              <w:left w:val="single" w:sz="12" w:space="0" w:color="auto"/>
            </w:tcBorders>
          </w:tcPr>
          <w:p w14:paraId="16353C3C" w14:textId="77777777" w:rsidR="00DF3703" w:rsidRPr="00DF3703" w:rsidRDefault="00DF3703" w:rsidP="00CC3A2F">
            <w:pPr>
              <w:spacing w:after="0" w:line="240" w:lineRule="auto"/>
              <w:jc w:val="center"/>
            </w:pPr>
            <w:r w:rsidRPr="00DF3703">
              <w:t>1</w:t>
            </w:r>
          </w:p>
        </w:tc>
        <w:tc>
          <w:tcPr>
            <w:tcW w:w="1800" w:type="dxa"/>
            <w:tcBorders>
              <w:right w:val="single" w:sz="12" w:space="0" w:color="auto"/>
            </w:tcBorders>
          </w:tcPr>
          <w:p w14:paraId="1354963A" w14:textId="77777777" w:rsidR="00DF3703" w:rsidRPr="00DF3703" w:rsidRDefault="00DF3703" w:rsidP="00CC3A2F">
            <w:pPr>
              <w:spacing w:after="0" w:line="240" w:lineRule="auto"/>
              <w:jc w:val="center"/>
            </w:pPr>
            <w:r w:rsidRPr="00DF3703">
              <w:t>0.6%</w:t>
            </w:r>
          </w:p>
        </w:tc>
        <w:tc>
          <w:tcPr>
            <w:tcW w:w="1798" w:type="dxa"/>
            <w:tcBorders>
              <w:left w:val="single" w:sz="12" w:space="0" w:color="auto"/>
            </w:tcBorders>
          </w:tcPr>
          <w:p w14:paraId="2F13ED0A" w14:textId="77777777" w:rsidR="00DF3703" w:rsidRPr="00DF3703" w:rsidRDefault="00DF3703" w:rsidP="00CC3A2F">
            <w:pPr>
              <w:spacing w:after="0" w:line="240" w:lineRule="auto"/>
              <w:jc w:val="center"/>
            </w:pPr>
            <w:r w:rsidRPr="00DF3703">
              <w:t>1</w:t>
            </w:r>
          </w:p>
        </w:tc>
        <w:tc>
          <w:tcPr>
            <w:tcW w:w="1801" w:type="dxa"/>
            <w:tcBorders>
              <w:right w:val="single" w:sz="12" w:space="0" w:color="auto"/>
            </w:tcBorders>
          </w:tcPr>
          <w:p w14:paraId="2A79546D" w14:textId="77777777" w:rsidR="00DF3703" w:rsidRPr="00DF3703" w:rsidRDefault="00DF3703" w:rsidP="00CC3A2F">
            <w:pPr>
              <w:spacing w:after="0" w:line="240" w:lineRule="auto"/>
              <w:jc w:val="center"/>
            </w:pPr>
            <w:r w:rsidRPr="00DF3703">
              <w:t>0.4%</w:t>
            </w:r>
          </w:p>
        </w:tc>
      </w:tr>
      <w:tr w:rsidR="00DF3703" w:rsidRPr="00DF3703" w14:paraId="5A2C0A2A" w14:textId="77777777" w:rsidTr="00CC3A2F">
        <w:tc>
          <w:tcPr>
            <w:tcW w:w="1799" w:type="dxa"/>
            <w:tcBorders>
              <w:left w:val="single" w:sz="12" w:space="0" w:color="auto"/>
              <w:bottom w:val="single" w:sz="12" w:space="0" w:color="auto"/>
              <w:right w:val="single" w:sz="12" w:space="0" w:color="auto"/>
            </w:tcBorders>
          </w:tcPr>
          <w:p w14:paraId="61ADE4B8" w14:textId="77777777" w:rsidR="00DF3703" w:rsidRPr="00DF3703" w:rsidRDefault="00DF3703" w:rsidP="00CC3A2F">
            <w:pPr>
              <w:spacing w:after="0" w:line="240" w:lineRule="auto"/>
              <w:rPr>
                <w:b/>
                <w:bCs/>
              </w:rPr>
            </w:pPr>
            <w:r w:rsidRPr="00DF3703">
              <w:rPr>
                <w:b/>
                <w:bCs/>
              </w:rPr>
              <w:t>9+ hearths</w:t>
            </w:r>
          </w:p>
        </w:tc>
        <w:tc>
          <w:tcPr>
            <w:tcW w:w="1798" w:type="dxa"/>
            <w:tcBorders>
              <w:left w:val="single" w:sz="12" w:space="0" w:color="auto"/>
              <w:bottom w:val="single" w:sz="12" w:space="0" w:color="auto"/>
            </w:tcBorders>
          </w:tcPr>
          <w:p w14:paraId="672C5EA7" w14:textId="77777777" w:rsidR="00DF3703" w:rsidRPr="00DF3703" w:rsidRDefault="00DF3703" w:rsidP="00CC3A2F">
            <w:pPr>
              <w:spacing w:after="0" w:line="240" w:lineRule="auto"/>
              <w:jc w:val="center"/>
            </w:pPr>
            <w:r w:rsidRPr="00DF3703">
              <w:t>0</w:t>
            </w:r>
          </w:p>
        </w:tc>
        <w:tc>
          <w:tcPr>
            <w:tcW w:w="1800" w:type="dxa"/>
            <w:tcBorders>
              <w:bottom w:val="single" w:sz="12" w:space="0" w:color="auto"/>
              <w:right w:val="single" w:sz="12" w:space="0" w:color="auto"/>
            </w:tcBorders>
          </w:tcPr>
          <w:p w14:paraId="2C381784" w14:textId="77777777" w:rsidR="00DF3703" w:rsidRPr="00DF3703" w:rsidRDefault="00DF3703" w:rsidP="00CC3A2F">
            <w:pPr>
              <w:spacing w:after="0" w:line="240" w:lineRule="auto"/>
              <w:jc w:val="center"/>
            </w:pPr>
            <w:r w:rsidRPr="00DF3703">
              <w:t>0%</w:t>
            </w:r>
          </w:p>
        </w:tc>
        <w:tc>
          <w:tcPr>
            <w:tcW w:w="1798" w:type="dxa"/>
            <w:tcBorders>
              <w:left w:val="single" w:sz="12" w:space="0" w:color="auto"/>
              <w:bottom w:val="single" w:sz="12" w:space="0" w:color="auto"/>
            </w:tcBorders>
          </w:tcPr>
          <w:p w14:paraId="7EEAFD8A" w14:textId="77777777" w:rsidR="00DF3703" w:rsidRPr="00DF3703" w:rsidRDefault="00DF3703" w:rsidP="00CC3A2F">
            <w:pPr>
              <w:spacing w:after="0" w:line="240" w:lineRule="auto"/>
              <w:jc w:val="center"/>
            </w:pPr>
            <w:r w:rsidRPr="00DF3703">
              <w:t>1</w:t>
            </w:r>
          </w:p>
        </w:tc>
        <w:tc>
          <w:tcPr>
            <w:tcW w:w="1801" w:type="dxa"/>
            <w:tcBorders>
              <w:bottom w:val="single" w:sz="12" w:space="0" w:color="auto"/>
              <w:right w:val="single" w:sz="12" w:space="0" w:color="auto"/>
            </w:tcBorders>
          </w:tcPr>
          <w:p w14:paraId="180D8821" w14:textId="77777777" w:rsidR="00DF3703" w:rsidRPr="00DF3703" w:rsidRDefault="00DF3703" w:rsidP="00CC3A2F">
            <w:pPr>
              <w:spacing w:after="0" w:line="240" w:lineRule="auto"/>
              <w:jc w:val="center"/>
            </w:pPr>
            <w:r w:rsidRPr="00DF3703">
              <w:t>0.4%</w:t>
            </w:r>
          </w:p>
        </w:tc>
      </w:tr>
      <w:tr w:rsidR="00DF3703" w:rsidRPr="00DF3703" w14:paraId="70530211" w14:textId="77777777" w:rsidTr="00CC3A2F">
        <w:tc>
          <w:tcPr>
            <w:tcW w:w="1799" w:type="dxa"/>
            <w:tcBorders>
              <w:top w:val="single" w:sz="12" w:space="0" w:color="auto"/>
              <w:left w:val="single" w:sz="12" w:space="0" w:color="auto"/>
              <w:bottom w:val="single" w:sz="12" w:space="0" w:color="auto"/>
              <w:right w:val="single" w:sz="12" w:space="0" w:color="auto"/>
            </w:tcBorders>
          </w:tcPr>
          <w:p w14:paraId="668EE597" w14:textId="77777777" w:rsidR="00DF3703" w:rsidRPr="00DF3703" w:rsidRDefault="00DF3703" w:rsidP="00CC3A2F">
            <w:pPr>
              <w:spacing w:after="0" w:line="240" w:lineRule="auto"/>
              <w:rPr>
                <w:b/>
                <w:bCs/>
              </w:rPr>
            </w:pPr>
            <w:r w:rsidRPr="00DF3703">
              <w:rPr>
                <w:b/>
                <w:bCs/>
              </w:rPr>
              <w:t>Total</w:t>
            </w:r>
          </w:p>
        </w:tc>
        <w:tc>
          <w:tcPr>
            <w:tcW w:w="1798" w:type="dxa"/>
            <w:tcBorders>
              <w:top w:val="single" w:sz="12" w:space="0" w:color="auto"/>
              <w:left w:val="single" w:sz="12" w:space="0" w:color="auto"/>
              <w:bottom w:val="single" w:sz="12" w:space="0" w:color="auto"/>
            </w:tcBorders>
          </w:tcPr>
          <w:p w14:paraId="130AC71F" w14:textId="77777777" w:rsidR="00DF3703" w:rsidRPr="00DF3703" w:rsidRDefault="00DF3703" w:rsidP="00CC3A2F">
            <w:pPr>
              <w:spacing w:after="0" w:line="240" w:lineRule="auto"/>
              <w:jc w:val="center"/>
              <w:rPr>
                <w:b/>
                <w:bCs/>
              </w:rPr>
            </w:pPr>
            <w:r w:rsidRPr="00DF3703">
              <w:rPr>
                <w:b/>
                <w:bCs/>
              </w:rPr>
              <w:t>156</w:t>
            </w:r>
          </w:p>
        </w:tc>
        <w:tc>
          <w:tcPr>
            <w:tcW w:w="1800" w:type="dxa"/>
            <w:tcBorders>
              <w:top w:val="single" w:sz="12" w:space="0" w:color="auto"/>
              <w:bottom w:val="single" w:sz="12" w:space="0" w:color="auto"/>
              <w:right w:val="single" w:sz="12" w:space="0" w:color="auto"/>
            </w:tcBorders>
          </w:tcPr>
          <w:p w14:paraId="1F85AE01" w14:textId="77777777" w:rsidR="00DF3703" w:rsidRPr="00DF3703" w:rsidRDefault="00DF3703" w:rsidP="00CC3A2F">
            <w:pPr>
              <w:spacing w:after="0" w:line="240" w:lineRule="auto"/>
              <w:jc w:val="center"/>
              <w:rPr>
                <w:b/>
                <w:bCs/>
              </w:rPr>
            </w:pPr>
            <w:r w:rsidRPr="00DF3703">
              <w:rPr>
                <w:b/>
                <w:bCs/>
              </w:rPr>
              <w:t>99.9% (100%)</w:t>
            </w:r>
          </w:p>
        </w:tc>
        <w:tc>
          <w:tcPr>
            <w:tcW w:w="1798" w:type="dxa"/>
            <w:tcBorders>
              <w:top w:val="single" w:sz="12" w:space="0" w:color="auto"/>
              <w:left w:val="single" w:sz="12" w:space="0" w:color="auto"/>
              <w:bottom w:val="single" w:sz="12" w:space="0" w:color="auto"/>
            </w:tcBorders>
          </w:tcPr>
          <w:p w14:paraId="6671299D" w14:textId="77777777" w:rsidR="00DF3703" w:rsidRPr="00DF3703" w:rsidRDefault="00DF3703" w:rsidP="00CC3A2F">
            <w:pPr>
              <w:spacing w:after="0" w:line="240" w:lineRule="auto"/>
              <w:jc w:val="center"/>
              <w:rPr>
                <w:b/>
                <w:bCs/>
              </w:rPr>
            </w:pPr>
            <w:r w:rsidRPr="00DF3703">
              <w:rPr>
                <w:b/>
                <w:bCs/>
              </w:rPr>
              <w:t>241</w:t>
            </w:r>
          </w:p>
        </w:tc>
        <w:tc>
          <w:tcPr>
            <w:tcW w:w="1801" w:type="dxa"/>
            <w:tcBorders>
              <w:top w:val="single" w:sz="12" w:space="0" w:color="auto"/>
              <w:bottom w:val="single" w:sz="12" w:space="0" w:color="auto"/>
              <w:right w:val="single" w:sz="12" w:space="0" w:color="auto"/>
            </w:tcBorders>
          </w:tcPr>
          <w:p w14:paraId="1E56504B" w14:textId="77777777" w:rsidR="00DF3703" w:rsidRPr="00DF3703" w:rsidRDefault="00DF3703" w:rsidP="00CC3A2F">
            <w:pPr>
              <w:spacing w:after="0" w:line="240" w:lineRule="auto"/>
              <w:jc w:val="center"/>
              <w:rPr>
                <w:b/>
                <w:bCs/>
              </w:rPr>
            </w:pPr>
            <w:r w:rsidRPr="00DF3703">
              <w:rPr>
                <w:b/>
                <w:bCs/>
              </w:rPr>
              <w:t>100%</w:t>
            </w:r>
          </w:p>
        </w:tc>
      </w:tr>
    </w:tbl>
    <w:p w14:paraId="3B83488D" w14:textId="77777777" w:rsidR="00DF3703" w:rsidRPr="00DF3703" w:rsidRDefault="00DF3703" w:rsidP="00DF3703"/>
    <w:p w14:paraId="23BD4CAE" w14:textId="77777777" w:rsidR="00CC3A2F" w:rsidRDefault="00CC3A2F" w:rsidP="00DF3703">
      <w:pPr>
        <w:jc w:val="center"/>
      </w:pPr>
    </w:p>
    <w:p w14:paraId="401877B2" w14:textId="77777777" w:rsidR="00CC3A2F" w:rsidRDefault="00CC3A2F" w:rsidP="00DF3703">
      <w:pPr>
        <w:jc w:val="center"/>
      </w:pPr>
    </w:p>
    <w:p w14:paraId="7F3FE843" w14:textId="77777777" w:rsidR="00CC3A2F" w:rsidRDefault="00CC3A2F" w:rsidP="00DF3703">
      <w:pPr>
        <w:jc w:val="center"/>
      </w:pPr>
    </w:p>
    <w:p w14:paraId="0A8BD19D" w14:textId="77777777" w:rsidR="00CC3A2F" w:rsidRDefault="00CC3A2F" w:rsidP="00DF3703">
      <w:pPr>
        <w:jc w:val="center"/>
      </w:pPr>
    </w:p>
    <w:p w14:paraId="7520FDB0" w14:textId="77777777" w:rsidR="00CC3A2F" w:rsidRDefault="00CC3A2F" w:rsidP="00DF3703">
      <w:pPr>
        <w:jc w:val="center"/>
      </w:pPr>
    </w:p>
    <w:p w14:paraId="61814797" w14:textId="77777777" w:rsidR="00CC3A2F" w:rsidRDefault="00CC3A2F" w:rsidP="00DF3703">
      <w:pPr>
        <w:jc w:val="center"/>
      </w:pPr>
    </w:p>
    <w:p w14:paraId="36832529" w14:textId="0DB12FBE" w:rsidR="00DF3703" w:rsidRPr="00DF3703" w:rsidRDefault="00DF3703" w:rsidP="00DF3703">
      <w:pPr>
        <w:jc w:val="center"/>
      </w:pPr>
      <w:r w:rsidRPr="00DF3703">
        <w:t>Table 7 – Number of hearths per house in all townships considered within Bolton-le-Sands and Prestbury parish, according to 1664 hearth tax returns.</w:t>
      </w:r>
    </w:p>
    <w:p w14:paraId="60356ADD" w14:textId="77777777" w:rsidR="00DF3703" w:rsidRPr="00DF3703" w:rsidRDefault="00DF3703" w:rsidP="00DF3703">
      <w:r w:rsidRPr="00DF3703">
        <w:br w:type="page"/>
      </w:r>
    </w:p>
    <w:tbl>
      <w:tblPr>
        <w:tblStyle w:val="TableGrid4"/>
        <w:tblpPr w:leftFromText="180" w:rightFromText="180" w:vertAnchor="page" w:horzAnchor="margin" w:tblpY="3706"/>
        <w:tblW w:w="0" w:type="auto"/>
        <w:tblLook w:val="04A0" w:firstRow="1" w:lastRow="0" w:firstColumn="1" w:lastColumn="0" w:noHBand="0" w:noVBand="1"/>
      </w:tblPr>
      <w:tblGrid>
        <w:gridCol w:w="2997"/>
        <w:gridCol w:w="2999"/>
        <w:gridCol w:w="3000"/>
      </w:tblGrid>
      <w:tr w:rsidR="00DF3703" w:rsidRPr="00DF3703" w14:paraId="0816ED19" w14:textId="77777777" w:rsidTr="00CC3A2F">
        <w:tc>
          <w:tcPr>
            <w:tcW w:w="2997" w:type="dxa"/>
            <w:vMerge w:val="restart"/>
            <w:tcBorders>
              <w:top w:val="single" w:sz="12" w:space="0" w:color="auto"/>
              <w:left w:val="single" w:sz="12" w:space="0" w:color="auto"/>
              <w:right w:val="single" w:sz="12" w:space="0" w:color="auto"/>
            </w:tcBorders>
          </w:tcPr>
          <w:p w14:paraId="7C51795F" w14:textId="77777777" w:rsidR="00DF3703" w:rsidRPr="00DF3703" w:rsidRDefault="00DF3703" w:rsidP="00CC3A2F">
            <w:pPr>
              <w:spacing w:after="0" w:line="240" w:lineRule="auto"/>
            </w:pPr>
          </w:p>
        </w:tc>
        <w:tc>
          <w:tcPr>
            <w:tcW w:w="5999" w:type="dxa"/>
            <w:gridSpan w:val="2"/>
            <w:tcBorders>
              <w:top w:val="single" w:sz="12" w:space="0" w:color="auto"/>
              <w:left w:val="single" w:sz="12" w:space="0" w:color="auto"/>
              <w:right w:val="single" w:sz="12" w:space="0" w:color="auto"/>
            </w:tcBorders>
          </w:tcPr>
          <w:p w14:paraId="5CAA3097" w14:textId="77777777" w:rsidR="00DF3703" w:rsidRPr="00DF3703" w:rsidRDefault="00DF3703" w:rsidP="00CC3A2F">
            <w:pPr>
              <w:spacing w:after="0" w:line="240" w:lineRule="auto"/>
              <w:jc w:val="center"/>
              <w:rPr>
                <w:b/>
                <w:bCs/>
              </w:rPr>
            </w:pPr>
            <w:r w:rsidRPr="00DF3703">
              <w:rPr>
                <w:b/>
                <w:bCs/>
              </w:rPr>
              <w:t>Bolton-le-Sands Townships</w:t>
            </w:r>
          </w:p>
        </w:tc>
      </w:tr>
      <w:tr w:rsidR="00DF3703" w:rsidRPr="00DF3703" w14:paraId="26D553C6" w14:textId="77777777" w:rsidTr="00CC3A2F">
        <w:tc>
          <w:tcPr>
            <w:tcW w:w="2997" w:type="dxa"/>
            <w:vMerge/>
            <w:tcBorders>
              <w:left w:val="single" w:sz="12" w:space="0" w:color="auto"/>
              <w:bottom w:val="single" w:sz="12" w:space="0" w:color="auto"/>
              <w:right w:val="single" w:sz="12" w:space="0" w:color="auto"/>
            </w:tcBorders>
          </w:tcPr>
          <w:p w14:paraId="72927C32" w14:textId="77777777" w:rsidR="00DF3703" w:rsidRPr="00DF3703" w:rsidRDefault="00DF3703" w:rsidP="00CC3A2F">
            <w:pPr>
              <w:spacing w:after="0" w:line="240" w:lineRule="auto"/>
            </w:pPr>
          </w:p>
        </w:tc>
        <w:tc>
          <w:tcPr>
            <w:tcW w:w="2999" w:type="dxa"/>
            <w:tcBorders>
              <w:left w:val="single" w:sz="12" w:space="0" w:color="auto"/>
              <w:bottom w:val="single" w:sz="12" w:space="0" w:color="auto"/>
            </w:tcBorders>
          </w:tcPr>
          <w:p w14:paraId="78B37921" w14:textId="77777777" w:rsidR="00DF3703" w:rsidRPr="00DF3703" w:rsidRDefault="00DF3703" w:rsidP="00CC3A2F">
            <w:pPr>
              <w:spacing w:after="0" w:line="240" w:lineRule="auto"/>
              <w:jc w:val="center"/>
              <w:rPr>
                <w:b/>
                <w:bCs/>
              </w:rPr>
            </w:pPr>
            <w:r w:rsidRPr="00DF3703">
              <w:rPr>
                <w:b/>
                <w:bCs/>
              </w:rPr>
              <w:t>Number of Households</w:t>
            </w:r>
          </w:p>
        </w:tc>
        <w:tc>
          <w:tcPr>
            <w:tcW w:w="3000" w:type="dxa"/>
            <w:tcBorders>
              <w:bottom w:val="single" w:sz="12" w:space="0" w:color="auto"/>
              <w:right w:val="single" w:sz="12" w:space="0" w:color="auto"/>
            </w:tcBorders>
          </w:tcPr>
          <w:p w14:paraId="183AE7A5" w14:textId="77777777" w:rsidR="00DF3703" w:rsidRPr="00DF3703" w:rsidRDefault="00DF3703" w:rsidP="00CC3A2F">
            <w:pPr>
              <w:spacing w:after="0" w:line="240" w:lineRule="auto"/>
              <w:jc w:val="center"/>
              <w:rPr>
                <w:b/>
                <w:bCs/>
              </w:rPr>
            </w:pPr>
            <w:r w:rsidRPr="00DF3703">
              <w:rPr>
                <w:b/>
                <w:bCs/>
              </w:rPr>
              <w:t>Percentage of Households</w:t>
            </w:r>
          </w:p>
        </w:tc>
      </w:tr>
      <w:tr w:rsidR="00DF3703" w:rsidRPr="00DF3703" w14:paraId="5B00622D" w14:textId="77777777" w:rsidTr="00CC3A2F">
        <w:tc>
          <w:tcPr>
            <w:tcW w:w="2997" w:type="dxa"/>
            <w:tcBorders>
              <w:top w:val="single" w:sz="12" w:space="0" w:color="auto"/>
              <w:left w:val="single" w:sz="12" w:space="0" w:color="auto"/>
              <w:right w:val="single" w:sz="12" w:space="0" w:color="auto"/>
            </w:tcBorders>
          </w:tcPr>
          <w:p w14:paraId="60FB9A8F" w14:textId="77777777" w:rsidR="00DF3703" w:rsidRPr="00DF3703" w:rsidRDefault="00DF3703" w:rsidP="00CC3A2F">
            <w:pPr>
              <w:spacing w:after="0" w:line="240" w:lineRule="auto"/>
              <w:rPr>
                <w:b/>
                <w:bCs/>
              </w:rPr>
            </w:pPr>
            <w:r w:rsidRPr="00DF3703">
              <w:rPr>
                <w:b/>
                <w:bCs/>
              </w:rPr>
              <w:t>1 hearth</w:t>
            </w:r>
          </w:p>
        </w:tc>
        <w:tc>
          <w:tcPr>
            <w:tcW w:w="2999" w:type="dxa"/>
            <w:tcBorders>
              <w:top w:val="single" w:sz="12" w:space="0" w:color="auto"/>
              <w:left w:val="single" w:sz="12" w:space="0" w:color="auto"/>
            </w:tcBorders>
          </w:tcPr>
          <w:p w14:paraId="2F6552AA" w14:textId="77777777" w:rsidR="00DF3703" w:rsidRPr="00DF3703" w:rsidRDefault="00DF3703" w:rsidP="00CC3A2F">
            <w:pPr>
              <w:spacing w:after="0" w:line="240" w:lineRule="auto"/>
              <w:jc w:val="center"/>
            </w:pPr>
            <w:r w:rsidRPr="00DF3703">
              <w:t>121</w:t>
            </w:r>
          </w:p>
        </w:tc>
        <w:tc>
          <w:tcPr>
            <w:tcW w:w="3000" w:type="dxa"/>
            <w:tcBorders>
              <w:top w:val="single" w:sz="12" w:space="0" w:color="auto"/>
              <w:right w:val="single" w:sz="12" w:space="0" w:color="auto"/>
            </w:tcBorders>
          </w:tcPr>
          <w:p w14:paraId="5D21211E" w14:textId="77777777" w:rsidR="00DF3703" w:rsidRPr="00DF3703" w:rsidRDefault="00DF3703" w:rsidP="00CC3A2F">
            <w:pPr>
              <w:spacing w:after="0" w:line="240" w:lineRule="auto"/>
              <w:jc w:val="center"/>
            </w:pPr>
            <w:r w:rsidRPr="00DF3703">
              <w:t>67.2%</w:t>
            </w:r>
          </w:p>
        </w:tc>
      </w:tr>
      <w:tr w:rsidR="00DF3703" w:rsidRPr="00DF3703" w14:paraId="28850041" w14:textId="77777777" w:rsidTr="00CC3A2F">
        <w:tc>
          <w:tcPr>
            <w:tcW w:w="2997" w:type="dxa"/>
            <w:tcBorders>
              <w:left w:val="single" w:sz="12" w:space="0" w:color="auto"/>
              <w:right w:val="single" w:sz="12" w:space="0" w:color="auto"/>
            </w:tcBorders>
          </w:tcPr>
          <w:p w14:paraId="38C32FDD" w14:textId="77777777" w:rsidR="00DF3703" w:rsidRPr="00DF3703" w:rsidRDefault="00DF3703" w:rsidP="00CC3A2F">
            <w:pPr>
              <w:spacing w:after="0" w:line="240" w:lineRule="auto"/>
              <w:rPr>
                <w:b/>
                <w:bCs/>
              </w:rPr>
            </w:pPr>
            <w:r w:rsidRPr="00DF3703">
              <w:rPr>
                <w:b/>
                <w:bCs/>
              </w:rPr>
              <w:t>2 hearths</w:t>
            </w:r>
          </w:p>
        </w:tc>
        <w:tc>
          <w:tcPr>
            <w:tcW w:w="2999" w:type="dxa"/>
            <w:tcBorders>
              <w:left w:val="single" w:sz="12" w:space="0" w:color="auto"/>
            </w:tcBorders>
          </w:tcPr>
          <w:p w14:paraId="3310111F" w14:textId="77777777" w:rsidR="00DF3703" w:rsidRPr="00DF3703" w:rsidRDefault="00DF3703" w:rsidP="00CC3A2F">
            <w:pPr>
              <w:spacing w:after="0" w:line="240" w:lineRule="auto"/>
              <w:jc w:val="center"/>
            </w:pPr>
            <w:r w:rsidRPr="00DF3703">
              <w:t>42</w:t>
            </w:r>
          </w:p>
        </w:tc>
        <w:tc>
          <w:tcPr>
            <w:tcW w:w="3000" w:type="dxa"/>
            <w:tcBorders>
              <w:right w:val="single" w:sz="12" w:space="0" w:color="auto"/>
            </w:tcBorders>
          </w:tcPr>
          <w:p w14:paraId="0A6D91F4" w14:textId="77777777" w:rsidR="00DF3703" w:rsidRPr="00DF3703" w:rsidRDefault="00DF3703" w:rsidP="00CC3A2F">
            <w:pPr>
              <w:spacing w:after="0" w:line="240" w:lineRule="auto"/>
              <w:jc w:val="center"/>
            </w:pPr>
            <w:r w:rsidRPr="00DF3703">
              <w:t>23.3%</w:t>
            </w:r>
          </w:p>
        </w:tc>
      </w:tr>
      <w:tr w:rsidR="00DF3703" w:rsidRPr="00DF3703" w14:paraId="6F8A2AB9" w14:textId="77777777" w:rsidTr="00CC3A2F">
        <w:tc>
          <w:tcPr>
            <w:tcW w:w="2997" w:type="dxa"/>
            <w:tcBorders>
              <w:left w:val="single" w:sz="12" w:space="0" w:color="auto"/>
              <w:right w:val="single" w:sz="12" w:space="0" w:color="auto"/>
            </w:tcBorders>
          </w:tcPr>
          <w:p w14:paraId="11678373" w14:textId="77777777" w:rsidR="00DF3703" w:rsidRPr="00DF3703" w:rsidRDefault="00DF3703" w:rsidP="00CC3A2F">
            <w:pPr>
              <w:spacing w:after="0" w:line="240" w:lineRule="auto"/>
              <w:rPr>
                <w:b/>
                <w:bCs/>
              </w:rPr>
            </w:pPr>
            <w:r w:rsidRPr="00DF3703">
              <w:rPr>
                <w:b/>
                <w:bCs/>
              </w:rPr>
              <w:t>3-5 hearths</w:t>
            </w:r>
          </w:p>
        </w:tc>
        <w:tc>
          <w:tcPr>
            <w:tcW w:w="2999" w:type="dxa"/>
            <w:tcBorders>
              <w:left w:val="single" w:sz="12" w:space="0" w:color="auto"/>
            </w:tcBorders>
          </w:tcPr>
          <w:p w14:paraId="4B2A9158" w14:textId="77777777" w:rsidR="00DF3703" w:rsidRPr="00DF3703" w:rsidRDefault="00DF3703" w:rsidP="00CC3A2F">
            <w:pPr>
              <w:spacing w:after="0" w:line="240" w:lineRule="auto"/>
              <w:jc w:val="center"/>
            </w:pPr>
            <w:r w:rsidRPr="00DF3703">
              <w:t>15</w:t>
            </w:r>
          </w:p>
        </w:tc>
        <w:tc>
          <w:tcPr>
            <w:tcW w:w="3000" w:type="dxa"/>
            <w:tcBorders>
              <w:right w:val="single" w:sz="12" w:space="0" w:color="auto"/>
            </w:tcBorders>
          </w:tcPr>
          <w:p w14:paraId="3B16AA25" w14:textId="77777777" w:rsidR="00DF3703" w:rsidRPr="00DF3703" w:rsidRDefault="00DF3703" w:rsidP="00CC3A2F">
            <w:pPr>
              <w:spacing w:after="0" w:line="240" w:lineRule="auto"/>
              <w:jc w:val="center"/>
            </w:pPr>
            <w:r w:rsidRPr="00DF3703">
              <w:t>8.3%</w:t>
            </w:r>
          </w:p>
        </w:tc>
      </w:tr>
      <w:tr w:rsidR="00DF3703" w:rsidRPr="00DF3703" w14:paraId="43D30B9A" w14:textId="77777777" w:rsidTr="00CC3A2F">
        <w:tc>
          <w:tcPr>
            <w:tcW w:w="2997" w:type="dxa"/>
            <w:tcBorders>
              <w:left w:val="single" w:sz="12" w:space="0" w:color="auto"/>
              <w:right w:val="single" w:sz="12" w:space="0" w:color="auto"/>
            </w:tcBorders>
          </w:tcPr>
          <w:p w14:paraId="229600E2" w14:textId="77777777" w:rsidR="00DF3703" w:rsidRPr="00DF3703" w:rsidRDefault="00DF3703" w:rsidP="00CC3A2F">
            <w:pPr>
              <w:spacing w:after="0" w:line="240" w:lineRule="auto"/>
              <w:rPr>
                <w:b/>
                <w:bCs/>
              </w:rPr>
            </w:pPr>
            <w:r w:rsidRPr="00DF3703">
              <w:rPr>
                <w:b/>
                <w:bCs/>
              </w:rPr>
              <w:t>6-8 hearths</w:t>
            </w:r>
          </w:p>
        </w:tc>
        <w:tc>
          <w:tcPr>
            <w:tcW w:w="2999" w:type="dxa"/>
            <w:tcBorders>
              <w:left w:val="single" w:sz="12" w:space="0" w:color="auto"/>
            </w:tcBorders>
          </w:tcPr>
          <w:p w14:paraId="6FAC935F" w14:textId="77777777" w:rsidR="00DF3703" w:rsidRPr="00DF3703" w:rsidRDefault="00DF3703" w:rsidP="00CC3A2F">
            <w:pPr>
              <w:spacing w:after="0" w:line="240" w:lineRule="auto"/>
              <w:jc w:val="center"/>
            </w:pPr>
            <w:r w:rsidRPr="00DF3703">
              <w:t>2</w:t>
            </w:r>
          </w:p>
        </w:tc>
        <w:tc>
          <w:tcPr>
            <w:tcW w:w="3000" w:type="dxa"/>
            <w:tcBorders>
              <w:right w:val="single" w:sz="12" w:space="0" w:color="auto"/>
            </w:tcBorders>
          </w:tcPr>
          <w:p w14:paraId="4A9EA955" w14:textId="77777777" w:rsidR="00DF3703" w:rsidRPr="00DF3703" w:rsidRDefault="00DF3703" w:rsidP="00CC3A2F">
            <w:pPr>
              <w:spacing w:after="0" w:line="240" w:lineRule="auto"/>
              <w:jc w:val="center"/>
            </w:pPr>
            <w:r w:rsidRPr="00DF3703">
              <w:t>1.1%</w:t>
            </w:r>
          </w:p>
        </w:tc>
      </w:tr>
      <w:tr w:rsidR="00DF3703" w:rsidRPr="00DF3703" w14:paraId="730D3224" w14:textId="77777777" w:rsidTr="00CC3A2F">
        <w:tc>
          <w:tcPr>
            <w:tcW w:w="2997" w:type="dxa"/>
            <w:tcBorders>
              <w:left w:val="single" w:sz="12" w:space="0" w:color="auto"/>
              <w:bottom w:val="single" w:sz="12" w:space="0" w:color="auto"/>
              <w:right w:val="single" w:sz="12" w:space="0" w:color="auto"/>
            </w:tcBorders>
          </w:tcPr>
          <w:p w14:paraId="1270F81A" w14:textId="77777777" w:rsidR="00DF3703" w:rsidRPr="00DF3703" w:rsidRDefault="00DF3703" w:rsidP="00CC3A2F">
            <w:pPr>
              <w:spacing w:after="0" w:line="240" w:lineRule="auto"/>
              <w:rPr>
                <w:b/>
                <w:bCs/>
              </w:rPr>
            </w:pPr>
            <w:r w:rsidRPr="00DF3703">
              <w:rPr>
                <w:b/>
                <w:bCs/>
              </w:rPr>
              <w:t>9+ hearths</w:t>
            </w:r>
          </w:p>
        </w:tc>
        <w:tc>
          <w:tcPr>
            <w:tcW w:w="2999" w:type="dxa"/>
            <w:tcBorders>
              <w:left w:val="single" w:sz="12" w:space="0" w:color="auto"/>
              <w:bottom w:val="single" w:sz="12" w:space="0" w:color="auto"/>
            </w:tcBorders>
          </w:tcPr>
          <w:p w14:paraId="12EAB92B" w14:textId="77777777" w:rsidR="00DF3703" w:rsidRPr="00DF3703" w:rsidRDefault="00DF3703" w:rsidP="00CC3A2F">
            <w:pPr>
              <w:spacing w:after="0" w:line="240" w:lineRule="auto"/>
              <w:jc w:val="center"/>
            </w:pPr>
            <w:r w:rsidRPr="00DF3703">
              <w:t>0</w:t>
            </w:r>
          </w:p>
        </w:tc>
        <w:tc>
          <w:tcPr>
            <w:tcW w:w="3000" w:type="dxa"/>
            <w:tcBorders>
              <w:bottom w:val="single" w:sz="12" w:space="0" w:color="auto"/>
              <w:right w:val="single" w:sz="12" w:space="0" w:color="auto"/>
            </w:tcBorders>
          </w:tcPr>
          <w:p w14:paraId="51CE512E" w14:textId="77777777" w:rsidR="00DF3703" w:rsidRPr="00DF3703" w:rsidRDefault="00DF3703" w:rsidP="00CC3A2F">
            <w:pPr>
              <w:spacing w:after="0" w:line="240" w:lineRule="auto"/>
              <w:jc w:val="center"/>
            </w:pPr>
            <w:r w:rsidRPr="00DF3703">
              <w:t>0%</w:t>
            </w:r>
          </w:p>
        </w:tc>
      </w:tr>
      <w:tr w:rsidR="00DF3703" w:rsidRPr="00DF3703" w14:paraId="6E917410" w14:textId="77777777" w:rsidTr="00CC3A2F">
        <w:tc>
          <w:tcPr>
            <w:tcW w:w="2997" w:type="dxa"/>
            <w:tcBorders>
              <w:top w:val="single" w:sz="12" w:space="0" w:color="auto"/>
              <w:left w:val="single" w:sz="12" w:space="0" w:color="auto"/>
              <w:bottom w:val="single" w:sz="12" w:space="0" w:color="auto"/>
              <w:right w:val="single" w:sz="12" w:space="0" w:color="auto"/>
            </w:tcBorders>
          </w:tcPr>
          <w:p w14:paraId="5C498683" w14:textId="77777777" w:rsidR="00DF3703" w:rsidRPr="00DF3703" w:rsidRDefault="00DF3703" w:rsidP="00CC3A2F">
            <w:pPr>
              <w:spacing w:after="0" w:line="240" w:lineRule="auto"/>
              <w:rPr>
                <w:b/>
                <w:bCs/>
              </w:rPr>
            </w:pPr>
            <w:r w:rsidRPr="00DF3703">
              <w:rPr>
                <w:b/>
                <w:bCs/>
              </w:rPr>
              <w:t>Total</w:t>
            </w:r>
          </w:p>
        </w:tc>
        <w:tc>
          <w:tcPr>
            <w:tcW w:w="2999" w:type="dxa"/>
            <w:tcBorders>
              <w:top w:val="single" w:sz="12" w:space="0" w:color="auto"/>
              <w:left w:val="single" w:sz="12" w:space="0" w:color="auto"/>
              <w:bottom w:val="single" w:sz="12" w:space="0" w:color="auto"/>
            </w:tcBorders>
          </w:tcPr>
          <w:p w14:paraId="0BBA3E1D" w14:textId="77777777" w:rsidR="00DF3703" w:rsidRPr="00DF3703" w:rsidRDefault="00DF3703" w:rsidP="00CC3A2F">
            <w:pPr>
              <w:spacing w:after="0" w:line="240" w:lineRule="auto"/>
              <w:jc w:val="center"/>
            </w:pPr>
            <w:r w:rsidRPr="00DF3703">
              <w:t>180</w:t>
            </w:r>
          </w:p>
        </w:tc>
        <w:tc>
          <w:tcPr>
            <w:tcW w:w="3000" w:type="dxa"/>
            <w:tcBorders>
              <w:top w:val="single" w:sz="12" w:space="0" w:color="auto"/>
              <w:bottom w:val="single" w:sz="12" w:space="0" w:color="auto"/>
              <w:right w:val="single" w:sz="12" w:space="0" w:color="auto"/>
            </w:tcBorders>
          </w:tcPr>
          <w:p w14:paraId="02ED8EF1" w14:textId="77777777" w:rsidR="00DF3703" w:rsidRPr="00DF3703" w:rsidRDefault="00DF3703" w:rsidP="00CC3A2F">
            <w:pPr>
              <w:spacing w:after="0" w:line="240" w:lineRule="auto"/>
              <w:jc w:val="center"/>
            </w:pPr>
            <w:r w:rsidRPr="00DF3703">
              <w:t>99.9% (100%)</w:t>
            </w:r>
          </w:p>
        </w:tc>
      </w:tr>
    </w:tbl>
    <w:p w14:paraId="5D1E72B7" w14:textId="77777777" w:rsidR="00DF3703" w:rsidRPr="00DF3703" w:rsidRDefault="00DF3703" w:rsidP="00DF3703"/>
    <w:p w14:paraId="10A51AF1" w14:textId="77777777" w:rsidR="00CC3A2F" w:rsidRDefault="00CC3A2F" w:rsidP="00DF3703">
      <w:pPr>
        <w:jc w:val="center"/>
      </w:pPr>
    </w:p>
    <w:p w14:paraId="150DE774" w14:textId="77777777" w:rsidR="00CC3A2F" w:rsidRDefault="00CC3A2F" w:rsidP="00DF3703">
      <w:pPr>
        <w:jc w:val="center"/>
      </w:pPr>
    </w:p>
    <w:p w14:paraId="116BD626" w14:textId="77777777" w:rsidR="00CC3A2F" w:rsidRDefault="00CC3A2F" w:rsidP="00DF3703">
      <w:pPr>
        <w:jc w:val="center"/>
      </w:pPr>
    </w:p>
    <w:p w14:paraId="475005E4" w14:textId="77777777" w:rsidR="00CC3A2F" w:rsidRDefault="00CC3A2F" w:rsidP="00DF3703">
      <w:pPr>
        <w:jc w:val="center"/>
      </w:pPr>
    </w:p>
    <w:p w14:paraId="7423AC6C" w14:textId="63FEE22E" w:rsidR="00DF3703" w:rsidRPr="00DF3703" w:rsidRDefault="00DF3703" w:rsidP="00DF3703">
      <w:pPr>
        <w:jc w:val="center"/>
      </w:pPr>
      <w:r w:rsidRPr="00DF3703">
        <w:t>Table 8 – Number of hearths in different households presented within the 1673 hearth tax return for Lancashire.</w:t>
      </w:r>
    </w:p>
    <w:p w14:paraId="179A9230" w14:textId="77777777" w:rsidR="00DF3703" w:rsidRPr="00DF3703" w:rsidRDefault="00DF3703" w:rsidP="00DF3703">
      <w:r w:rsidRPr="00DF3703">
        <w:br w:type="page"/>
      </w:r>
    </w:p>
    <w:p w14:paraId="1FE70518" w14:textId="77777777" w:rsidR="00DF3703" w:rsidRPr="00DF3703" w:rsidRDefault="00DF3703" w:rsidP="00DF3703"/>
    <w:tbl>
      <w:tblPr>
        <w:tblStyle w:val="TableGrid4"/>
        <w:tblpPr w:leftFromText="180" w:rightFromText="180" w:horzAnchor="margin" w:tblpY="2340"/>
        <w:tblW w:w="0" w:type="auto"/>
        <w:tblLook w:val="04A0" w:firstRow="1" w:lastRow="0" w:firstColumn="1" w:lastColumn="0" w:noHBand="0" w:noVBand="1"/>
      </w:tblPr>
      <w:tblGrid>
        <w:gridCol w:w="2997"/>
        <w:gridCol w:w="2999"/>
        <w:gridCol w:w="3000"/>
      </w:tblGrid>
      <w:tr w:rsidR="00DF3703" w:rsidRPr="00DF3703" w14:paraId="13717244" w14:textId="77777777" w:rsidTr="00CC3A2F">
        <w:tc>
          <w:tcPr>
            <w:tcW w:w="2997" w:type="dxa"/>
            <w:vMerge w:val="restart"/>
            <w:tcBorders>
              <w:top w:val="single" w:sz="12" w:space="0" w:color="auto"/>
              <w:left w:val="single" w:sz="12" w:space="0" w:color="auto"/>
              <w:right w:val="single" w:sz="12" w:space="0" w:color="auto"/>
            </w:tcBorders>
          </w:tcPr>
          <w:p w14:paraId="7CBB3265" w14:textId="77777777" w:rsidR="00DF3703" w:rsidRPr="00DF3703" w:rsidRDefault="00DF3703" w:rsidP="00CC3A2F">
            <w:pPr>
              <w:spacing w:after="0" w:line="240" w:lineRule="auto"/>
            </w:pPr>
          </w:p>
        </w:tc>
        <w:tc>
          <w:tcPr>
            <w:tcW w:w="5999" w:type="dxa"/>
            <w:gridSpan w:val="2"/>
            <w:tcBorders>
              <w:top w:val="single" w:sz="12" w:space="0" w:color="auto"/>
              <w:left w:val="single" w:sz="12" w:space="0" w:color="auto"/>
              <w:right w:val="single" w:sz="12" w:space="0" w:color="auto"/>
            </w:tcBorders>
          </w:tcPr>
          <w:p w14:paraId="3489543D" w14:textId="77777777" w:rsidR="00DF3703" w:rsidRPr="00DF3703" w:rsidRDefault="00DF3703" w:rsidP="00CC3A2F">
            <w:pPr>
              <w:spacing w:after="0" w:line="240" w:lineRule="auto"/>
              <w:jc w:val="center"/>
              <w:rPr>
                <w:b/>
                <w:bCs/>
              </w:rPr>
            </w:pPr>
            <w:r w:rsidRPr="00DF3703">
              <w:rPr>
                <w:b/>
                <w:bCs/>
              </w:rPr>
              <w:t>Kettleshulme Township</w:t>
            </w:r>
          </w:p>
        </w:tc>
      </w:tr>
      <w:tr w:rsidR="00DF3703" w:rsidRPr="00DF3703" w14:paraId="7B5CDC49" w14:textId="77777777" w:rsidTr="00CC3A2F">
        <w:tc>
          <w:tcPr>
            <w:tcW w:w="2997" w:type="dxa"/>
            <w:vMerge/>
            <w:tcBorders>
              <w:left w:val="single" w:sz="12" w:space="0" w:color="auto"/>
              <w:bottom w:val="single" w:sz="12" w:space="0" w:color="auto"/>
              <w:right w:val="single" w:sz="12" w:space="0" w:color="auto"/>
            </w:tcBorders>
          </w:tcPr>
          <w:p w14:paraId="023966D6" w14:textId="77777777" w:rsidR="00DF3703" w:rsidRPr="00DF3703" w:rsidRDefault="00DF3703" w:rsidP="00CC3A2F">
            <w:pPr>
              <w:spacing w:after="0" w:line="240" w:lineRule="auto"/>
            </w:pPr>
          </w:p>
        </w:tc>
        <w:tc>
          <w:tcPr>
            <w:tcW w:w="2999" w:type="dxa"/>
            <w:tcBorders>
              <w:left w:val="single" w:sz="12" w:space="0" w:color="auto"/>
              <w:bottom w:val="single" w:sz="12" w:space="0" w:color="auto"/>
            </w:tcBorders>
          </w:tcPr>
          <w:p w14:paraId="6F2AC1D5" w14:textId="77777777" w:rsidR="00DF3703" w:rsidRPr="00DF3703" w:rsidRDefault="00DF3703" w:rsidP="00CC3A2F">
            <w:pPr>
              <w:spacing w:after="0" w:line="240" w:lineRule="auto"/>
              <w:jc w:val="center"/>
              <w:rPr>
                <w:b/>
                <w:bCs/>
              </w:rPr>
            </w:pPr>
            <w:r w:rsidRPr="00DF3703">
              <w:rPr>
                <w:b/>
                <w:bCs/>
              </w:rPr>
              <w:t>Number of Households</w:t>
            </w:r>
          </w:p>
        </w:tc>
        <w:tc>
          <w:tcPr>
            <w:tcW w:w="3000" w:type="dxa"/>
            <w:tcBorders>
              <w:bottom w:val="single" w:sz="12" w:space="0" w:color="auto"/>
              <w:right w:val="single" w:sz="12" w:space="0" w:color="auto"/>
            </w:tcBorders>
          </w:tcPr>
          <w:p w14:paraId="565AFB05" w14:textId="77777777" w:rsidR="00DF3703" w:rsidRPr="00DF3703" w:rsidRDefault="00DF3703" w:rsidP="00CC3A2F">
            <w:pPr>
              <w:spacing w:after="0" w:line="240" w:lineRule="auto"/>
              <w:jc w:val="center"/>
              <w:rPr>
                <w:b/>
                <w:bCs/>
              </w:rPr>
            </w:pPr>
            <w:r w:rsidRPr="00DF3703">
              <w:rPr>
                <w:b/>
                <w:bCs/>
              </w:rPr>
              <w:t>Percentage of Households</w:t>
            </w:r>
          </w:p>
        </w:tc>
      </w:tr>
      <w:tr w:rsidR="00DF3703" w:rsidRPr="00DF3703" w14:paraId="5E527C01" w14:textId="77777777" w:rsidTr="00CC3A2F">
        <w:tc>
          <w:tcPr>
            <w:tcW w:w="2997" w:type="dxa"/>
            <w:tcBorders>
              <w:top w:val="single" w:sz="12" w:space="0" w:color="auto"/>
              <w:left w:val="single" w:sz="12" w:space="0" w:color="auto"/>
              <w:right w:val="single" w:sz="12" w:space="0" w:color="auto"/>
            </w:tcBorders>
          </w:tcPr>
          <w:p w14:paraId="347BC4D2" w14:textId="77777777" w:rsidR="00DF3703" w:rsidRPr="00DF3703" w:rsidRDefault="00DF3703" w:rsidP="00CC3A2F">
            <w:pPr>
              <w:spacing w:after="0" w:line="240" w:lineRule="auto"/>
              <w:rPr>
                <w:b/>
                <w:bCs/>
              </w:rPr>
            </w:pPr>
            <w:r w:rsidRPr="00DF3703">
              <w:rPr>
                <w:b/>
                <w:bCs/>
              </w:rPr>
              <w:t>1662 Hearth Tax Return</w:t>
            </w:r>
          </w:p>
        </w:tc>
        <w:tc>
          <w:tcPr>
            <w:tcW w:w="5999" w:type="dxa"/>
            <w:gridSpan w:val="2"/>
            <w:tcBorders>
              <w:top w:val="single" w:sz="12" w:space="0" w:color="auto"/>
              <w:left w:val="single" w:sz="12" w:space="0" w:color="auto"/>
              <w:right w:val="single" w:sz="12" w:space="0" w:color="auto"/>
            </w:tcBorders>
          </w:tcPr>
          <w:p w14:paraId="0B3A8023" w14:textId="77777777" w:rsidR="00DF3703" w:rsidRPr="00DF3703" w:rsidRDefault="00DF3703" w:rsidP="00CC3A2F">
            <w:pPr>
              <w:spacing w:after="0" w:line="240" w:lineRule="auto"/>
              <w:jc w:val="center"/>
            </w:pPr>
          </w:p>
        </w:tc>
      </w:tr>
      <w:tr w:rsidR="00DF3703" w:rsidRPr="00DF3703" w14:paraId="2883750B" w14:textId="77777777" w:rsidTr="00CC3A2F">
        <w:tc>
          <w:tcPr>
            <w:tcW w:w="2997" w:type="dxa"/>
            <w:tcBorders>
              <w:left w:val="single" w:sz="12" w:space="0" w:color="auto"/>
              <w:right w:val="single" w:sz="12" w:space="0" w:color="auto"/>
            </w:tcBorders>
          </w:tcPr>
          <w:p w14:paraId="1D6C2289" w14:textId="77777777" w:rsidR="00DF3703" w:rsidRPr="00DF3703" w:rsidRDefault="00DF3703" w:rsidP="00CC3A2F">
            <w:pPr>
              <w:spacing w:after="0" w:line="240" w:lineRule="auto"/>
            </w:pPr>
            <w:r w:rsidRPr="00DF3703">
              <w:t xml:space="preserve">     1 hearth</w:t>
            </w:r>
          </w:p>
        </w:tc>
        <w:tc>
          <w:tcPr>
            <w:tcW w:w="2999" w:type="dxa"/>
            <w:tcBorders>
              <w:left w:val="single" w:sz="12" w:space="0" w:color="auto"/>
            </w:tcBorders>
          </w:tcPr>
          <w:p w14:paraId="58759206" w14:textId="77777777" w:rsidR="00DF3703" w:rsidRPr="00DF3703" w:rsidRDefault="00DF3703" w:rsidP="00CC3A2F">
            <w:pPr>
              <w:spacing w:after="0" w:line="240" w:lineRule="auto"/>
              <w:jc w:val="center"/>
            </w:pPr>
            <w:r w:rsidRPr="00DF3703">
              <w:t>29</w:t>
            </w:r>
          </w:p>
        </w:tc>
        <w:tc>
          <w:tcPr>
            <w:tcW w:w="3000" w:type="dxa"/>
            <w:tcBorders>
              <w:right w:val="single" w:sz="12" w:space="0" w:color="auto"/>
            </w:tcBorders>
          </w:tcPr>
          <w:p w14:paraId="316FC91F" w14:textId="77777777" w:rsidR="00DF3703" w:rsidRPr="00DF3703" w:rsidRDefault="00DF3703" w:rsidP="00CC3A2F">
            <w:pPr>
              <w:spacing w:after="0" w:line="240" w:lineRule="auto"/>
              <w:jc w:val="center"/>
            </w:pPr>
            <w:r w:rsidRPr="00DF3703">
              <w:t>90.6%</w:t>
            </w:r>
          </w:p>
        </w:tc>
      </w:tr>
      <w:tr w:rsidR="00DF3703" w:rsidRPr="00DF3703" w14:paraId="69D084C1" w14:textId="77777777" w:rsidTr="00CC3A2F">
        <w:tc>
          <w:tcPr>
            <w:tcW w:w="2997" w:type="dxa"/>
            <w:tcBorders>
              <w:left w:val="single" w:sz="12" w:space="0" w:color="auto"/>
              <w:right w:val="single" w:sz="12" w:space="0" w:color="auto"/>
            </w:tcBorders>
          </w:tcPr>
          <w:p w14:paraId="562DE51C" w14:textId="77777777" w:rsidR="00DF3703" w:rsidRPr="00DF3703" w:rsidRDefault="00DF3703" w:rsidP="00CC3A2F">
            <w:pPr>
              <w:spacing w:after="0" w:line="240" w:lineRule="auto"/>
            </w:pPr>
            <w:r w:rsidRPr="00DF3703">
              <w:t xml:space="preserve">     2 hearths</w:t>
            </w:r>
          </w:p>
        </w:tc>
        <w:tc>
          <w:tcPr>
            <w:tcW w:w="2999" w:type="dxa"/>
            <w:tcBorders>
              <w:left w:val="single" w:sz="12" w:space="0" w:color="auto"/>
            </w:tcBorders>
          </w:tcPr>
          <w:p w14:paraId="39BB5344" w14:textId="77777777" w:rsidR="00DF3703" w:rsidRPr="00DF3703" w:rsidRDefault="00DF3703" w:rsidP="00CC3A2F">
            <w:pPr>
              <w:spacing w:after="0" w:line="240" w:lineRule="auto"/>
              <w:jc w:val="center"/>
            </w:pPr>
            <w:r w:rsidRPr="00DF3703">
              <w:t>3</w:t>
            </w:r>
          </w:p>
        </w:tc>
        <w:tc>
          <w:tcPr>
            <w:tcW w:w="3000" w:type="dxa"/>
            <w:tcBorders>
              <w:right w:val="single" w:sz="12" w:space="0" w:color="auto"/>
            </w:tcBorders>
          </w:tcPr>
          <w:p w14:paraId="6276275A" w14:textId="77777777" w:rsidR="00DF3703" w:rsidRPr="00DF3703" w:rsidRDefault="00DF3703" w:rsidP="00CC3A2F">
            <w:pPr>
              <w:spacing w:after="0" w:line="240" w:lineRule="auto"/>
              <w:jc w:val="center"/>
            </w:pPr>
            <w:r w:rsidRPr="00DF3703">
              <w:t>9.4%</w:t>
            </w:r>
          </w:p>
        </w:tc>
      </w:tr>
      <w:tr w:rsidR="00DF3703" w:rsidRPr="00DF3703" w14:paraId="52505B69" w14:textId="77777777" w:rsidTr="00CC3A2F">
        <w:tc>
          <w:tcPr>
            <w:tcW w:w="2997" w:type="dxa"/>
            <w:tcBorders>
              <w:left w:val="single" w:sz="12" w:space="0" w:color="auto"/>
              <w:bottom w:val="single" w:sz="12" w:space="0" w:color="auto"/>
              <w:right w:val="single" w:sz="12" w:space="0" w:color="auto"/>
            </w:tcBorders>
          </w:tcPr>
          <w:p w14:paraId="7F81D0E0" w14:textId="77777777" w:rsidR="00DF3703" w:rsidRPr="00DF3703" w:rsidRDefault="00DF3703" w:rsidP="00CC3A2F">
            <w:pPr>
              <w:spacing w:after="0" w:line="240" w:lineRule="auto"/>
              <w:rPr>
                <w:b/>
                <w:bCs/>
              </w:rPr>
            </w:pPr>
            <w:r w:rsidRPr="00DF3703">
              <w:rPr>
                <w:b/>
                <w:bCs/>
              </w:rPr>
              <w:t>Total</w:t>
            </w:r>
          </w:p>
        </w:tc>
        <w:tc>
          <w:tcPr>
            <w:tcW w:w="2999" w:type="dxa"/>
            <w:tcBorders>
              <w:left w:val="single" w:sz="12" w:space="0" w:color="auto"/>
              <w:bottom w:val="single" w:sz="12" w:space="0" w:color="auto"/>
            </w:tcBorders>
          </w:tcPr>
          <w:p w14:paraId="32372FBD" w14:textId="77777777" w:rsidR="00DF3703" w:rsidRPr="00DF3703" w:rsidRDefault="00DF3703" w:rsidP="00CC3A2F">
            <w:pPr>
              <w:spacing w:after="0" w:line="240" w:lineRule="auto"/>
              <w:jc w:val="center"/>
            </w:pPr>
            <w:r w:rsidRPr="00DF3703">
              <w:t>32</w:t>
            </w:r>
          </w:p>
        </w:tc>
        <w:tc>
          <w:tcPr>
            <w:tcW w:w="3000" w:type="dxa"/>
            <w:tcBorders>
              <w:bottom w:val="single" w:sz="12" w:space="0" w:color="auto"/>
              <w:right w:val="single" w:sz="12" w:space="0" w:color="auto"/>
            </w:tcBorders>
          </w:tcPr>
          <w:p w14:paraId="0A2F4400" w14:textId="77777777" w:rsidR="00DF3703" w:rsidRPr="00DF3703" w:rsidRDefault="00DF3703" w:rsidP="00CC3A2F">
            <w:pPr>
              <w:spacing w:after="0" w:line="240" w:lineRule="auto"/>
              <w:jc w:val="center"/>
            </w:pPr>
            <w:r w:rsidRPr="00DF3703">
              <w:t>100%</w:t>
            </w:r>
          </w:p>
        </w:tc>
      </w:tr>
      <w:tr w:rsidR="00DF3703" w:rsidRPr="00DF3703" w14:paraId="31262057" w14:textId="77777777" w:rsidTr="00CC3A2F">
        <w:tc>
          <w:tcPr>
            <w:tcW w:w="2997" w:type="dxa"/>
            <w:tcBorders>
              <w:top w:val="single" w:sz="12" w:space="0" w:color="auto"/>
              <w:left w:val="single" w:sz="12" w:space="0" w:color="auto"/>
              <w:right w:val="single" w:sz="12" w:space="0" w:color="auto"/>
            </w:tcBorders>
          </w:tcPr>
          <w:p w14:paraId="6FCFB9D0" w14:textId="77777777" w:rsidR="00DF3703" w:rsidRPr="00DF3703" w:rsidRDefault="00DF3703" w:rsidP="00CC3A2F">
            <w:pPr>
              <w:spacing w:after="0" w:line="240" w:lineRule="auto"/>
              <w:rPr>
                <w:b/>
                <w:bCs/>
              </w:rPr>
            </w:pPr>
            <w:r w:rsidRPr="00DF3703">
              <w:rPr>
                <w:b/>
                <w:bCs/>
              </w:rPr>
              <w:t>1673/4 Hearth Tax Return</w:t>
            </w:r>
          </w:p>
        </w:tc>
        <w:tc>
          <w:tcPr>
            <w:tcW w:w="5999" w:type="dxa"/>
            <w:gridSpan w:val="2"/>
            <w:tcBorders>
              <w:top w:val="single" w:sz="12" w:space="0" w:color="auto"/>
              <w:left w:val="single" w:sz="12" w:space="0" w:color="auto"/>
              <w:right w:val="single" w:sz="12" w:space="0" w:color="auto"/>
            </w:tcBorders>
          </w:tcPr>
          <w:p w14:paraId="0F184545" w14:textId="77777777" w:rsidR="00DF3703" w:rsidRPr="00DF3703" w:rsidRDefault="00DF3703" w:rsidP="00CC3A2F">
            <w:pPr>
              <w:spacing w:after="0" w:line="240" w:lineRule="auto"/>
              <w:jc w:val="center"/>
            </w:pPr>
          </w:p>
        </w:tc>
      </w:tr>
      <w:tr w:rsidR="00DF3703" w:rsidRPr="00DF3703" w14:paraId="7C9B8FCA" w14:textId="77777777" w:rsidTr="00CC3A2F">
        <w:tc>
          <w:tcPr>
            <w:tcW w:w="2997" w:type="dxa"/>
            <w:tcBorders>
              <w:left w:val="single" w:sz="12" w:space="0" w:color="auto"/>
              <w:right w:val="single" w:sz="12" w:space="0" w:color="auto"/>
            </w:tcBorders>
          </w:tcPr>
          <w:p w14:paraId="1EB36CE5" w14:textId="77777777" w:rsidR="00DF3703" w:rsidRPr="00DF3703" w:rsidRDefault="00DF3703" w:rsidP="00CC3A2F">
            <w:pPr>
              <w:spacing w:after="0" w:line="240" w:lineRule="auto"/>
            </w:pPr>
            <w:r w:rsidRPr="00DF3703">
              <w:t xml:space="preserve">     1 hearth</w:t>
            </w:r>
          </w:p>
        </w:tc>
        <w:tc>
          <w:tcPr>
            <w:tcW w:w="2999" w:type="dxa"/>
            <w:tcBorders>
              <w:left w:val="single" w:sz="12" w:space="0" w:color="auto"/>
            </w:tcBorders>
          </w:tcPr>
          <w:p w14:paraId="64654503" w14:textId="77777777" w:rsidR="00DF3703" w:rsidRPr="00DF3703" w:rsidRDefault="00DF3703" w:rsidP="00CC3A2F">
            <w:pPr>
              <w:spacing w:after="0" w:line="240" w:lineRule="auto"/>
              <w:jc w:val="center"/>
            </w:pPr>
            <w:r w:rsidRPr="00DF3703">
              <w:t>35</w:t>
            </w:r>
          </w:p>
        </w:tc>
        <w:tc>
          <w:tcPr>
            <w:tcW w:w="3000" w:type="dxa"/>
            <w:tcBorders>
              <w:right w:val="single" w:sz="12" w:space="0" w:color="auto"/>
            </w:tcBorders>
          </w:tcPr>
          <w:p w14:paraId="1C156A4B" w14:textId="77777777" w:rsidR="00DF3703" w:rsidRPr="00DF3703" w:rsidRDefault="00DF3703" w:rsidP="00CC3A2F">
            <w:pPr>
              <w:spacing w:after="0" w:line="240" w:lineRule="auto"/>
              <w:jc w:val="center"/>
            </w:pPr>
            <w:r w:rsidRPr="00DF3703">
              <w:t>89.7%</w:t>
            </w:r>
          </w:p>
        </w:tc>
      </w:tr>
      <w:tr w:rsidR="00DF3703" w:rsidRPr="00DF3703" w14:paraId="5A5B858E" w14:textId="77777777" w:rsidTr="00CC3A2F">
        <w:tc>
          <w:tcPr>
            <w:tcW w:w="2997" w:type="dxa"/>
            <w:tcBorders>
              <w:left w:val="single" w:sz="12" w:space="0" w:color="auto"/>
              <w:right w:val="single" w:sz="12" w:space="0" w:color="auto"/>
            </w:tcBorders>
          </w:tcPr>
          <w:p w14:paraId="76E842B3" w14:textId="77777777" w:rsidR="00DF3703" w:rsidRPr="00DF3703" w:rsidRDefault="00DF3703" w:rsidP="00CC3A2F">
            <w:pPr>
              <w:spacing w:after="0" w:line="240" w:lineRule="auto"/>
            </w:pPr>
            <w:r w:rsidRPr="00DF3703">
              <w:t xml:space="preserve">     2 hearths</w:t>
            </w:r>
          </w:p>
        </w:tc>
        <w:tc>
          <w:tcPr>
            <w:tcW w:w="2999" w:type="dxa"/>
            <w:tcBorders>
              <w:left w:val="single" w:sz="12" w:space="0" w:color="auto"/>
            </w:tcBorders>
          </w:tcPr>
          <w:p w14:paraId="4753B2DB" w14:textId="77777777" w:rsidR="00DF3703" w:rsidRPr="00DF3703" w:rsidRDefault="00DF3703" w:rsidP="00CC3A2F">
            <w:pPr>
              <w:spacing w:after="0" w:line="240" w:lineRule="auto"/>
              <w:jc w:val="center"/>
            </w:pPr>
            <w:r w:rsidRPr="00DF3703">
              <w:t>3</w:t>
            </w:r>
          </w:p>
        </w:tc>
        <w:tc>
          <w:tcPr>
            <w:tcW w:w="3000" w:type="dxa"/>
            <w:tcBorders>
              <w:right w:val="single" w:sz="12" w:space="0" w:color="auto"/>
            </w:tcBorders>
          </w:tcPr>
          <w:p w14:paraId="71014FB3" w14:textId="77777777" w:rsidR="00DF3703" w:rsidRPr="00DF3703" w:rsidRDefault="00DF3703" w:rsidP="00CC3A2F">
            <w:pPr>
              <w:spacing w:after="0" w:line="240" w:lineRule="auto"/>
              <w:jc w:val="center"/>
            </w:pPr>
            <w:r w:rsidRPr="00DF3703">
              <w:t>7.6%</w:t>
            </w:r>
          </w:p>
        </w:tc>
      </w:tr>
      <w:tr w:rsidR="00DF3703" w:rsidRPr="00DF3703" w14:paraId="6FDFAFF3" w14:textId="77777777" w:rsidTr="00CC3A2F">
        <w:tc>
          <w:tcPr>
            <w:tcW w:w="2997" w:type="dxa"/>
            <w:tcBorders>
              <w:left w:val="single" w:sz="12" w:space="0" w:color="auto"/>
              <w:right w:val="single" w:sz="12" w:space="0" w:color="auto"/>
            </w:tcBorders>
          </w:tcPr>
          <w:p w14:paraId="041F786C" w14:textId="77777777" w:rsidR="00DF3703" w:rsidRPr="00DF3703" w:rsidRDefault="00DF3703" w:rsidP="00CC3A2F">
            <w:pPr>
              <w:spacing w:after="0" w:line="240" w:lineRule="auto"/>
            </w:pPr>
            <w:r w:rsidRPr="00DF3703">
              <w:t xml:space="preserve">     3-5 hearths</w:t>
            </w:r>
          </w:p>
        </w:tc>
        <w:tc>
          <w:tcPr>
            <w:tcW w:w="2999" w:type="dxa"/>
            <w:tcBorders>
              <w:left w:val="single" w:sz="12" w:space="0" w:color="auto"/>
            </w:tcBorders>
          </w:tcPr>
          <w:p w14:paraId="465B86EC" w14:textId="77777777" w:rsidR="00DF3703" w:rsidRPr="00DF3703" w:rsidRDefault="00DF3703" w:rsidP="00CC3A2F">
            <w:pPr>
              <w:spacing w:after="0" w:line="240" w:lineRule="auto"/>
              <w:jc w:val="center"/>
            </w:pPr>
            <w:r w:rsidRPr="00DF3703">
              <w:t>1</w:t>
            </w:r>
          </w:p>
        </w:tc>
        <w:tc>
          <w:tcPr>
            <w:tcW w:w="3000" w:type="dxa"/>
            <w:tcBorders>
              <w:right w:val="single" w:sz="12" w:space="0" w:color="auto"/>
            </w:tcBorders>
          </w:tcPr>
          <w:p w14:paraId="4053F4B6" w14:textId="77777777" w:rsidR="00DF3703" w:rsidRPr="00DF3703" w:rsidRDefault="00DF3703" w:rsidP="00CC3A2F">
            <w:pPr>
              <w:spacing w:after="0" w:line="240" w:lineRule="auto"/>
              <w:jc w:val="center"/>
            </w:pPr>
            <w:r w:rsidRPr="00DF3703">
              <w:t>2.6%</w:t>
            </w:r>
          </w:p>
        </w:tc>
      </w:tr>
      <w:tr w:rsidR="00DF3703" w:rsidRPr="00DF3703" w14:paraId="738386F4" w14:textId="77777777" w:rsidTr="00CC3A2F">
        <w:tc>
          <w:tcPr>
            <w:tcW w:w="2997" w:type="dxa"/>
            <w:tcBorders>
              <w:left w:val="single" w:sz="12" w:space="0" w:color="auto"/>
              <w:bottom w:val="single" w:sz="12" w:space="0" w:color="auto"/>
              <w:right w:val="single" w:sz="12" w:space="0" w:color="auto"/>
            </w:tcBorders>
          </w:tcPr>
          <w:p w14:paraId="736DE234" w14:textId="77777777" w:rsidR="00DF3703" w:rsidRPr="00DF3703" w:rsidRDefault="00DF3703" w:rsidP="00CC3A2F">
            <w:pPr>
              <w:spacing w:after="0" w:line="240" w:lineRule="auto"/>
              <w:rPr>
                <w:b/>
                <w:bCs/>
              </w:rPr>
            </w:pPr>
            <w:r w:rsidRPr="00DF3703">
              <w:rPr>
                <w:b/>
                <w:bCs/>
              </w:rPr>
              <w:t>Total</w:t>
            </w:r>
          </w:p>
        </w:tc>
        <w:tc>
          <w:tcPr>
            <w:tcW w:w="2999" w:type="dxa"/>
            <w:tcBorders>
              <w:left w:val="single" w:sz="12" w:space="0" w:color="auto"/>
              <w:bottom w:val="single" w:sz="12" w:space="0" w:color="auto"/>
            </w:tcBorders>
          </w:tcPr>
          <w:p w14:paraId="598BD881" w14:textId="77777777" w:rsidR="00DF3703" w:rsidRPr="00DF3703" w:rsidRDefault="00DF3703" w:rsidP="00CC3A2F">
            <w:pPr>
              <w:spacing w:after="0" w:line="240" w:lineRule="auto"/>
              <w:jc w:val="center"/>
            </w:pPr>
            <w:r w:rsidRPr="00DF3703">
              <w:t>39</w:t>
            </w:r>
          </w:p>
        </w:tc>
        <w:tc>
          <w:tcPr>
            <w:tcW w:w="3000" w:type="dxa"/>
            <w:tcBorders>
              <w:bottom w:val="single" w:sz="12" w:space="0" w:color="auto"/>
              <w:right w:val="single" w:sz="12" w:space="0" w:color="auto"/>
            </w:tcBorders>
          </w:tcPr>
          <w:p w14:paraId="64FDB131" w14:textId="77777777" w:rsidR="00DF3703" w:rsidRPr="00DF3703" w:rsidRDefault="00DF3703" w:rsidP="00CC3A2F">
            <w:pPr>
              <w:spacing w:after="0" w:line="240" w:lineRule="auto"/>
              <w:jc w:val="center"/>
            </w:pPr>
            <w:r w:rsidRPr="00DF3703">
              <w:t>99.9% (100%)</w:t>
            </w:r>
          </w:p>
        </w:tc>
      </w:tr>
    </w:tbl>
    <w:p w14:paraId="17DD3CE6" w14:textId="77777777" w:rsidR="00DF3703" w:rsidRPr="00DF3703" w:rsidRDefault="00DF3703" w:rsidP="00DF3703"/>
    <w:p w14:paraId="7C60B7EC" w14:textId="77777777" w:rsidR="00CC3A2F" w:rsidRDefault="00CC3A2F" w:rsidP="00DF3703">
      <w:pPr>
        <w:jc w:val="center"/>
      </w:pPr>
    </w:p>
    <w:p w14:paraId="403F70A8" w14:textId="77777777" w:rsidR="00CC3A2F" w:rsidRDefault="00CC3A2F" w:rsidP="00DF3703">
      <w:pPr>
        <w:jc w:val="center"/>
      </w:pPr>
    </w:p>
    <w:p w14:paraId="7663E388" w14:textId="77777777" w:rsidR="00CC3A2F" w:rsidRDefault="00CC3A2F" w:rsidP="00DF3703">
      <w:pPr>
        <w:jc w:val="center"/>
      </w:pPr>
    </w:p>
    <w:p w14:paraId="794D1A3F" w14:textId="77777777" w:rsidR="00CC3A2F" w:rsidRDefault="00CC3A2F" w:rsidP="00DF3703">
      <w:pPr>
        <w:jc w:val="center"/>
      </w:pPr>
    </w:p>
    <w:p w14:paraId="1D75F995" w14:textId="1DF4EAE2" w:rsidR="00DF3703" w:rsidRPr="00DF3703" w:rsidRDefault="00DF3703" w:rsidP="00DF3703">
      <w:pPr>
        <w:jc w:val="center"/>
        <w:sectPr w:rsidR="00DF3703" w:rsidRPr="00DF3703" w:rsidSect="00DF3703">
          <w:pgSz w:w="11906" w:h="16838"/>
          <w:pgMar w:top="1440" w:right="1440" w:bottom="1440" w:left="1440" w:header="720" w:footer="720" w:gutter="0"/>
          <w:cols w:space="720"/>
          <w:docGrid w:linePitch="360"/>
        </w:sectPr>
      </w:pPr>
      <w:r w:rsidRPr="00DF3703">
        <w:t>Table 9 – Numbers of households with different numbers of hearths in Kettleshulme township in hearth tax returns from 1662 and 1673/4.</w:t>
      </w:r>
    </w:p>
    <w:tbl>
      <w:tblPr>
        <w:tblStyle w:val="TableGrid4"/>
        <w:tblpPr w:leftFromText="180" w:rightFromText="180" w:horzAnchor="margin" w:tblpY="2250"/>
        <w:tblW w:w="0" w:type="auto"/>
        <w:tblLook w:val="04A0" w:firstRow="1" w:lastRow="0" w:firstColumn="1" w:lastColumn="0" w:noHBand="0" w:noVBand="1"/>
      </w:tblPr>
      <w:tblGrid>
        <w:gridCol w:w="2998"/>
        <w:gridCol w:w="2998"/>
        <w:gridCol w:w="3000"/>
      </w:tblGrid>
      <w:tr w:rsidR="00DF3703" w:rsidRPr="00DF3703" w14:paraId="2A63CEC7" w14:textId="77777777" w:rsidTr="00CC3A2F">
        <w:tc>
          <w:tcPr>
            <w:tcW w:w="2998" w:type="dxa"/>
            <w:tcBorders>
              <w:top w:val="single" w:sz="12" w:space="0" w:color="auto"/>
              <w:left w:val="single" w:sz="12" w:space="0" w:color="auto"/>
              <w:bottom w:val="single" w:sz="12" w:space="0" w:color="auto"/>
              <w:right w:val="single" w:sz="12" w:space="0" w:color="auto"/>
            </w:tcBorders>
          </w:tcPr>
          <w:p w14:paraId="51F47B2E" w14:textId="77777777" w:rsidR="00DF3703" w:rsidRPr="00DF3703" w:rsidRDefault="00DF3703" w:rsidP="00CC3A2F">
            <w:pPr>
              <w:spacing w:after="0" w:line="240" w:lineRule="auto"/>
            </w:pPr>
          </w:p>
        </w:tc>
        <w:tc>
          <w:tcPr>
            <w:tcW w:w="2998" w:type="dxa"/>
            <w:tcBorders>
              <w:top w:val="single" w:sz="12" w:space="0" w:color="auto"/>
              <w:left w:val="single" w:sz="12" w:space="0" w:color="auto"/>
              <w:bottom w:val="single" w:sz="12" w:space="0" w:color="auto"/>
              <w:right w:val="single" w:sz="12" w:space="0" w:color="auto"/>
            </w:tcBorders>
          </w:tcPr>
          <w:p w14:paraId="2B267A70" w14:textId="77777777" w:rsidR="00DF3703" w:rsidRPr="00DF3703" w:rsidRDefault="00DF3703" w:rsidP="00CC3A2F">
            <w:pPr>
              <w:spacing w:after="0" w:line="240" w:lineRule="auto"/>
              <w:jc w:val="center"/>
              <w:rPr>
                <w:b/>
                <w:bCs/>
              </w:rPr>
            </w:pPr>
            <w:r w:rsidRPr="00DF3703">
              <w:rPr>
                <w:b/>
                <w:bCs/>
              </w:rPr>
              <w:t>Bolton-le-Sands</w:t>
            </w:r>
          </w:p>
        </w:tc>
        <w:tc>
          <w:tcPr>
            <w:tcW w:w="3000" w:type="dxa"/>
            <w:tcBorders>
              <w:top w:val="single" w:sz="12" w:space="0" w:color="auto"/>
              <w:left w:val="single" w:sz="12" w:space="0" w:color="auto"/>
              <w:bottom w:val="single" w:sz="12" w:space="0" w:color="auto"/>
              <w:right w:val="single" w:sz="12" w:space="0" w:color="auto"/>
            </w:tcBorders>
          </w:tcPr>
          <w:p w14:paraId="7E33F5A6" w14:textId="77777777" w:rsidR="00DF3703" w:rsidRPr="00DF3703" w:rsidRDefault="00DF3703" w:rsidP="00CC3A2F">
            <w:pPr>
              <w:spacing w:after="0" w:line="240" w:lineRule="auto"/>
              <w:jc w:val="center"/>
              <w:rPr>
                <w:b/>
                <w:bCs/>
              </w:rPr>
            </w:pPr>
            <w:r w:rsidRPr="00DF3703">
              <w:rPr>
                <w:b/>
                <w:bCs/>
              </w:rPr>
              <w:t>Prestbury</w:t>
            </w:r>
          </w:p>
        </w:tc>
      </w:tr>
      <w:tr w:rsidR="00DF3703" w:rsidRPr="00DF3703" w14:paraId="1714B5DD" w14:textId="77777777" w:rsidTr="00CC3A2F">
        <w:tc>
          <w:tcPr>
            <w:tcW w:w="2998" w:type="dxa"/>
            <w:tcBorders>
              <w:top w:val="single" w:sz="12" w:space="0" w:color="auto"/>
              <w:left w:val="single" w:sz="12" w:space="0" w:color="auto"/>
              <w:right w:val="single" w:sz="12" w:space="0" w:color="auto"/>
            </w:tcBorders>
          </w:tcPr>
          <w:p w14:paraId="52006A4E" w14:textId="77777777" w:rsidR="00DF3703" w:rsidRPr="00DF3703" w:rsidRDefault="00DF3703" w:rsidP="00CC3A2F">
            <w:pPr>
              <w:spacing w:after="0" w:line="240" w:lineRule="auto"/>
              <w:rPr>
                <w:b/>
                <w:bCs/>
              </w:rPr>
            </w:pPr>
            <w:r w:rsidRPr="00DF3703">
              <w:rPr>
                <w:b/>
                <w:bCs/>
              </w:rPr>
              <w:t>Men</w:t>
            </w:r>
          </w:p>
        </w:tc>
        <w:tc>
          <w:tcPr>
            <w:tcW w:w="2998" w:type="dxa"/>
            <w:tcBorders>
              <w:top w:val="single" w:sz="12" w:space="0" w:color="auto"/>
              <w:left w:val="single" w:sz="12" w:space="0" w:color="auto"/>
              <w:right w:val="single" w:sz="12" w:space="0" w:color="auto"/>
            </w:tcBorders>
          </w:tcPr>
          <w:p w14:paraId="74FB0D25" w14:textId="77777777" w:rsidR="00DF3703" w:rsidRPr="00DF3703" w:rsidRDefault="00DF3703" w:rsidP="00CC3A2F">
            <w:pPr>
              <w:spacing w:after="0" w:line="240" w:lineRule="auto"/>
              <w:jc w:val="center"/>
              <w:rPr>
                <w:b/>
                <w:bCs/>
              </w:rPr>
            </w:pPr>
            <w:r w:rsidRPr="00DF3703">
              <w:rPr>
                <w:b/>
                <w:bCs/>
              </w:rPr>
              <w:t>72</w:t>
            </w:r>
          </w:p>
        </w:tc>
        <w:tc>
          <w:tcPr>
            <w:tcW w:w="3000" w:type="dxa"/>
            <w:tcBorders>
              <w:top w:val="single" w:sz="12" w:space="0" w:color="auto"/>
              <w:left w:val="single" w:sz="12" w:space="0" w:color="auto"/>
              <w:right w:val="single" w:sz="12" w:space="0" w:color="auto"/>
            </w:tcBorders>
          </w:tcPr>
          <w:p w14:paraId="5E344A56" w14:textId="77777777" w:rsidR="00DF3703" w:rsidRPr="00DF3703" w:rsidRDefault="00DF3703" w:rsidP="00CC3A2F">
            <w:pPr>
              <w:spacing w:after="0" w:line="240" w:lineRule="auto"/>
              <w:jc w:val="center"/>
              <w:rPr>
                <w:b/>
                <w:bCs/>
              </w:rPr>
            </w:pPr>
            <w:r w:rsidRPr="00DF3703">
              <w:rPr>
                <w:b/>
                <w:bCs/>
              </w:rPr>
              <w:t>76</w:t>
            </w:r>
          </w:p>
        </w:tc>
      </w:tr>
      <w:tr w:rsidR="00DF3703" w:rsidRPr="00DF3703" w14:paraId="084B6205" w14:textId="77777777" w:rsidTr="00CC3A2F">
        <w:tc>
          <w:tcPr>
            <w:tcW w:w="2998" w:type="dxa"/>
            <w:tcBorders>
              <w:left w:val="single" w:sz="12" w:space="0" w:color="auto"/>
              <w:right w:val="single" w:sz="12" w:space="0" w:color="auto"/>
            </w:tcBorders>
          </w:tcPr>
          <w:p w14:paraId="109192FD" w14:textId="77777777" w:rsidR="00DF3703" w:rsidRPr="00DF3703" w:rsidRDefault="00DF3703" w:rsidP="00CC3A2F">
            <w:pPr>
              <w:spacing w:after="0" w:line="240" w:lineRule="auto"/>
            </w:pPr>
            <w:r w:rsidRPr="00DF3703">
              <w:t xml:space="preserve">     Bachelor</w:t>
            </w:r>
          </w:p>
        </w:tc>
        <w:tc>
          <w:tcPr>
            <w:tcW w:w="2998" w:type="dxa"/>
            <w:tcBorders>
              <w:left w:val="single" w:sz="12" w:space="0" w:color="auto"/>
              <w:right w:val="single" w:sz="12" w:space="0" w:color="auto"/>
            </w:tcBorders>
          </w:tcPr>
          <w:p w14:paraId="3BC0B420" w14:textId="77777777" w:rsidR="00DF3703" w:rsidRPr="00DF3703" w:rsidRDefault="00DF3703" w:rsidP="00CC3A2F">
            <w:pPr>
              <w:spacing w:after="0" w:line="240" w:lineRule="auto"/>
              <w:jc w:val="center"/>
            </w:pPr>
            <w:r w:rsidRPr="00DF3703">
              <w:t>6</w:t>
            </w:r>
          </w:p>
        </w:tc>
        <w:tc>
          <w:tcPr>
            <w:tcW w:w="3000" w:type="dxa"/>
            <w:tcBorders>
              <w:left w:val="single" w:sz="12" w:space="0" w:color="auto"/>
              <w:right w:val="single" w:sz="12" w:space="0" w:color="auto"/>
            </w:tcBorders>
          </w:tcPr>
          <w:p w14:paraId="6ACAFCA6" w14:textId="77777777" w:rsidR="00DF3703" w:rsidRPr="00DF3703" w:rsidRDefault="00DF3703" w:rsidP="00CC3A2F">
            <w:pPr>
              <w:spacing w:after="0" w:line="240" w:lineRule="auto"/>
              <w:jc w:val="center"/>
            </w:pPr>
            <w:r w:rsidRPr="00DF3703">
              <w:t>12</w:t>
            </w:r>
          </w:p>
        </w:tc>
      </w:tr>
      <w:tr w:rsidR="00DF3703" w:rsidRPr="00DF3703" w14:paraId="2326BB60" w14:textId="77777777" w:rsidTr="00CC3A2F">
        <w:tc>
          <w:tcPr>
            <w:tcW w:w="2998" w:type="dxa"/>
            <w:tcBorders>
              <w:left w:val="single" w:sz="12" w:space="0" w:color="auto"/>
              <w:right w:val="single" w:sz="12" w:space="0" w:color="auto"/>
            </w:tcBorders>
          </w:tcPr>
          <w:p w14:paraId="4EFC1B14" w14:textId="77777777" w:rsidR="00DF3703" w:rsidRPr="00DF3703" w:rsidRDefault="00DF3703" w:rsidP="00CC3A2F">
            <w:pPr>
              <w:spacing w:after="0" w:line="240" w:lineRule="auto"/>
            </w:pPr>
            <w:r w:rsidRPr="00DF3703">
              <w:t xml:space="preserve">     Married</w:t>
            </w:r>
          </w:p>
        </w:tc>
        <w:tc>
          <w:tcPr>
            <w:tcW w:w="2998" w:type="dxa"/>
            <w:tcBorders>
              <w:left w:val="single" w:sz="12" w:space="0" w:color="auto"/>
              <w:right w:val="single" w:sz="12" w:space="0" w:color="auto"/>
            </w:tcBorders>
          </w:tcPr>
          <w:p w14:paraId="38A7B01F" w14:textId="77777777" w:rsidR="00DF3703" w:rsidRPr="00DF3703" w:rsidRDefault="00DF3703" w:rsidP="00CC3A2F">
            <w:pPr>
              <w:spacing w:after="0" w:line="240" w:lineRule="auto"/>
              <w:jc w:val="center"/>
            </w:pPr>
            <w:r w:rsidRPr="00DF3703">
              <w:t>56</w:t>
            </w:r>
          </w:p>
        </w:tc>
        <w:tc>
          <w:tcPr>
            <w:tcW w:w="3000" w:type="dxa"/>
            <w:tcBorders>
              <w:left w:val="single" w:sz="12" w:space="0" w:color="auto"/>
              <w:right w:val="single" w:sz="12" w:space="0" w:color="auto"/>
            </w:tcBorders>
          </w:tcPr>
          <w:p w14:paraId="141C77A5" w14:textId="77777777" w:rsidR="00DF3703" w:rsidRPr="00DF3703" w:rsidRDefault="00DF3703" w:rsidP="00CC3A2F">
            <w:pPr>
              <w:spacing w:after="0" w:line="240" w:lineRule="auto"/>
              <w:jc w:val="center"/>
            </w:pPr>
            <w:r w:rsidRPr="00DF3703">
              <w:t>48</w:t>
            </w:r>
          </w:p>
        </w:tc>
      </w:tr>
      <w:tr w:rsidR="00DF3703" w:rsidRPr="00DF3703" w14:paraId="387BB369" w14:textId="77777777" w:rsidTr="00CC3A2F">
        <w:tc>
          <w:tcPr>
            <w:tcW w:w="2998" w:type="dxa"/>
            <w:tcBorders>
              <w:left w:val="single" w:sz="12" w:space="0" w:color="auto"/>
              <w:right w:val="single" w:sz="12" w:space="0" w:color="auto"/>
            </w:tcBorders>
          </w:tcPr>
          <w:p w14:paraId="1FEF21D3" w14:textId="77777777" w:rsidR="00DF3703" w:rsidRPr="00DF3703" w:rsidRDefault="00DF3703" w:rsidP="00CC3A2F">
            <w:pPr>
              <w:spacing w:after="0" w:line="240" w:lineRule="auto"/>
            </w:pPr>
            <w:r w:rsidRPr="00DF3703">
              <w:t xml:space="preserve">     Widower</w:t>
            </w:r>
          </w:p>
        </w:tc>
        <w:tc>
          <w:tcPr>
            <w:tcW w:w="2998" w:type="dxa"/>
            <w:tcBorders>
              <w:left w:val="single" w:sz="12" w:space="0" w:color="auto"/>
              <w:right w:val="single" w:sz="12" w:space="0" w:color="auto"/>
            </w:tcBorders>
          </w:tcPr>
          <w:p w14:paraId="33F16E39" w14:textId="77777777" w:rsidR="00DF3703" w:rsidRPr="00DF3703" w:rsidRDefault="00DF3703" w:rsidP="00CC3A2F">
            <w:pPr>
              <w:spacing w:after="0" w:line="240" w:lineRule="auto"/>
              <w:jc w:val="center"/>
            </w:pPr>
            <w:r w:rsidRPr="00DF3703">
              <w:t>10</w:t>
            </w:r>
          </w:p>
        </w:tc>
        <w:tc>
          <w:tcPr>
            <w:tcW w:w="3000" w:type="dxa"/>
            <w:tcBorders>
              <w:left w:val="single" w:sz="12" w:space="0" w:color="auto"/>
              <w:right w:val="single" w:sz="12" w:space="0" w:color="auto"/>
            </w:tcBorders>
          </w:tcPr>
          <w:p w14:paraId="501E60FD" w14:textId="77777777" w:rsidR="00DF3703" w:rsidRPr="00DF3703" w:rsidRDefault="00DF3703" w:rsidP="00CC3A2F">
            <w:pPr>
              <w:spacing w:after="0" w:line="240" w:lineRule="auto"/>
              <w:jc w:val="center"/>
            </w:pPr>
            <w:r w:rsidRPr="00DF3703">
              <w:t>16</w:t>
            </w:r>
          </w:p>
        </w:tc>
      </w:tr>
      <w:tr w:rsidR="00DF3703" w:rsidRPr="00DF3703" w14:paraId="3D7CD24F" w14:textId="77777777" w:rsidTr="00CC3A2F">
        <w:tc>
          <w:tcPr>
            <w:tcW w:w="2998" w:type="dxa"/>
            <w:tcBorders>
              <w:top w:val="single" w:sz="12" w:space="0" w:color="auto"/>
              <w:left w:val="single" w:sz="12" w:space="0" w:color="auto"/>
              <w:right w:val="single" w:sz="12" w:space="0" w:color="auto"/>
            </w:tcBorders>
          </w:tcPr>
          <w:p w14:paraId="7C9E9364" w14:textId="77777777" w:rsidR="00DF3703" w:rsidRPr="00DF3703" w:rsidRDefault="00DF3703" w:rsidP="00CC3A2F">
            <w:pPr>
              <w:spacing w:after="0" w:line="240" w:lineRule="auto"/>
              <w:rPr>
                <w:b/>
                <w:bCs/>
              </w:rPr>
            </w:pPr>
            <w:r w:rsidRPr="00DF3703">
              <w:rPr>
                <w:b/>
                <w:bCs/>
              </w:rPr>
              <w:t>Women</w:t>
            </w:r>
          </w:p>
        </w:tc>
        <w:tc>
          <w:tcPr>
            <w:tcW w:w="2998" w:type="dxa"/>
            <w:tcBorders>
              <w:top w:val="single" w:sz="12" w:space="0" w:color="auto"/>
              <w:left w:val="single" w:sz="12" w:space="0" w:color="auto"/>
              <w:right w:val="single" w:sz="12" w:space="0" w:color="auto"/>
            </w:tcBorders>
          </w:tcPr>
          <w:p w14:paraId="6A8951C5" w14:textId="77777777" w:rsidR="00DF3703" w:rsidRPr="00DF3703" w:rsidRDefault="00DF3703" w:rsidP="00CC3A2F">
            <w:pPr>
              <w:spacing w:after="0" w:line="240" w:lineRule="auto"/>
              <w:jc w:val="center"/>
              <w:rPr>
                <w:b/>
                <w:bCs/>
              </w:rPr>
            </w:pPr>
            <w:r w:rsidRPr="00DF3703">
              <w:rPr>
                <w:b/>
                <w:bCs/>
              </w:rPr>
              <w:t>27</w:t>
            </w:r>
          </w:p>
        </w:tc>
        <w:tc>
          <w:tcPr>
            <w:tcW w:w="3000" w:type="dxa"/>
            <w:tcBorders>
              <w:top w:val="single" w:sz="12" w:space="0" w:color="auto"/>
              <w:left w:val="single" w:sz="12" w:space="0" w:color="auto"/>
              <w:right w:val="single" w:sz="12" w:space="0" w:color="auto"/>
            </w:tcBorders>
          </w:tcPr>
          <w:p w14:paraId="3112E8E1" w14:textId="77777777" w:rsidR="00DF3703" w:rsidRPr="00DF3703" w:rsidRDefault="00DF3703" w:rsidP="00CC3A2F">
            <w:pPr>
              <w:spacing w:after="0" w:line="240" w:lineRule="auto"/>
              <w:jc w:val="center"/>
              <w:rPr>
                <w:b/>
                <w:bCs/>
              </w:rPr>
            </w:pPr>
            <w:r w:rsidRPr="00DF3703">
              <w:rPr>
                <w:b/>
                <w:bCs/>
              </w:rPr>
              <w:t>23</w:t>
            </w:r>
          </w:p>
        </w:tc>
      </w:tr>
      <w:tr w:rsidR="00DF3703" w:rsidRPr="00DF3703" w14:paraId="685AE1BB" w14:textId="77777777" w:rsidTr="00CC3A2F">
        <w:tc>
          <w:tcPr>
            <w:tcW w:w="2998" w:type="dxa"/>
            <w:tcBorders>
              <w:left w:val="single" w:sz="12" w:space="0" w:color="auto"/>
              <w:right w:val="single" w:sz="12" w:space="0" w:color="auto"/>
            </w:tcBorders>
          </w:tcPr>
          <w:p w14:paraId="789D00FB" w14:textId="77777777" w:rsidR="00DF3703" w:rsidRPr="00DF3703" w:rsidRDefault="00DF3703" w:rsidP="00CC3A2F">
            <w:pPr>
              <w:spacing w:after="0" w:line="240" w:lineRule="auto"/>
            </w:pPr>
            <w:r w:rsidRPr="00DF3703">
              <w:t xml:space="preserve">     Spinster</w:t>
            </w:r>
          </w:p>
        </w:tc>
        <w:tc>
          <w:tcPr>
            <w:tcW w:w="2998" w:type="dxa"/>
            <w:tcBorders>
              <w:left w:val="single" w:sz="12" w:space="0" w:color="auto"/>
              <w:right w:val="single" w:sz="12" w:space="0" w:color="auto"/>
            </w:tcBorders>
          </w:tcPr>
          <w:p w14:paraId="3A3B86AF" w14:textId="77777777" w:rsidR="00DF3703" w:rsidRPr="00DF3703" w:rsidRDefault="00DF3703" w:rsidP="00CC3A2F">
            <w:pPr>
              <w:spacing w:after="0" w:line="240" w:lineRule="auto"/>
              <w:jc w:val="center"/>
            </w:pPr>
            <w:r w:rsidRPr="00DF3703">
              <w:t>4</w:t>
            </w:r>
          </w:p>
        </w:tc>
        <w:tc>
          <w:tcPr>
            <w:tcW w:w="3000" w:type="dxa"/>
            <w:tcBorders>
              <w:left w:val="single" w:sz="12" w:space="0" w:color="auto"/>
              <w:right w:val="single" w:sz="12" w:space="0" w:color="auto"/>
            </w:tcBorders>
          </w:tcPr>
          <w:p w14:paraId="18AAB7D3" w14:textId="77777777" w:rsidR="00DF3703" w:rsidRPr="00DF3703" w:rsidRDefault="00DF3703" w:rsidP="00CC3A2F">
            <w:pPr>
              <w:spacing w:after="0" w:line="240" w:lineRule="auto"/>
              <w:jc w:val="center"/>
            </w:pPr>
            <w:r w:rsidRPr="00DF3703">
              <w:t>2</w:t>
            </w:r>
          </w:p>
        </w:tc>
      </w:tr>
      <w:tr w:rsidR="00DF3703" w:rsidRPr="00DF3703" w14:paraId="466573BA" w14:textId="77777777" w:rsidTr="00CC3A2F">
        <w:tc>
          <w:tcPr>
            <w:tcW w:w="2998" w:type="dxa"/>
            <w:tcBorders>
              <w:left w:val="single" w:sz="12" w:space="0" w:color="auto"/>
              <w:right w:val="single" w:sz="12" w:space="0" w:color="auto"/>
            </w:tcBorders>
          </w:tcPr>
          <w:p w14:paraId="0192B91A" w14:textId="77777777" w:rsidR="00DF3703" w:rsidRPr="00DF3703" w:rsidRDefault="00DF3703" w:rsidP="00CC3A2F">
            <w:pPr>
              <w:spacing w:after="0" w:line="240" w:lineRule="auto"/>
            </w:pPr>
            <w:r w:rsidRPr="00DF3703">
              <w:t xml:space="preserve">     Married</w:t>
            </w:r>
          </w:p>
        </w:tc>
        <w:tc>
          <w:tcPr>
            <w:tcW w:w="2998" w:type="dxa"/>
            <w:tcBorders>
              <w:left w:val="single" w:sz="12" w:space="0" w:color="auto"/>
              <w:right w:val="single" w:sz="12" w:space="0" w:color="auto"/>
            </w:tcBorders>
          </w:tcPr>
          <w:p w14:paraId="74D3B8B7" w14:textId="77777777" w:rsidR="00DF3703" w:rsidRPr="00DF3703" w:rsidRDefault="00DF3703" w:rsidP="00CC3A2F">
            <w:pPr>
              <w:spacing w:after="0" w:line="240" w:lineRule="auto"/>
              <w:jc w:val="center"/>
            </w:pPr>
            <w:r w:rsidRPr="00DF3703">
              <w:t>0</w:t>
            </w:r>
          </w:p>
        </w:tc>
        <w:tc>
          <w:tcPr>
            <w:tcW w:w="3000" w:type="dxa"/>
            <w:tcBorders>
              <w:left w:val="single" w:sz="12" w:space="0" w:color="auto"/>
              <w:right w:val="single" w:sz="12" w:space="0" w:color="auto"/>
            </w:tcBorders>
          </w:tcPr>
          <w:p w14:paraId="79622D01" w14:textId="77777777" w:rsidR="00DF3703" w:rsidRPr="00DF3703" w:rsidRDefault="00DF3703" w:rsidP="00CC3A2F">
            <w:pPr>
              <w:spacing w:after="0" w:line="240" w:lineRule="auto"/>
              <w:jc w:val="center"/>
            </w:pPr>
            <w:r w:rsidRPr="00DF3703">
              <w:t>2</w:t>
            </w:r>
          </w:p>
        </w:tc>
      </w:tr>
      <w:tr w:rsidR="00DF3703" w:rsidRPr="00DF3703" w14:paraId="2E2C2F0E" w14:textId="77777777" w:rsidTr="00CC3A2F">
        <w:tc>
          <w:tcPr>
            <w:tcW w:w="2998" w:type="dxa"/>
            <w:tcBorders>
              <w:left w:val="single" w:sz="12" w:space="0" w:color="auto"/>
              <w:bottom w:val="single" w:sz="12" w:space="0" w:color="auto"/>
              <w:right w:val="single" w:sz="12" w:space="0" w:color="auto"/>
            </w:tcBorders>
          </w:tcPr>
          <w:p w14:paraId="3D1583DB" w14:textId="77777777" w:rsidR="00DF3703" w:rsidRPr="00DF3703" w:rsidRDefault="00DF3703" w:rsidP="00CC3A2F">
            <w:pPr>
              <w:spacing w:after="0" w:line="240" w:lineRule="auto"/>
            </w:pPr>
            <w:r w:rsidRPr="00DF3703">
              <w:t xml:space="preserve">     Widow</w:t>
            </w:r>
          </w:p>
        </w:tc>
        <w:tc>
          <w:tcPr>
            <w:tcW w:w="2998" w:type="dxa"/>
            <w:tcBorders>
              <w:left w:val="single" w:sz="12" w:space="0" w:color="auto"/>
              <w:bottom w:val="single" w:sz="12" w:space="0" w:color="auto"/>
              <w:right w:val="single" w:sz="12" w:space="0" w:color="auto"/>
            </w:tcBorders>
          </w:tcPr>
          <w:p w14:paraId="7D7047DD" w14:textId="77777777" w:rsidR="00DF3703" w:rsidRPr="00DF3703" w:rsidRDefault="00DF3703" w:rsidP="00CC3A2F">
            <w:pPr>
              <w:spacing w:after="0" w:line="240" w:lineRule="auto"/>
              <w:jc w:val="center"/>
            </w:pPr>
            <w:r w:rsidRPr="00DF3703">
              <w:t>23</w:t>
            </w:r>
          </w:p>
        </w:tc>
        <w:tc>
          <w:tcPr>
            <w:tcW w:w="3000" w:type="dxa"/>
            <w:tcBorders>
              <w:left w:val="single" w:sz="12" w:space="0" w:color="auto"/>
              <w:bottom w:val="single" w:sz="12" w:space="0" w:color="auto"/>
              <w:right w:val="single" w:sz="12" w:space="0" w:color="auto"/>
            </w:tcBorders>
          </w:tcPr>
          <w:p w14:paraId="5781EB49" w14:textId="77777777" w:rsidR="00DF3703" w:rsidRPr="00DF3703" w:rsidRDefault="00DF3703" w:rsidP="00CC3A2F">
            <w:pPr>
              <w:spacing w:after="0" w:line="240" w:lineRule="auto"/>
              <w:jc w:val="center"/>
            </w:pPr>
            <w:r w:rsidRPr="00DF3703">
              <w:t>19</w:t>
            </w:r>
          </w:p>
        </w:tc>
      </w:tr>
    </w:tbl>
    <w:p w14:paraId="7015F643" w14:textId="77777777" w:rsidR="00DF3703" w:rsidRPr="00DF3703" w:rsidRDefault="00DF3703" w:rsidP="00DF3703"/>
    <w:p w14:paraId="123C5104" w14:textId="77777777" w:rsidR="00CC3A2F" w:rsidRDefault="00CC3A2F" w:rsidP="00DF3703">
      <w:pPr>
        <w:jc w:val="center"/>
      </w:pPr>
    </w:p>
    <w:p w14:paraId="316CE603" w14:textId="77777777" w:rsidR="00CC3A2F" w:rsidRDefault="00CC3A2F" w:rsidP="00DF3703">
      <w:pPr>
        <w:jc w:val="center"/>
      </w:pPr>
    </w:p>
    <w:p w14:paraId="352BBEB0" w14:textId="77777777" w:rsidR="00CC3A2F" w:rsidRDefault="00CC3A2F" w:rsidP="00DF3703">
      <w:pPr>
        <w:jc w:val="center"/>
      </w:pPr>
    </w:p>
    <w:p w14:paraId="7E4FF750" w14:textId="77777777" w:rsidR="00CC3A2F" w:rsidRDefault="00CC3A2F" w:rsidP="00CC3A2F"/>
    <w:p w14:paraId="159561CD" w14:textId="4840B71E" w:rsidR="00DF3703" w:rsidRPr="00DF3703" w:rsidRDefault="00DF3703" w:rsidP="00DF3703">
      <w:pPr>
        <w:jc w:val="center"/>
      </w:pPr>
      <w:r w:rsidRPr="00DF3703">
        <w:t xml:space="preserve">Table 10 – Gender and marital status </w:t>
      </w:r>
      <w:r w:rsidR="000C3851">
        <w:t>among testators in the</w:t>
      </w:r>
      <w:r w:rsidRPr="00DF3703">
        <w:t xml:space="preserve"> Bolton-le-Sands and Prestbury wider survey.</w:t>
      </w:r>
    </w:p>
    <w:p w14:paraId="1ED5B9E2" w14:textId="77777777" w:rsidR="00DF3703" w:rsidRPr="00DF3703" w:rsidRDefault="00DF3703" w:rsidP="00DF3703">
      <w:r w:rsidRPr="00DF3703">
        <w:br w:type="page"/>
      </w:r>
    </w:p>
    <w:tbl>
      <w:tblPr>
        <w:tblStyle w:val="TableGrid4"/>
        <w:tblpPr w:leftFromText="180" w:rightFromText="180" w:horzAnchor="margin" w:tblpY="2640"/>
        <w:tblW w:w="0" w:type="auto"/>
        <w:tblLook w:val="04A0" w:firstRow="1" w:lastRow="0" w:firstColumn="1" w:lastColumn="0" w:noHBand="0" w:noVBand="1"/>
      </w:tblPr>
      <w:tblGrid>
        <w:gridCol w:w="1984"/>
        <w:gridCol w:w="1687"/>
        <w:gridCol w:w="1617"/>
        <w:gridCol w:w="1643"/>
        <w:gridCol w:w="1701"/>
      </w:tblGrid>
      <w:tr w:rsidR="00DF3703" w:rsidRPr="00DF3703" w14:paraId="7D9B23A0" w14:textId="77777777" w:rsidTr="00CC3A2F">
        <w:tc>
          <w:tcPr>
            <w:tcW w:w="1984" w:type="dxa"/>
            <w:vMerge w:val="restart"/>
            <w:tcBorders>
              <w:top w:val="single" w:sz="12" w:space="0" w:color="auto"/>
              <w:left w:val="single" w:sz="12" w:space="0" w:color="auto"/>
              <w:right w:val="single" w:sz="12" w:space="0" w:color="auto"/>
            </w:tcBorders>
          </w:tcPr>
          <w:p w14:paraId="0848E6BA" w14:textId="77777777" w:rsidR="00DF3703" w:rsidRPr="00DF3703" w:rsidRDefault="00DF3703" w:rsidP="00CC3A2F">
            <w:pPr>
              <w:spacing w:after="0" w:line="240" w:lineRule="auto"/>
            </w:pPr>
          </w:p>
        </w:tc>
        <w:tc>
          <w:tcPr>
            <w:tcW w:w="3304" w:type="dxa"/>
            <w:gridSpan w:val="2"/>
            <w:tcBorders>
              <w:top w:val="single" w:sz="12" w:space="0" w:color="auto"/>
              <w:left w:val="single" w:sz="12" w:space="0" w:color="auto"/>
              <w:bottom w:val="single" w:sz="12" w:space="0" w:color="auto"/>
              <w:right w:val="single" w:sz="12" w:space="0" w:color="auto"/>
            </w:tcBorders>
          </w:tcPr>
          <w:p w14:paraId="6FC815F4" w14:textId="77777777" w:rsidR="00DF3703" w:rsidRPr="00DF3703" w:rsidRDefault="00DF3703" w:rsidP="00CC3A2F">
            <w:pPr>
              <w:spacing w:after="0" w:line="240" w:lineRule="auto"/>
              <w:jc w:val="center"/>
              <w:rPr>
                <w:b/>
                <w:bCs/>
              </w:rPr>
            </w:pPr>
            <w:r w:rsidRPr="00DF3703">
              <w:rPr>
                <w:b/>
                <w:bCs/>
              </w:rPr>
              <w:t>Bolton-le-Sands</w:t>
            </w:r>
          </w:p>
        </w:tc>
        <w:tc>
          <w:tcPr>
            <w:tcW w:w="3344" w:type="dxa"/>
            <w:gridSpan w:val="2"/>
            <w:tcBorders>
              <w:top w:val="single" w:sz="12" w:space="0" w:color="auto"/>
              <w:left w:val="single" w:sz="12" w:space="0" w:color="auto"/>
              <w:bottom w:val="single" w:sz="12" w:space="0" w:color="auto"/>
              <w:right w:val="single" w:sz="12" w:space="0" w:color="auto"/>
            </w:tcBorders>
          </w:tcPr>
          <w:p w14:paraId="69FF2E2B" w14:textId="77777777" w:rsidR="00DF3703" w:rsidRPr="00DF3703" w:rsidRDefault="00DF3703" w:rsidP="00CC3A2F">
            <w:pPr>
              <w:spacing w:after="0" w:line="240" w:lineRule="auto"/>
              <w:jc w:val="center"/>
              <w:rPr>
                <w:b/>
                <w:bCs/>
              </w:rPr>
            </w:pPr>
            <w:r w:rsidRPr="00DF3703">
              <w:rPr>
                <w:b/>
                <w:bCs/>
              </w:rPr>
              <w:t>Prestbury</w:t>
            </w:r>
          </w:p>
        </w:tc>
      </w:tr>
      <w:tr w:rsidR="00DF3703" w:rsidRPr="00DF3703" w14:paraId="75AEE1CF" w14:textId="77777777" w:rsidTr="00CC3A2F">
        <w:tc>
          <w:tcPr>
            <w:tcW w:w="1984" w:type="dxa"/>
            <w:vMerge/>
            <w:tcBorders>
              <w:left w:val="single" w:sz="12" w:space="0" w:color="auto"/>
              <w:right w:val="single" w:sz="12" w:space="0" w:color="auto"/>
            </w:tcBorders>
          </w:tcPr>
          <w:p w14:paraId="43B2A291" w14:textId="77777777" w:rsidR="00DF3703" w:rsidRPr="00DF3703" w:rsidRDefault="00DF3703" w:rsidP="00CC3A2F">
            <w:pPr>
              <w:spacing w:after="0" w:line="240" w:lineRule="auto"/>
              <w:rPr>
                <w:b/>
                <w:bCs/>
              </w:rPr>
            </w:pPr>
          </w:p>
        </w:tc>
        <w:tc>
          <w:tcPr>
            <w:tcW w:w="1687" w:type="dxa"/>
            <w:tcBorders>
              <w:top w:val="single" w:sz="12" w:space="0" w:color="auto"/>
              <w:left w:val="single" w:sz="12" w:space="0" w:color="auto"/>
              <w:right w:val="single" w:sz="12" w:space="0" w:color="auto"/>
            </w:tcBorders>
          </w:tcPr>
          <w:p w14:paraId="37136ED1" w14:textId="77777777" w:rsidR="00DF3703" w:rsidRPr="00DF3703" w:rsidRDefault="00DF3703" w:rsidP="00CC3A2F">
            <w:pPr>
              <w:spacing w:after="0" w:line="240" w:lineRule="auto"/>
              <w:jc w:val="center"/>
              <w:rPr>
                <w:b/>
                <w:bCs/>
              </w:rPr>
            </w:pPr>
            <w:r w:rsidRPr="00DF3703">
              <w:rPr>
                <w:b/>
                <w:bCs/>
              </w:rPr>
              <w:t>Mean Assessed Wealth</w:t>
            </w:r>
          </w:p>
        </w:tc>
        <w:tc>
          <w:tcPr>
            <w:tcW w:w="1617" w:type="dxa"/>
            <w:tcBorders>
              <w:top w:val="single" w:sz="12" w:space="0" w:color="auto"/>
              <w:left w:val="single" w:sz="12" w:space="0" w:color="auto"/>
              <w:right w:val="single" w:sz="12" w:space="0" w:color="auto"/>
            </w:tcBorders>
          </w:tcPr>
          <w:p w14:paraId="7F8F0F1B" w14:textId="77777777" w:rsidR="00DF3703" w:rsidRPr="00DF3703" w:rsidRDefault="00DF3703" w:rsidP="00CC3A2F">
            <w:pPr>
              <w:spacing w:after="0" w:line="240" w:lineRule="auto"/>
              <w:jc w:val="center"/>
              <w:rPr>
                <w:b/>
                <w:bCs/>
              </w:rPr>
            </w:pPr>
            <w:r w:rsidRPr="00DF3703">
              <w:rPr>
                <w:b/>
                <w:bCs/>
              </w:rPr>
              <w:t>Median Assessed Wealth</w:t>
            </w:r>
          </w:p>
        </w:tc>
        <w:tc>
          <w:tcPr>
            <w:tcW w:w="1643" w:type="dxa"/>
            <w:tcBorders>
              <w:top w:val="single" w:sz="12" w:space="0" w:color="auto"/>
              <w:left w:val="single" w:sz="12" w:space="0" w:color="auto"/>
              <w:right w:val="single" w:sz="12" w:space="0" w:color="auto"/>
            </w:tcBorders>
          </w:tcPr>
          <w:p w14:paraId="2E436E14" w14:textId="77777777" w:rsidR="00DF3703" w:rsidRPr="00DF3703" w:rsidRDefault="00DF3703" w:rsidP="00CC3A2F">
            <w:pPr>
              <w:spacing w:after="0" w:line="240" w:lineRule="auto"/>
              <w:jc w:val="center"/>
              <w:rPr>
                <w:b/>
                <w:bCs/>
              </w:rPr>
            </w:pPr>
            <w:r w:rsidRPr="00DF3703">
              <w:rPr>
                <w:b/>
                <w:bCs/>
              </w:rPr>
              <w:t>Mean Assessed Wealth</w:t>
            </w:r>
          </w:p>
        </w:tc>
        <w:tc>
          <w:tcPr>
            <w:tcW w:w="1701" w:type="dxa"/>
            <w:tcBorders>
              <w:top w:val="single" w:sz="12" w:space="0" w:color="auto"/>
              <w:left w:val="single" w:sz="12" w:space="0" w:color="auto"/>
              <w:right w:val="single" w:sz="12" w:space="0" w:color="auto"/>
            </w:tcBorders>
          </w:tcPr>
          <w:p w14:paraId="6BE2C510" w14:textId="77777777" w:rsidR="00DF3703" w:rsidRPr="00DF3703" w:rsidRDefault="00DF3703" w:rsidP="00CC3A2F">
            <w:pPr>
              <w:spacing w:after="0" w:line="240" w:lineRule="auto"/>
              <w:jc w:val="center"/>
              <w:rPr>
                <w:b/>
                <w:bCs/>
              </w:rPr>
            </w:pPr>
            <w:r w:rsidRPr="00DF3703">
              <w:rPr>
                <w:b/>
                <w:bCs/>
              </w:rPr>
              <w:t>Median Assessed Wealth</w:t>
            </w:r>
          </w:p>
        </w:tc>
      </w:tr>
      <w:tr w:rsidR="00DF3703" w:rsidRPr="00DF3703" w14:paraId="4E63B33D" w14:textId="77777777" w:rsidTr="00CC3A2F">
        <w:tc>
          <w:tcPr>
            <w:tcW w:w="1984" w:type="dxa"/>
            <w:tcBorders>
              <w:top w:val="single" w:sz="12" w:space="0" w:color="auto"/>
              <w:left w:val="single" w:sz="12" w:space="0" w:color="auto"/>
              <w:right w:val="single" w:sz="12" w:space="0" w:color="auto"/>
            </w:tcBorders>
          </w:tcPr>
          <w:p w14:paraId="5119AAB9" w14:textId="77777777" w:rsidR="00DF3703" w:rsidRPr="00DF3703" w:rsidRDefault="00DF3703" w:rsidP="00CC3A2F">
            <w:pPr>
              <w:spacing w:after="0" w:line="240" w:lineRule="auto"/>
              <w:rPr>
                <w:b/>
                <w:bCs/>
              </w:rPr>
            </w:pPr>
            <w:r w:rsidRPr="00DF3703">
              <w:rPr>
                <w:b/>
                <w:bCs/>
              </w:rPr>
              <w:t>Men</w:t>
            </w:r>
          </w:p>
        </w:tc>
        <w:tc>
          <w:tcPr>
            <w:tcW w:w="1687" w:type="dxa"/>
            <w:tcBorders>
              <w:top w:val="single" w:sz="12" w:space="0" w:color="auto"/>
              <w:left w:val="single" w:sz="12" w:space="0" w:color="auto"/>
              <w:right w:val="single" w:sz="12" w:space="0" w:color="auto"/>
            </w:tcBorders>
          </w:tcPr>
          <w:p w14:paraId="60B76408" w14:textId="77777777" w:rsidR="00DF3703" w:rsidRPr="00DF3703" w:rsidRDefault="00DF3703" w:rsidP="00CC3A2F">
            <w:pPr>
              <w:spacing w:after="0" w:line="240" w:lineRule="auto"/>
              <w:jc w:val="center"/>
              <w:rPr>
                <w:b/>
                <w:bCs/>
              </w:rPr>
            </w:pPr>
            <w:r w:rsidRPr="00DF3703">
              <w:rPr>
                <w:b/>
                <w:bCs/>
              </w:rPr>
              <w:t>£103</w:t>
            </w:r>
          </w:p>
        </w:tc>
        <w:tc>
          <w:tcPr>
            <w:tcW w:w="1617" w:type="dxa"/>
            <w:tcBorders>
              <w:top w:val="single" w:sz="12" w:space="0" w:color="auto"/>
              <w:left w:val="single" w:sz="12" w:space="0" w:color="auto"/>
              <w:right w:val="single" w:sz="12" w:space="0" w:color="auto"/>
            </w:tcBorders>
          </w:tcPr>
          <w:p w14:paraId="7685652A" w14:textId="77777777" w:rsidR="00DF3703" w:rsidRPr="00DF3703" w:rsidRDefault="00DF3703" w:rsidP="00CC3A2F">
            <w:pPr>
              <w:spacing w:after="0" w:line="240" w:lineRule="auto"/>
              <w:jc w:val="center"/>
              <w:rPr>
                <w:b/>
                <w:bCs/>
              </w:rPr>
            </w:pPr>
            <w:r w:rsidRPr="00DF3703">
              <w:rPr>
                <w:b/>
                <w:bCs/>
              </w:rPr>
              <w:t>£63</w:t>
            </w:r>
          </w:p>
        </w:tc>
        <w:tc>
          <w:tcPr>
            <w:tcW w:w="1643" w:type="dxa"/>
            <w:tcBorders>
              <w:top w:val="single" w:sz="12" w:space="0" w:color="auto"/>
              <w:left w:val="single" w:sz="12" w:space="0" w:color="auto"/>
              <w:right w:val="single" w:sz="12" w:space="0" w:color="auto"/>
            </w:tcBorders>
          </w:tcPr>
          <w:p w14:paraId="7686E96D" w14:textId="77777777" w:rsidR="00DF3703" w:rsidRPr="00DF3703" w:rsidRDefault="00DF3703" w:rsidP="00CC3A2F">
            <w:pPr>
              <w:spacing w:after="0" w:line="240" w:lineRule="auto"/>
              <w:jc w:val="center"/>
              <w:rPr>
                <w:b/>
                <w:bCs/>
              </w:rPr>
            </w:pPr>
            <w:r w:rsidRPr="00DF3703">
              <w:rPr>
                <w:b/>
                <w:bCs/>
              </w:rPr>
              <w:t>£122</w:t>
            </w:r>
          </w:p>
        </w:tc>
        <w:tc>
          <w:tcPr>
            <w:tcW w:w="1701" w:type="dxa"/>
            <w:tcBorders>
              <w:top w:val="single" w:sz="12" w:space="0" w:color="auto"/>
              <w:left w:val="single" w:sz="12" w:space="0" w:color="auto"/>
              <w:right w:val="single" w:sz="12" w:space="0" w:color="auto"/>
            </w:tcBorders>
          </w:tcPr>
          <w:p w14:paraId="30B5ED77" w14:textId="77777777" w:rsidR="00DF3703" w:rsidRPr="00DF3703" w:rsidRDefault="00DF3703" w:rsidP="00CC3A2F">
            <w:pPr>
              <w:spacing w:after="0" w:line="240" w:lineRule="auto"/>
              <w:jc w:val="center"/>
              <w:rPr>
                <w:b/>
                <w:bCs/>
              </w:rPr>
            </w:pPr>
            <w:r w:rsidRPr="00DF3703">
              <w:rPr>
                <w:b/>
                <w:bCs/>
              </w:rPr>
              <w:t>£72</w:t>
            </w:r>
          </w:p>
        </w:tc>
      </w:tr>
      <w:tr w:rsidR="00DF3703" w:rsidRPr="00DF3703" w14:paraId="63813AB7" w14:textId="77777777" w:rsidTr="00CC3A2F">
        <w:tc>
          <w:tcPr>
            <w:tcW w:w="1984" w:type="dxa"/>
            <w:tcBorders>
              <w:left w:val="single" w:sz="12" w:space="0" w:color="auto"/>
              <w:right w:val="single" w:sz="12" w:space="0" w:color="auto"/>
            </w:tcBorders>
          </w:tcPr>
          <w:p w14:paraId="61E01029" w14:textId="77777777" w:rsidR="00DF3703" w:rsidRPr="00DF3703" w:rsidRDefault="00DF3703" w:rsidP="00CC3A2F">
            <w:pPr>
              <w:spacing w:after="0" w:line="240" w:lineRule="auto"/>
            </w:pPr>
            <w:r w:rsidRPr="00DF3703">
              <w:t xml:space="preserve">     Bachelor</w:t>
            </w:r>
          </w:p>
        </w:tc>
        <w:tc>
          <w:tcPr>
            <w:tcW w:w="1687" w:type="dxa"/>
            <w:tcBorders>
              <w:left w:val="single" w:sz="12" w:space="0" w:color="auto"/>
              <w:right w:val="single" w:sz="12" w:space="0" w:color="auto"/>
            </w:tcBorders>
          </w:tcPr>
          <w:p w14:paraId="6BD8EF66" w14:textId="77777777" w:rsidR="00DF3703" w:rsidRPr="00DF3703" w:rsidRDefault="00DF3703" w:rsidP="00CC3A2F">
            <w:pPr>
              <w:spacing w:after="0" w:line="240" w:lineRule="auto"/>
              <w:jc w:val="center"/>
            </w:pPr>
            <w:r w:rsidRPr="00DF3703">
              <w:t>£165</w:t>
            </w:r>
          </w:p>
        </w:tc>
        <w:tc>
          <w:tcPr>
            <w:tcW w:w="1617" w:type="dxa"/>
            <w:tcBorders>
              <w:left w:val="single" w:sz="12" w:space="0" w:color="auto"/>
              <w:right w:val="single" w:sz="12" w:space="0" w:color="auto"/>
            </w:tcBorders>
          </w:tcPr>
          <w:p w14:paraId="7C651B94" w14:textId="77777777" w:rsidR="00DF3703" w:rsidRPr="00DF3703" w:rsidRDefault="00DF3703" w:rsidP="00CC3A2F">
            <w:pPr>
              <w:spacing w:after="0" w:line="240" w:lineRule="auto"/>
              <w:jc w:val="center"/>
            </w:pPr>
            <w:r w:rsidRPr="00DF3703">
              <w:t>£80</w:t>
            </w:r>
          </w:p>
        </w:tc>
        <w:tc>
          <w:tcPr>
            <w:tcW w:w="1643" w:type="dxa"/>
            <w:tcBorders>
              <w:left w:val="single" w:sz="12" w:space="0" w:color="auto"/>
              <w:right w:val="single" w:sz="12" w:space="0" w:color="auto"/>
            </w:tcBorders>
          </w:tcPr>
          <w:p w14:paraId="4DE002F6" w14:textId="77777777" w:rsidR="00DF3703" w:rsidRPr="00DF3703" w:rsidRDefault="00DF3703" w:rsidP="00CC3A2F">
            <w:pPr>
              <w:spacing w:after="0" w:line="240" w:lineRule="auto"/>
              <w:jc w:val="center"/>
            </w:pPr>
            <w:r w:rsidRPr="00DF3703">
              <w:t>£194</w:t>
            </w:r>
          </w:p>
        </w:tc>
        <w:tc>
          <w:tcPr>
            <w:tcW w:w="1701" w:type="dxa"/>
            <w:tcBorders>
              <w:left w:val="single" w:sz="12" w:space="0" w:color="auto"/>
              <w:right w:val="single" w:sz="12" w:space="0" w:color="auto"/>
            </w:tcBorders>
          </w:tcPr>
          <w:p w14:paraId="25DE7D7F" w14:textId="77777777" w:rsidR="00DF3703" w:rsidRPr="00DF3703" w:rsidRDefault="00DF3703" w:rsidP="00CC3A2F">
            <w:pPr>
              <w:spacing w:after="0" w:line="240" w:lineRule="auto"/>
              <w:jc w:val="center"/>
            </w:pPr>
            <w:r w:rsidRPr="00DF3703">
              <w:t>£112</w:t>
            </w:r>
          </w:p>
        </w:tc>
      </w:tr>
      <w:tr w:rsidR="00DF3703" w:rsidRPr="00DF3703" w14:paraId="47A9B025" w14:textId="77777777" w:rsidTr="00CC3A2F">
        <w:tc>
          <w:tcPr>
            <w:tcW w:w="1984" w:type="dxa"/>
            <w:tcBorders>
              <w:left w:val="single" w:sz="12" w:space="0" w:color="auto"/>
              <w:right w:val="single" w:sz="12" w:space="0" w:color="auto"/>
            </w:tcBorders>
          </w:tcPr>
          <w:p w14:paraId="6FB6668E" w14:textId="77777777" w:rsidR="00DF3703" w:rsidRPr="00DF3703" w:rsidRDefault="00DF3703" w:rsidP="00CC3A2F">
            <w:pPr>
              <w:spacing w:after="0" w:line="240" w:lineRule="auto"/>
            </w:pPr>
            <w:r w:rsidRPr="00DF3703">
              <w:t xml:space="preserve">     Married</w:t>
            </w:r>
          </w:p>
        </w:tc>
        <w:tc>
          <w:tcPr>
            <w:tcW w:w="1687" w:type="dxa"/>
            <w:tcBorders>
              <w:left w:val="single" w:sz="12" w:space="0" w:color="auto"/>
              <w:right w:val="single" w:sz="12" w:space="0" w:color="auto"/>
            </w:tcBorders>
          </w:tcPr>
          <w:p w14:paraId="43893AE4" w14:textId="77777777" w:rsidR="00DF3703" w:rsidRPr="00DF3703" w:rsidRDefault="00DF3703" w:rsidP="00CC3A2F">
            <w:pPr>
              <w:spacing w:after="0" w:line="240" w:lineRule="auto"/>
              <w:jc w:val="center"/>
            </w:pPr>
            <w:r w:rsidRPr="00DF3703">
              <w:t>£95</w:t>
            </w:r>
          </w:p>
        </w:tc>
        <w:tc>
          <w:tcPr>
            <w:tcW w:w="1617" w:type="dxa"/>
            <w:tcBorders>
              <w:left w:val="single" w:sz="12" w:space="0" w:color="auto"/>
              <w:right w:val="single" w:sz="12" w:space="0" w:color="auto"/>
            </w:tcBorders>
          </w:tcPr>
          <w:p w14:paraId="02A5067D" w14:textId="77777777" w:rsidR="00DF3703" w:rsidRPr="00DF3703" w:rsidRDefault="00DF3703" w:rsidP="00CC3A2F">
            <w:pPr>
              <w:spacing w:after="0" w:line="240" w:lineRule="auto"/>
              <w:jc w:val="center"/>
            </w:pPr>
            <w:r w:rsidRPr="00DF3703">
              <w:t>£64</w:t>
            </w:r>
          </w:p>
        </w:tc>
        <w:tc>
          <w:tcPr>
            <w:tcW w:w="1643" w:type="dxa"/>
            <w:tcBorders>
              <w:left w:val="single" w:sz="12" w:space="0" w:color="auto"/>
              <w:right w:val="single" w:sz="12" w:space="0" w:color="auto"/>
            </w:tcBorders>
          </w:tcPr>
          <w:p w14:paraId="0FF68BBB" w14:textId="77777777" w:rsidR="00DF3703" w:rsidRPr="00DF3703" w:rsidRDefault="00DF3703" w:rsidP="00CC3A2F">
            <w:pPr>
              <w:spacing w:after="0" w:line="240" w:lineRule="auto"/>
              <w:jc w:val="center"/>
            </w:pPr>
            <w:r w:rsidRPr="00DF3703">
              <w:t>£111</w:t>
            </w:r>
          </w:p>
        </w:tc>
        <w:tc>
          <w:tcPr>
            <w:tcW w:w="1701" w:type="dxa"/>
            <w:tcBorders>
              <w:left w:val="single" w:sz="12" w:space="0" w:color="auto"/>
              <w:right w:val="single" w:sz="12" w:space="0" w:color="auto"/>
            </w:tcBorders>
          </w:tcPr>
          <w:p w14:paraId="005B3FC2" w14:textId="77777777" w:rsidR="00DF3703" w:rsidRPr="00DF3703" w:rsidRDefault="00DF3703" w:rsidP="00CC3A2F">
            <w:pPr>
              <w:spacing w:after="0" w:line="240" w:lineRule="auto"/>
              <w:jc w:val="center"/>
            </w:pPr>
            <w:r w:rsidRPr="00DF3703">
              <w:t>£79</w:t>
            </w:r>
          </w:p>
        </w:tc>
      </w:tr>
      <w:tr w:rsidR="00DF3703" w:rsidRPr="00DF3703" w14:paraId="5BD85DBF" w14:textId="77777777" w:rsidTr="00CC3A2F">
        <w:tc>
          <w:tcPr>
            <w:tcW w:w="1984" w:type="dxa"/>
            <w:tcBorders>
              <w:left w:val="single" w:sz="12" w:space="0" w:color="auto"/>
              <w:right w:val="single" w:sz="12" w:space="0" w:color="auto"/>
            </w:tcBorders>
          </w:tcPr>
          <w:p w14:paraId="53D75DE6" w14:textId="77777777" w:rsidR="00DF3703" w:rsidRPr="00DF3703" w:rsidRDefault="00DF3703" w:rsidP="00CC3A2F">
            <w:pPr>
              <w:spacing w:after="0" w:line="240" w:lineRule="auto"/>
            </w:pPr>
            <w:r w:rsidRPr="00DF3703">
              <w:t xml:space="preserve">     Widower</w:t>
            </w:r>
          </w:p>
        </w:tc>
        <w:tc>
          <w:tcPr>
            <w:tcW w:w="1687" w:type="dxa"/>
            <w:tcBorders>
              <w:left w:val="single" w:sz="12" w:space="0" w:color="auto"/>
              <w:right w:val="single" w:sz="12" w:space="0" w:color="auto"/>
            </w:tcBorders>
          </w:tcPr>
          <w:p w14:paraId="083A1C58" w14:textId="77777777" w:rsidR="00DF3703" w:rsidRPr="00DF3703" w:rsidRDefault="00DF3703" w:rsidP="00CC3A2F">
            <w:pPr>
              <w:spacing w:after="0" w:line="240" w:lineRule="auto"/>
              <w:jc w:val="center"/>
            </w:pPr>
            <w:r w:rsidRPr="00DF3703">
              <w:t>£108</w:t>
            </w:r>
          </w:p>
        </w:tc>
        <w:tc>
          <w:tcPr>
            <w:tcW w:w="1617" w:type="dxa"/>
            <w:tcBorders>
              <w:left w:val="single" w:sz="12" w:space="0" w:color="auto"/>
              <w:right w:val="single" w:sz="12" w:space="0" w:color="auto"/>
            </w:tcBorders>
          </w:tcPr>
          <w:p w14:paraId="385E2300" w14:textId="77777777" w:rsidR="00DF3703" w:rsidRPr="00DF3703" w:rsidRDefault="00DF3703" w:rsidP="00CC3A2F">
            <w:pPr>
              <w:spacing w:after="0" w:line="240" w:lineRule="auto"/>
              <w:jc w:val="center"/>
            </w:pPr>
            <w:r w:rsidRPr="00DF3703">
              <w:t>£43</w:t>
            </w:r>
          </w:p>
        </w:tc>
        <w:tc>
          <w:tcPr>
            <w:tcW w:w="1643" w:type="dxa"/>
            <w:tcBorders>
              <w:left w:val="single" w:sz="12" w:space="0" w:color="auto"/>
              <w:right w:val="single" w:sz="12" w:space="0" w:color="auto"/>
            </w:tcBorders>
          </w:tcPr>
          <w:p w14:paraId="0E719856" w14:textId="77777777" w:rsidR="00DF3703" w:rsidRPr="00DF3703" w:rsidRDefault="00DF3703" w:rsidP="00CC3A2F">
            <w:pPr>
              <w:spacing w:after="0" w:line="240" w:lineRule="auto"/>
              <w:jc w:val="center"/>
            </w:pPr>
            <w:r w:rsidRPr="00DF3703">
              <w:t>£96</w:t>
            </w:r>
          </w:p>
        </w:tc>
        <w:tc>
          <w:tcPr>
            <w:tcW w:w="1701" w:type="dxa"/>
            <w:tcBorders>
              <w:left w:val="single" w:sz="12" w:space="0" w:color="auto"/>
              <w:right w:val="single" w:sz="12" w:space="0" w:color="auto"/>
            </w:tcBorders>
          </w:tcPr>
          <w:p w14:paraId="36EDCCD8" w14:textId="77777777" w:rsidR="00DF3703" w:rsidRPr="00DF3703" w:rsidRDefault="00DF3703" w:rsidP="00CC3A2F">
            <w:pPr>
              <w:spacing w:after="0" w:line="240" w:lineRule="auto"/>
              <w:jc w:val="center"/>
            </w:pPr>
            <w:r w:rsidRPr="00DF3703">
              <w:t>£29</w:t>
            </w:r>
          </w:p>
        </w:tc>
      </w:tr>
      <w:tr w:rsidR="00DF3703" w:rsidRPr="00DF3703" w14:paraId="3DB7E74C" w14:textId="77777777" w:rsidTr="00CC3A2F">
        <w:tc>
          <w:tcPr>
            <w:tcW w:w="1984" w:type="dxa"/>
            <w:tcBorders>
              <w:top w:val="single" w:sz="12" w:space="0" w:color="auto"/>
              <w:left w:val="single" w:sz="12" w:space="0" w:color="auto"/>
              <w:right w:val="single" w:sz="12" w:space="0" w:color="auto"/>
            </w:tcBorders>
          </w:tcPr>
          <w:p w14:paraId="16915C14" w14:textId="77777777" w:rsidR="00DF3703" w:rsidRPr="00DF3703" w:rsidRDefault="00DF3703" w:rsidP="00CC3A2F">
            <w:pPr>
              <w:spacing w:after="0" w:line="240" w:lineRule="auto"/>
              <w:rPr>
                <w:b/>
                <w:bCs/>
              </w:rPr>
            </w:pPr>
            <w:r w:rsidRPr="00DF3703">
              <w:rPr>
                <w:b/>
                <w:bCs/>
              </w:rPr>
              <w:t>Women</w:t>
            </w:r>
          </w:p>
        </w:tc>
        <w:tc>
          <w:tcPr>
            <w:tcW w:w="1687" w:type="dxa"/>
            <w:tcBorders>
              <w:top w:val="single" w:sz="12" w:space="0" w:color="auto"/>
              <w:left w:val="single" w:sz="12" w:space="0" w:color="auto"/>
              <w:right w:val="single" w:sz="12" w:space="0" w:color="auto"/>
            </w:tcBorders>
          </w:tcPr>
          <w:p w14:paraId="6186301F" w14:textId="77777777" w:rsidR="00DF3703" w:rsidRPr="00DF3703" w:rsidRDefault="00DF3703" w:rsidP="00CC3A2F">
            <w:pPr>
              <w:spacing w:after="0" w:line="240" w:lineRule="auto"/>
              <w:jc w:val="center"/>
              <w:rPr>
                <w:b/>
                <w:bCs/>
              </w:rPr>
            </w:pPr>
            <w:r w:rsidRPr="00DF3703">
              <w:rPr>
                <w:b/>
                <w:bCs/>
              </w:rPr>
              <w:t>£80</w:t>
            </w:r>
          </w:p>
        </w:tc>
        <w:tc>
          <w:tcPr>
            <w:tcW w:w="1617" w:type="dxa"/>
            <w:tcBorders>
              <w:top w:val="single" w:sz="12" w:space="0" w:color="auto"/>
              <w:left w:val="single" w:sz="12" w:space="0" w:color="auto"/>
              <w:right w:val="single" w:sz="12" w:space="0" w:color="auto"/>
            </w:tcBorders>
          </w:tcPr>
          <w:p w14:paraId="73F112B0" w14:textId="77777777" w:rsidR="00DF3703" w:rsidRPr="00DF3703" w:rsidRDefault="00DF3703" w:rsidP="00CC3A2F">
            <w:pPr>
              <w:spacing w:after="0" w:line="240" w:lineRule="auto"/>
              <w:jc w:val="center"/>
              <w:rPr>
                <w:b/>
                <w:bCs/>
              </w:rPr>
            </w:pPr>
            <w:r w:rsidRPr="00DF3703">
              <w:rPr>
                <w:b/>
                <w:bCs/>
              </w:rPr>
              <w:t>£38</w:t>
            </w:r>
          </w:p>
        </w:tc>
        <w:tc>
          <w:tcPr>
            <w:tcW w:w="1643" w:type="dxa"/>
            <w:tcBorders>
              <w:top w:val="single" w:sz="12" w:space="0" w:color="auto"/>
              <w:left w:val="single" w:sz="12" w:space="0" w:color="auto"/>
              <w:right w:val="single" w:sz="12" w:space="0" w:color="auto"/>
            </w:tcBorders>
          </w:tcPr>
          <w:p w14:paraId="0266ECB1" w14:textId="77777777" w:rsidR="00DF3703" w:rsidRPr="00DF3703" w:rsidRDefault="00DF3703" w:rsidP="00CC3A2F">
            <w:pPr>
              <w:spacing w:after="0" w:line="240" w:lineRule="auto"/>
              <w:jc w:val="center"/>
              <w:rPr>
                <w:b/>
                <w:bCs/>
              </w:rPr>
            </w:pPr>
            <w:r w:rsidRPr="00DF3703">
              <w:rPr>
                <w:b/>
                <w:bCs/>
              </w:rPr>
              <w:t>£48</w:t>
            </w:r>
          </w:p>
        </w:tc>
        <w:tc>
          <w:tcPr>
            <w:tcW w:w="1701" w:type="dxa"/>
            <w:tcBorders>
              <w:top w:val="single" w:sz="12" w:space="0" w:color="auto"/>
              <w:left w:val="single" w:sz="12" w:space="0" w:color="auto"/>
              <w:right w:val="single" w:sz="12" w:space="0" w:color="auto"/>
            </w:tcBorders>
          </w:tcPr>
          <w:p w14:paraId="4192F46E" w14:textId="77777777" w:rsidR="00DF3703" w:rsidRPr="00DF3703" w:rsidRDefault="00DF3703" w:rsidP="00CC3A2F">
            <w:pPr>
              <w:spacing w:after="0" w:line="240" w:lineRule="auto"/>
              <w:jc w:val="center"/>
              <w:rPr>
                <w:b/>
                <w:bCs/>
              </w:rPr>
            </w:pPr>
            <w:r w:rsidRPr="00DF3703">
              <w:rPr>
                <w:b/>
                <w:bCs/>
              </w:rPr>
              <w:t>£33</w:t>
            </w:r>
          </w:p>
        </w:tc>
      </w:tr>
      <w:tr w:rsidR="00DF3703" w:rsidRPr="00DF3703" w14:paraId="62DED38A" w14:textId="77777777" w:rsidTr="00CC3A2F">
        <w:tc>
          <w:tcPr>
            <w:tcW w:w="1984" w:type="dxa"/>
            <w:tcBorders>
              <w:left w:val="single" w:sz="12" w:space="0" w:color="auto"/>
              <w:right w:val="single" w:sz="12" w:space="0" w:color="auto"/>
            </w:tcBorders>
          </w:tcPr>
          <w:p w14:paraId="53311617" w14:textId="77777777" w:rsidR="00DF3703" w:rsidRPr="00DF3703" w:rsidRDefault="00DF3703" w:rsidP="00CC3A2F">
            <w:pPr>
              <w:spacing w:after="0" w:line="240" w:lineRule="auto"/>
            </w:pPr>
            <w:r w:rsidRPr="00DF3703">
              <w:t xml:space="preserve">     Spinster</w:t>
            </w:r>
          </w:p>
        </w:tc>
        <w:tc>
          <w:tcPr>
            <w:tcW w:w="1687" w:type="dxa"/>
            <w:tcBorders>
              <w:left w:val="single" w:sz="12" w:space="0" w:color="auto"/>
              <w:right w:val="single" w:sz="12" w:space="0" w:color="auto"/>
            </w:tcBorders>
          </w:tcPr>
          <w:p w14:paraId="1D295523" w14:textId="77777777" w:rsidR="00DF3703" w:rsidRPr="00DF3703" w:rsidRDefault="00DF3703" w:rsidP="00CC3A2F">
            <w:pPr>
              <w:spacing w:after="0" w:line="240" w:lineRule="auto"/>
              <w:jc w:val="center"/>
            </w:pPr>
            <w:r w:rsidRPr="00DF3703">
              <w:t>£168</w:t>
            </w:r>
          </w:p>
        </w:tc>
        <w:tc>
          <w:tcPr>
            <w:tcW w:w="1617" w:type="dxa"/>
            <w:tcBorders>
              <w:left w:val="single" w:sz="12" w:space="0" w:color="auto"/>
              <w:right w:val="single" w:sz="12" w:space="0" w:color="auto"/>
            </w:tcBorders>
          </w:tcPr>
          <w:p w14:paraId="55B3DEF4" w14:textId="77777777" w:rsidR="00DF3703" w:rsidRPr="00DF3703" w:rsidRDefault="00DF3703" w:rsidP="00CC3A2F">
            <w:pPr>
              <w:spacing w:after="0" w:line="240" w:lineRule="auto"/>
              <w:jc w:val="center"/>
            </w:pPr>
            <w:r w:rsidRPr="00DF3703">
              <w:t>£58</w:t>
            </w:r>
          </w:p>
        </w:tc>
        <w:tc>
          <w:tcPr>
            <w:tcW w:w="1643" w:type="dxa"/>
            <w:tcBorders>
              <w:left w:val="single" w:sz="12" w:space="0" w:color="auto"/>
              <w:right w:val="single" w:sz="12" w:space="0" w:color="auto"/>
            </w:tcBorders>
          </w:tcPr>
          <w:p w14:paraId="707D1C2A" w14:textId="77777777" w:rsidR="00DF3703" w:rsidRPr="00DF3703" w:rsidRDefault="00DF3703" w:rsidP="00CC3A2F">
            <w:pPr>
              <w:spacing w:after="0" w:line="240" w:lineRule="auto"/>
              <w:jc w:val="center"/>
            </w:pPr>
            <w:r w:rsidRPr="00DF3703">
              <w:t>£29</w:t>
            </w:r>
          </w:p>
        </w:tc>
        <w:tc>
          <w:tcPr>
            <w:tcW w:w="1701" w:type="dxa"/>
            <w:tcBorders>
              <w:left w:val="single" w:sz="12" w:space="0" w:color="auto"/>
              <w:right w:val="single" w:sz="12" w:space="0" w:color="auto"/>
            </w:tcBorders>
          </w:tcPr>
          <w:p w14:paraId="0AAE7C2F" w14:textId="77777777" w:rsidR="00DF3703" w:rsidRPr="00DF3703" w:rsidRDefault="00DF3703" w:rsidP="00CC3A2F">
            <w:pPr>
              <w:spacing w:after="0" w:line="240" w:lineRule="auto"/>
              <w:jc w:val="center"/>
            </w:pPr>
            <w:r w:rsidRPr="00DF3703">
              <w:t>£29</w:t>
            </w:r>
          </w:p>
        </w:tc>
      </w:tr>
      <w:tr w:rsidR="00DF3703" w:rsidRPr="00DF3703" w14:paraId="2125526C" w14:textId="77777777" w:rsidTr="00CC3A2F">
        <w:tc>
          <w:tcPr>
            <w:tcW w:w="1984" w:type="dxa"/>
            <w:tcBorders>
              <w:left w:val="single" w:sz="12" w:space="0" w:color="auto"/>
              <w:right w:val="single" w:sz="12" w:space="0" w:color="auto"/>
            </w:tcBorders>
          </w:tcPr>
          <w:p w14:paraId="19664561" w14:textId="77777777" w:rsidR="00DF3703" w:rsidRPr="00DF3703" w:rsidRDefault="00DF3703" w:rsidP="00CC3A2F">
            <w:pPr>
              <w:spacing w:after="0" w:line="240" w:lineRule="auto"/>
            </w:pPr>
            <w:r w:rsidRPr="00DF3703">
              <w:t xml:space="preserve">     Married</w:t>
            </w:r>
          </w:p>
        </w:tc>
        <w:tc>
          <w:tcPr>
            <w:tcW w:w="1687" w:type="dxa"/>
            <w:tcBorders>
              <w:left w:val="single" w:sz="12" w:space="0" w:color="auto"/>
              <w:right w:val="single" w:sz="12" w:space="0" w:color="auto"/>
            </w:tcBorders>
          </w:tcPr>
          <w:p w14:paraId="03805177" w14:textId="77777777" w:rsidR="00DF3703" w:rsidRPr="00DF3703" w:rsidRDefault="00DF3703" w:rsidP="00CC3A2F">
            <w:pPr>
              <w:spacing w:after="0" w:line="240" w:lineRule="auto"/>
              <w:jc w:val="center"/>
            </w:pPr>
            <w:r w:rsidRPr="00DF3703">
              <w:t>-</w:t>
            </w:r>
          </w:p>
        </w:tc>
        <w:tc>
          <w:tcPr>
            <w:tcW w:w="1617" w:type="dxa"/>
            <w:tcBorders>
              <w:left w:val="single" w:sz="12" w:space="0" w:color="auto"/>
              <w:right w:val="single" w:sz="12" w:space="0" w:color="auto"/>
            </w:tcBorders>
          </w:tcPr>
          <w:p w14:paraId="6CC1F0AF" w14:textId="77777777" w:rsidR="00DF3703" w:rsidRPr="00DF3703" w:rsidRDefault="00DF3703" w:rsidP="00CC3A2F">
            <w:pPr>
              <w:spacing w:after="0" w:line="240" w:lineRule="auto"/>
              <w:jc w:val="center"/>
            </w:pPr>
            <w:r w:rsidRPr="00DF3703">
              <w:t>-</w:t>
            </w:r>
          </w:p>
        </w:tc>
        <w:tc>
          <w:tcPr>
            <w:tcW w:w="1643" w:type="dxa"/>
            <w:tcBorders>
              <w:left w:val="single" w:sz="12" w:space="0" w:color="auto"/>
              <w:right w:val="single" w:sz="12" w:space="0" w:color="auto"/>
            </w:tcBorders>
          </w:tcPr>
          <w:p w14:paraId="673B5B17" w14:textId="77777777" w:rsidR="00DF3703" w:rsidRPr="00DF3703" w:rsidRDefault="00DF3703" w:rsidP="00CC3A2F">
            <w:pPr>
              <w:spacing w:after="0" w:line="240" w:lineRule="auto"/>
              <w:jc w:val="center"/>
            </w:pPr>
            <w:r w:rsidRPr="00DF3703">
              <w:t>£47</w:t>
            </w:r>
          </w:p>
        </w:tc>
        <w:tc>
          <w:tcPr>
            <w:tcW w:w="1701" w:type="dxa"/>
            <w:tcBorders>
              <w:left w:val="single" w:sz="12" w:space="0" w:color="auto"/>
              <w:right w:val="single" w:sz="12" w:space="0" w:color="auto"/>
            </w:tcBorders>
          </w:tcPr>
          <w:p w14:paraId="6B226263" w14:textId="77777777" w:rsidR="00DF3703" w:rsidRPr="00DF3703" w:rsidRDefault="00DF3703" w:rsidP="00CC3A2F">
            <w:pPr>
              <w:spacing w:after="0" w:line="240" w:lineRule="auto"/>
              <w:jc w:val="center"/>
            </w:pPr>
            <w:r w:rsidRPr="00DF3703">
              <w:t>£47</w:t>
            </w:r>
          </w:p>
        </w:tc>
      </w:tr>
      <w:tr w:rsidR="00DF3703" w:rsidRPr="00DF3703" w14:paraId="0F9374F1" w14:textId="77777777" w:rsidTr="00CC3A2F">
        <w:tc>
          <w:tcPr>
            <w:tcW w:w="1984" w:type="dxa"/>
            <w:tcBorders>
              <w:left w:val="single" w:sz="12" w:space="0" w:color="auto"/>
              <w:bottom w:val="single" w:sz="12" w:space="0" w:color="auto"/>
              <w:right w:val="single" w:sz="12" w:space="0" w:color="auto"/>
            </w:tcBorders>
          </w:tcPr>
          <w:p w14:paraId="2FD7C6C9" w14:textId="77777777" w:rsidR="00DF3703" w:rsidRPr="00DF3703" w:rsidRDefault="00DF3703" w:rsidP="00CC3A2F">
            <w:pPr>
              <w:spacing w:after="0" w:line="240" w:lineRule="auto"/>
            </w:pPr>
            <w:r w:rsidRPr="00DF3703">
              <w:t xml:space="preserve">     Widow</w:t>
            </w:r>
          </w:p>
        </w:tc>
        <w:tc>
          <w:tcPr>
            <w:tcW w:w="1687" w:type="dxa"/>
            <w:tcBorders>
              <w:left w:val="single" w:sz="12" w:space="0" w:color="auto"/>
              <w:bottom w:val="single" w:sz="12" w:space="0" w:color="auto"/>
              <w:right w:val="single" w:sz="12" w:space="0" w:color="auto"/>
            </w:tcBorders>
          </w:tcPr>
          <w:p w14:paraId="03F1E6CA" w14:textId="77777777" w:rsidR="00DF3703" w:rsidRPr="00DF3703" w:rsidRDefault="00DF3703" w:rsidP="00CC3A2F">
            <w:pPr>
              <w:spacing w:after="0" w:line="240" w:lineRule="auto"/>
              <w:jc w:val="center"/>
            </w:pPr>
            <w:r w:rsidRPr="00DF3703">
              <w:t>£64</w:t>
            </w:r>
          </w:p>
        </w:tc>
        <w:tc>
          <w:tcPr>
            <w:tcW w:w="1617" w:type="dxa"/>
            <w:tcBorders>
              <w:left w:val="single" w:sz="12" w:space="0" w:color="auto"/>
              <w:bottom w:val="single" w:sz="12" w:space="0" w:color="auto"/>
              <w:right w:val="single" w:sz="12" w:space="0" w:color="auto"/>
            </w:tcBorders>
          </w:tcPr>
          <w:p w14:paraId="722F77B8" w14:textId="77777777" w:rsidR="00DF3703" w:rsidRPr="00DF3703" w:rsidRDefault="00DF3703" w:rsidP="00CC3A2F">
            <w:pPr>
              <w:spacing w:after="0" w:line="240" w:lineRule="auto"/>
              <w:jc w:val="center"/>
            </w:pPr>
            <w:r w:rsidRPr="00DF3703">
              <w:t>£38</w:t>
            </w:r>
          </w:p>
        </w:tc>
        <w:tc>
          <w:tcPr>
            <w:tcW w:w="1643" w:type="dxa"/>
            <w:tcBorders>
              <w:left w:val="single" w:sz="12" w:space="0" w:color="auto"/>
              <w:bottom w:val="single" w:sz="12" w:space="0" w:color="auto"/>
              <w:right w:val="single" w:sz="12" w:space="0" w:color="auto"/>
            </w:tcBorders>
          </w:tcPr>
          <w:p w14:paraId="2210D1B8" w14:textId="77777777" w:rsidR="00DF3703" w:rsidRPr="00DF3703" w:rsidRDefault="00DF3703" w:rsidP="00CC3A2F">
            <w:pPr>
              <w:spacing w:after="0" w:line="240" w:lineRule="auto"/>
              <w:jc w:val="center"/>
            </w:pPr>
            <w:r w:rsidRPr="00DF3703">
              <w:t>£50</w:t>
            </w:r>
          </w:p>
        </w:tc>
        <w:tc>
          <w:tcPr>
            <w:tcW w:w="1701" w:type="dxa"/>
            <w:tcBorders>
              <w:left w:val="single" w:sz="12" w:space="0" w:color="auto"/>
              <w:bottom w:val="single" w:sz="12" w:space="0" w:color="auto"/>
              <w:right w:val="single" w:sz="12" w:space="0" w:color="auto"/>
            </w:tcBorders>
          </w:tcPr>
          <w:p w14:paraId="7A4A4DB1" w14:textId="77777777" w:rsidR="00DF3703" w:rsidRPr="00DF3703" w:rsidRDefault="00DF3703" w:rsidP="00CC3A2F">
            <w:pPr>
              <w:spacing w:after="0" w:line="240" w:lineRule="auto"/>
              <w:jc w:val="center"/>
            </w:pPr>
            <w:r w:rsidRPr="00DF3703">
              <w:t>£33</w:t>
            </w:r>
          </w:p>
        </w:tc>
      </w:tr>
      <w:tr w:rsidR="00DF3703" w:rsidRPr="00DF3703" w14:paraId="5936FBE0" w14:textId="77777777" w:rsidTr="00CC3A2F">
        <w:tc>
          <w:tcPr>
            <w:tcW w:w="1984" w:type="dxa"/>
            <w:tcBorders>
              <w:top w:val="single" w:sz="12" w:space="0" w:color="auto"/>
              <w:left w:val="single" w:sz="12" w:space="0" w:color="auto"/>
              <w:bottom w:val="single" w:sz="12" w:space="0" w:color="auto"/>
              <w:right w:val="single" w:sz="12" w:space="0" w:color="auto"/>
            </w:tcBorders>
          </w:tcPr>
          <w:p w14:paraId="26F9FBEC" w14:textId="77777777" w:rsidR="00DF3703" w:rsidRPr="00DF3703" w:rsidRDefault="00DF3703" w:rsidP="00CC3A2F">
            <w:pPr>
              <w:spacing w:after="0" w:line="240" w:lineRule="auto"/>
              <w:rPr>
                <w:b/>
                <w:bCs/>
              </w:rPr>
            </w:pPr>
            <w:r w:rsidRPr="00DF3703">
              <w:rPr>
                <w:b/>
                <w:bCs/>
              </w:rPr>
              <w:t>Both Sexes</w:t>
            </w:r>
          </w:p>
        </w:tc>
        <w:tc>
          <w:tcPr>
            <w:tcW w:w="1687" w:type="dxa"/>
            <w:tcBorders>
              <w:top w:val="single" w:sz="12" w:space="0" w:color="auto"/>
              <w:left w:val="single" w:sz="12" w:space="0" w:color="auto"/>
              <w:bottom w:val="single" w:sz="12" w:space="0" w:color="auto"/>
              <w:right w:val="single" w:sz="12" w:space="0" w:color="auto"/>
            </w:tcBorders>
          </w:tcPr>
          <w:p w14:paraId="5F425351" w14:textId="77777777" w:rsidR="00DF3703" w:rsidRPr="00DF3703" w:rsidRDefault="00DF3703" w:rsidP="00CC3A2F">
            <w:pPr>
              <w:spacing w:after="0" w:line="240" w:lineRule="auto"/>
              <w:jc w:val="center"/>
              <w:rPr>
                <w:b/>
                <w:bCs/>
              </w:rPr>
            </w:pPr>
            <w:r w:rsidRPr="00DF3703">
              <w:rPr>
                <w:b/>
                <w:bCs/>
              </w:rPr>
              <w:t>£96</w:t>
            </w:r>
          </w:p>
        </w:tc>
        <w:tc>
          <w:tcPr>
            <w:tcW w:w="1617" w:type="dxa"/>
            <w:tcBorders>
              <w:top w:val="single" w:sz="12" w:space="0" w:color="auto"/>
              <w:left w:val="single" w:sz="12" w:space="0" w:color="auto"/>
              <w:bottom w:val="single" w:sz="12" w:space="0" w:color="auto"/>
              <w:right w:val="single" w:sz="12" w:space="0" w:color="auto"/>
            </w:tcBorders>
          </w:tcPr>
          <w:p w14:paraId="0E832850" w14:textId="77777777" w:rsidR="00DF3703" w:rsidRPr="00DF3703" w:rsidRDefault="00DF3703" w:rsidP="00CC3A2F">
            <w:pPr>
              <w:spacing w:after="0" w:line="240" w:lineRule="auto"/>
              <w:jc w:val="center"/>
              <w:rPr>
                <w:b/>
                <w:bCs/>
              </w:rPr>
            </w:pPr>
            <w:r w:rsidRPr="00DF3703">
              <w:rPr>
                <w:b/>
                <w:bCs/>
              </w:rPr>
              <w:t>£55</w:t>
            </w:r>
          </w:p>
        </w:tc>
        <w:tc>
          <w:tcPr>
            <w:tcW w:w="1643" w:type="dxa"/>
            <w:tcBorders>
              <w:top w:val="single" w:sz="12" w:space="0" w:color="auto"/>
              <w:left w:val="single" w:sz="12" w:space="0" w:color="auto"/>
              <w:bottom w:val="single" w:sz="12" w:space="0" w:color="auto"/>
              <w:right w:val="single" w:sz="12" w:space="0" w:color="auto"/>
            </w:tcBorders>
          </w:tcPr>
          <w:p w14:paraId="58AE4F64" w14:textId="77777777" w:rsidR="00DF3703" w:rsidRPr="00DF3703" w:rsidRDefault="00DF3703" w:rsidP="00CC3A2F">
            <w:pPr>
              <w:spacing w:after="0" w:line="240" w:lineRule="auto"/>
              <w:jc w:val="center"/>
              <w:rPr>
                <w:b/>
                <w:bCs/>
              </w:rPr>
            </w:pPr>
            <w:r w:rsidRPr="00DF3703">
              <w:rPr>
                <w:b/>
                <w:bCs/>
              </w:rPr>
              <w:t>£104</w:t>
            </w:r>
          </w:p>
        </w:tc>
        <w:tc>
          <w:tcPr>
            <w:tcW w:w="1701" w:type="dxa"/>
            <w:tcBorders>
              <w:top w:val="single" w:sz="12" w:space="0" w:color="auto"/>
              <w:left w:val="single" w:sz="12" w:space="0" w:color="auto"/>
              <w:bottom w:val="single" w:sz="12" w:space="0" w:color="auto"/>
              <w:right w:val="single" w:sz="12" w:space="0" w:color="auto"/>
            </w:tcBorders>
          </w:tcPr>
          <w:p w14:paraId="3228905D" w14:textId="77777777" w:rsidR="00DF3703" w:rsidRPr="00DF3703" w:rsidRDefault="00DF3703" w:rsidP="00CC3A2F">
            <w:pPr>
              <w:spacing w:after="0" w:line="240" w:lineRule="auto"/>
              <w:jc w:val="center"/>
              <w:rPr>
                <w:b/>
                <w:bCs/>
              </w:rPr>
            </w:pPr>
            <w:r w:rsidRPr="00DF3703">
              <w:rPr>
                <w:b/>
                <w:bCs/>
              </w:rPr>
              <w:t>£61</w:t>
            </w:r>
          </w:p>
        </w:tc>
      </w:tr>
    </w:tbl>
    <w:p w14:paraId="2D69B424" w14:textId="77777777" w:rsidR="00DF3703" w:rsidRPr="00DF3703" w:rsidRDefault="00DF3703" w:rsidP="00DF3703">
      <w:pPr>
        <w:rPr>
          <w:b/>
          <w:bCs/>
        </w:rPr>
      </w:pPr>
    </w:p>
    <w:p w14:paraId="78CCCCD5" w14:textId="77777777" w:rsidR="00CC3A2F" w:rsidRDefault="00CC3A2F" w:rsidP="00DF3703">
      <w:pPr>
        <w:spacing w:after="0" w:line="240" w:lineRule="auto"/>
        <w:jc w:val="center"/>
      </w:pPr>
    </w:p>
    <w:p w14:paraId="65B02603" w14:textId="77777777" w:rsidR="00CC3A2F" w:rsidRDefault="00CC3A2F" w:rsidP="00DF3703">
      <w:pPr>
        <w:spacing w:after="0" w:line="240" w:lineRule="auto"/>
        <w:jc w:val="center"/>
      </w:pPr>
    </w:p>
    <w:p w14:paraId="2680846F" w14:textId="77777777" w:rsidR="00CC3A2F" w:rsidRDefault="00CC3A2F" w:rsidP="00DF3703">
      <w:pPr>
        <w:spacing w:after="0" w:line="240" w:lineRule="auto"/>
        <w:jc w:val="center"/>
      </w:pPr>
    </w:p>
    <w:p w14:paraId="6D283174" w14:textId="77777777" w:rsidR="00CC3A2F" w:rsidRDefault="00CC3A2F" w:rsidP="00DF3703">
      <w:pPr>
        <w:spacing w:after="0" w:line="240" w:lineRule="auto"/>
        <w:jc w:val="center"/>
      </w:pPr>
    </w:p>
    <w:p w14:paraId="65F84579" w14:textId="77777777" w:rsidR="00CC3A2F" w:rsidRDefault="00CC3A2F" w:rsidP="00DF3703">
      <w:pPr>
        <w:spacing w:after="0" w:line="240" w:lineRule="auto"/>
        <w:jc w:val="center"/>
      </w:pPr>
    </w:p>
    <w:p w14:paraId="65C151F1" w14:textId="77777777" w:rsidR="00CC3A2F" w:rsidRDefault="00CC3A2F" w:rsidP="00DF3703">
      <w:pPr>
        <w:spacing w:after="0" w:line="240" w:lineRule="auto"/>
        <w:jc w:val="center"/>
      </w:pPr>
    </w:p>
    <w:p w14:paraId="4FFC6CBE" w14:textId="77777777" w:rsidR="00CC3A2F" w:rsidRDefault="00CC3A2F" w:rsidP="00DF3703">
      <w:pPr>
        <w:spacing w:after="0" w:line="240" w:lineRule="auto"/>
        <w:jc w:val="center"/>
      </w:pPr>
    </w:p>
    <w:p w14:paraId="23382C5F" w14:textId="77777777" w:rsidR="00CC3A2F" w:rsidRDefault="00CC3A2F" w:rsidP="00CC3A2F">
      <w:pPr>
        <w:spacing w:after="0" w:line="240" w:lineRule="auto"/>
      </w:pPr>
    </w:p>
    <w:p w14:paraId="4C2224DA" w14:textId="77777777" w:rsidR="00CC3A2F" w:rsidRDefault="00CC3A2F" w:rsidP="00CC3A2F">
      <w:pPr>
        <w:spacing w:after="0" w:line="240" w:lineRule="auto"/>
      </w:pPr>
    </w:p>
    <w:p w14:paraId="0E08E4BF" w14:textId="445C47B8" w:rsidR="00DF3703" w:rsidRDefault="00DF3703" w:rsidP="00DF3703">
      <w:pPr>
        <w:spacing w:after="0" w:line="240" w:lineRule="auto"/>
        <w:jc w:val="center"/>
        <w:sectPr w:rsidR="00DF3703">
          <w:pgSz w:w="11906" w:h="16838"/>
          <w:pgMar w:top="1440" w:right="1440" w:bottom="1440" w:left="1440" w:header="720" w:footer="720" w:gutter="0"/>
          <w:cols w:space="720"/>
          <w:docGrid w:linePitch="360"/>
        </w:sectPr>
      </w:pPr>
      <w:r w:rsidRPr="00DF3703">
        <w:t>Table 11 – Mean and median wealth according to gender and marital status in the Bolton-le-Sands and Prestbury wider survey.</w:t>
      </w:r>
    </w:p>
    <w:tbl>
      <w:tblPr>
        <w:tblStyle w:val="TableGrid5"/>
        <w:tblpPr w:leftFromText="180" w:rightFromText="180" w:horzAnchor="margin" w:tblpY="1590"/>
        <w:tblW w:w="0" w:type="auto"/>
        <w:tblLook w:val="04A0" w:firstRow="1" w:lastRow="0" w:firstColumn="1" w:lastColumn="0" w:noHBand="0" w:noVBand="1"/>
      </w:tblPr>
      <w:tblGrid>
        <w:gridCol w:w="2253"/>
        <w:gridCol w:w="1418"/>
        <w:gridCol w:w="1417"/>
        <w:gridCol w:w="1560"/>
        <w:gridCol w:w="1559"/>
        <w:gridCol w:w="1559"/>
        <w:gridCol w:w="1418"/>
        <w:gridCol w:w="1417"/>
        <w:gridCol w:w="1327"/>
      </w:tblGrid>
      <w:tr w:rsidR="00305A80" w:rsidRPr="00305A80" w14:paraId="0EDA6923" w14:textId="77777777" w:rsidTr="00CC3A2F">
        <w:tc>
          <w:tcPr>
            <w:tcW w:w="2253" w:type="dxa"/>
            <w:vMerge w:val="restart"/>
            <w:tcBorders>
              <w:top w:val="single" w:sz="12" w:space="0" w:color="auto"/>
              <w:left w:val="single" w:sz="12" w:space="0" w:color="auto"/>
              <w:right w:val="single" w:sz="12" w:space="0" w:color="auto"/>
            </w:tcBorders>
          </w:tcPr>
          <w:p w14:paraId="15A1ACF8" w14:textId="77777777" w:rsidR="00305A80" w:rsidRPr="00305A80" w:rsidRDefault="00305A80" w:rsidP="00CC3A2F">
            <w:pPr>
              <w:spacing w:after="0" w:line="240" w:lineRule="auto"/>
            </w:pPr>
          </w:p>
        </w:tc>
        <w:tc>
          <w:tcPr>
            <w:tcW w:w="11675" w:type="dxa"/>
            <w:gridSpan w:val="8"/>
            <w:tcBorders>
              <w:top w:val="single" w:sz="12" w:space="0" w:color="auto"/>
              <w:left w:val="single" w:sz="12" w:space="0" w:color="auto"/>
              <w:right w:val="single" w:sz="12" w:space="0" w:color="auto"/>
            </w:tcBorders>
          </w:tcPr>
          <w:p w14:paraId="767558BE" w14:textId="77777777" w:rsidR="00305A80" w:rsidRPr="00305A80" w:rsidRDefault="00305A80" w:rsidP="00CC3A2F">
            <w:pPr>
              <w:spacing w:after="0" w:line="240" w:lineRule="auto"/>
              <w:jc w:val="center"/>
              <w:rPr>
                <w:b/>
                <w:bCs/>
              </w:rPr>
            </w:pPr>
            <w:r w:rsidRPr="00305A80">
              <w:rPr>
                <w:b/>
                <w:bCs/>
              </w:rPr>
              <w:t>Occupational and Status Descriptors from Probate Materials</w:t>
            </w:r>
          </w:p>
        </w:tc>
      </w:tr>
      <w:tr w:rsidR="00305A80" w:rsidRPr="00305A80" w14:paraId="2E776349" w14:textId="77777777" w:rsidTr="00CC3A2F">
        <w:tc>
          <w:tcPr>
            <w:tcW w:w="2253" w:type="dxa"/>
            <w:vMerge/>
            <w:tcBorders>
              <w:left w:val="single" w:sz="12" w:space="0" w:color="auto"/>
              <w:bottom w:val="single" w:sz="12" w:space="0" w:color="auto"/>
              <w:right w:val="single" w:sz="12" w:space="0" w:color="auto"/>
            </w:tcBorders>
          </w:tcPr>
          <w:p w14:paraId="6C001DC8" w14:textId="77777777" w:rsidR="00305A80" w:rsidRPr="00305A80" w:rsidRDefault="00305A80" w:rsidP="00CC3A2F">
            <w:pPr>
              <w:spacing w:after="0" w:line="240" w:lineRule="auto"/>
            </w:pPr>
          </w:p>
        </w:tc>
        <w:tc>
          <w:tcPr>
            <w:tcW w:w="1418" w:type="dxa"/>
            <w:tcBorders>
              <w:left w:val="single" w:sz="12" w:space="0" w:color="auto"/>
              <w:bottom w:val="single" w:sz="12" w:space="0" w:color="auto"/>
            </w:tcBorders>
          </w:tcPr>
          <w:p w14:paraId="5B837917" w14:textId="77777777" w:rsidR="00305A80" w:rsidRPr="00305A80" w:rsidRDefault="00305A80" w:rsidP="00CC3A2F">
            <w:pPr>
              <w:spacing w:after="0" w:line="240" w:lineRule="auto"/>
              <w:jc w:val="center"/>
              <w:rPr>
                <w:b/>
                <w:bCs/>
              </w:rPr>
            </w:pPr>
            <w:r w:rsidRPr="00305A80">
              <w:rPr>
                <w:b/>
                <w:bCs/>
              </w:rPr>
              <w:t>Gentleman</w:t>
            </w:r>
          </w:p>
        </w:tc>
        <w:tc>
          <w:tcPr>
            <w:tcW w:w="1417" w:type="dxa"/>
            <w:tcBorders>
              <w:bottom w:val="single" w:sz="12" w:space="0" w:color="auto"/>
            </w:tcBorders>
          </w:tcPr>
          <w:p w14:paraId="5DC955E0" w14:textId="77777777" w:rsidR="00305A80" w:rsidRPr="00305A80" w:rsidRDefault="00305A80" w:rsidP="00CC3A2F">
            <w:pPr>
              <w:spacing w:after="0" w:line="240" w:lineRule="auto"/>
              <w:jc w:val="center"/>
              <w:rPr>
                <w:b/>
                <w:bCs/>
              </w:rPr>
            </w:pPr>
            <w:r w:rsidRPr="00305A80">
              <w:rPr>
                <w:b/>
                <w:bCs/>
              </w:rPr>
              <w:t>Yeoman</w:t>
            </w:r>
          </w:p>
        </w:tc>
        <w:tc>
          <w:tcPr>
            <w:tcW w:w="1560" w:type="dxa"/>
            <w:tcBorders>
              <w:bottom w:val="single" w:sz="12" w:space="0" w:color="auto"/>
            </w:tcBorders>
          </w:tcPr>
          <w:p w14:paraId="0FF04925" w14:textId="77777777" w:rsidR="00305A80" w:rsidRPr="00305A80" w:rsidRDefault="00305A80" w:rsidP="00CC3A2F">
            <w:pPr>
              <w:spacing w:after="0" w:line="240" w:lineRule="auto"/>
              <w:jc w:val="center"/>
              <w:rPr>
                <w:b/>
                <w:bCs/>
              </w:rPr>
            </w:pPr>
            <w:r w:rsidRPr="00305A80">
              <w:rPr>
                <w:b/>
                <w:bCs/>
              </w:rPr>
              <w:t>Husbandman</w:t>
            </w:r>
          </w:p>
        </w:tc>
        <w:tc>
          <w:tcPr>
            <w:tcW w:w="1559" w:type="dxa"/>
            <w:tcBorders>
              <w:bottom w:val="single" w:sz="12" w:space="0" w:color="auto"/>
            </w:tcBorders>
          </w:tcPr>
          <w:p w14:paraId="1032D0F5" w14:textId="77777777" w:rsidR="00305A80" w:rsidRPr="00305A80" w:rsidRDefault="00305A80" w:rsidP="00CC3A2F">
            <w:pPr>
              <w:spacing w:after="0" w:line="240" w:lineRule="auto"/>
              <w:jc w:val="center"/>
              <w:rPr>
                <w:b/>
                <w:bCs/>
              </w:rPr>
            </w:pPr>
            <w:r w:rsidRPr="00305A80">
              <w:rPr>
                <w:b/>
                <w:bCs/>
              </w:rPr>
              <w:t>Professional</w:t>
            </w:r>
          </w:p>
        </w:tc>
        <w:tc>
          <w:tcPr>
            <w:tcW w:w="1559" w:type="dxa"/>
            <w:tcBorders>
              <w:bottom w:val="single" w:sz="12" w:space="0" w:color="auto"/>
            </w:tcBorders>
          </w:tcPr>
          <w:p w14:paraId="0887098B" w14:textId="77777777" w:rsidR="00305A80" w:rsidRPr="00305A80" w:rsidRDefault="00305A80" w:rsidP="00CC3A2F">
            <w:pPr>
              <w:spacing w:after="0" w:line="240" w:lineRule="auto"/>
              <w:jc w:val="center"/>
              <w:rPr>
                <w:b/>
                <w:bCs/>
              </w:rPr>
            </w:pPr>
            <w:r w:rsidRPr="00305A80">
              <w:rPr>
                <w:b/>
                <w:bCs/>
              </w:rPr>
              <w:t>Tradesman</w:t>
            </w:r>
          </w:p>
        </w:tc>
        <w:tc>
          <w:tcPr>
            <w:tcW w:w="1418" w:type="dxa"/>
            <w:tcBorders>
              <w:bottom w:val="single" w:sz="12" w:space="0" w:color="auto"/>
            </w:tcBorders>
          </w:tcPr>
          <w:p w14:paraId="3F85D85C" w14:textId="77777777" w:rsidR="00305A80" w:rsidRPr="00305A80" w:rsidRDefault="00305A80" w:rsidP="00CC3A2F">
            <w:pPr>
              <w:spacing w:after="0" w:line="240" w:lineRule="auto"/>
              <w:jc w:val="center"/>
              <w:rPr>
                <w:b/>
                <w:bCs/>
              </w:rPr>
            </w:pPr>
            <w:r w:rsidRPr="00305A80">
              <w:rPr>
                <w:b/>
                <w:bCs/>
              </w:rPr>
              <w:t>Labourer</w:t>
            </w:r>
          </w:p>
        </w:tc>
        <w:tc>
          <w:tcPr>
            <w:tcW w:w="1417" w:type="dxa"/>
            <w:tcBorders>
              <w:bottom w:val="single" w:sz="12" w:space="0" w:color="auto"/>
            </w:tcBorders>
          </w:tcPr>
          <w:p w14:paraId="0CCA2A7A" w14:textId="77777777" w:rsidR="00305A80" w:rsidRPr="00305A80" w:rsidRDefault="00305A80" w:rsidP="00CC3A2F">
            <w:pPr>
              <w:spacing w:after="0" w:line="240" w:lineRule="auto"/>
              <w:jc w:val="center"/>
              <w:rPr>
                <w:b/>
                <w:bCs/>
              </w:rPr>
            </w:pPr>
            <w:r w:rsidRPr="00305A80">
              <w:rPr>
                <w:b/>
                <w:bCs/>
              </w:rPr>
              <w:t>Unknown</w:t>
            </w:r>
          </w:p>
        </w:tc>
        <w:tc>
          <w:tcPr>
            <w:tcW w:w="1327" w:type="dxa"/>
            <w:tcBorders>
              <w:bottom w:val="single" w:sz="12" w:space="0" w:color="auto"/>
              <w:right w:val="single" w:sz="12" w:space="0" w:color="auto"/>
            </w:tcBorders>
          </w:tcPr>
          <w:p w14:paraId="42CC30C2" w14:textId="77777777" w:rsidR="00305A80" w:rsidRPr="00305A80" w:rsidRDefault="00305A80" w:rsidP="00CC3A2F">
            <w:pPr>
              <w:spacing w:after="0" w:line="240" w:lineRule="auto"/>
              <w:jc w:val="center"/>
              <w:rPr>
                <w:b/>
                <w:bCs/>
              </w:rPr>
            </w:pPr>
            <w:r w:rsidRPr="00305A80">
              <w:rPr>
                <w:b/>
                <w:bCs/>
              </w:rPr>
              <w:t>Total</w:t>
            </w:r>
          </w:p>
        </w:tc>
      </w:tr>
      <w:tr w:rsidR="00305A80" w:rsidRPr="00305A80" w14:paraId="141D740B" w14:textId="77777777" w:rsidTr="00CC3A2F">
        <w:trPr>
          <w:trHeight w:val="412"/>
        </w:trPr>
        <w:tc>
          <w:tcPr>
            <w:tcW w:w="2253" w:type="dxa"/>
            <w:tcBorders>
              <w:top w:val="single" w:sz="12" w:space="0" w:color="auto"/>
              <w:left w:val="single" w:sz="12" w:space="0" w:color="auto"/>
              <w:right w:val="single" w:sz="12" w:space="0" w:color="auto"/>
            </w:tcBorders>
          </w:tcPr>
          <w:p w14:paraId="3528B512" w14:textId="77777777" w:rsidR="00305A80" w:rsidRPr="00305A80" w:rsidRDefault="00305A80" w:rsidP="00CC3A2F">
            <w:pPr>
              <w:spacing w:after="0" w:line="240" w:lineRule="auto"/>
              <w:rPr>
                <w:b/>
                <w:bCs/>
              </w:rPr>
            </w:pPr>
            <w:r w:rsidRPr="00305A80">
              <w:rPr>
                <w:b/>
                <w:bCs/>
              </w:rPr>
              <w:t>Bolton-le-Sands</w:t>
            </w:r>
          </w:p>
        </w:tc>
        <w:tc>
          <w:tcPr>
            <w:tcW w:w="11675" w:type="dxa"/>
            <w:gridSpan w:val="8"/>
            <w:tcBorders>
              <w:top w:val="single" w:sz="12" w:space="0" w:color="auto"/>
              <w:left w:val="single" w:sz="12" w:space="0" w:color="auto"/>
              <w:right w:val="single" w:sz="12" w:space="0" w:color="auto"/>
            </w:tcBorders>
          </w:tcPr>
          <w:p w14:paraId="75B74D4D" w14:textId="77777777" w:rsidR="00305A80" w:rsidRPr="00305A80" w:rsidRDefault="00305A80" w:rsidP="00CC3A2F">
            <w:pPr>
              <w:spacing w:after="0" w:line="240" w:lineRule="auto"/>
              <w:jc w:val="center"/>
            </w:pPr>
          </w:p>
        </w:tc>
      </w:tr>
      <w:tr w:rsidR="00305A80" w:rsidRPr="00305A80" w14:paraId="63516087" w14:textId="77777777" w:rsidTr="00CC3A2F">
        <w:tc>
          <w:tcPr>
            <w:tcW w:w="2253" w:type="dxa"/>
            <w:tcBorders>
              <w:left w:val="single" w:sz="12" w:space="0" w:color="auto"/>
              <w:right w:val="single" w:sz="12" w:space="0" w:color="auto"/>
            </w:tcBorders>
          </w:tcPr>
          <w:p w14:paraId="48F98138" w14:textId="77777777" w:rsidR="00305A80" w:rsidRPr="00305A80" w:rsidRDefault="00305A80" w:rsidP="00CC3A2F">
            <w:pPr>
              <w:spacing w:after="0" w:line="240" w:lineRule="auto"/>
              <w:rPr>
                <w:b/>
                <w:bCs/>
              </w:rPr>
            </w:pPr>
            <w:r w:rsidRPr="00305A80">
              <w:rPr>
                <w:b/>
                <w:bCs/>
              </w:rPr>
              <w:t>Number of Surveyed Testators</w:t>
            </w:r>
          </w:p>
        </w:tc>
        <w:tc>
          <w:tcPr>
            <w:tcW w:w="1418" w:type="dxa"/>
            <w:tcBorders>
              <w:left w:val="single" w:sz="12" w:space="0" w:color="auto"/>
            </w:tcBorders>
          </w:tcPr>
          <w:p w14:paraId="26DF162A" w14:textId="77777777" w:rsidR="00305A80" w:rsidRPr="00305A80" w:rsidRDefault="00305A80" w:rsidP="00CC3A2F">
            <w:pPr>
              <w:spacing w:after="0" w:line="240" w:lineRule="auto"/>
              <w:jc w:val="center"/>
            </w:pPr>
            <w:r w:rsidRPr="00305A80">
              <w:t>2</w:t>
            </w:r>
          </w:p>
        </w:tc>
        <w:tc>
          <w:tcPr>
            <w:tcW w:w="1417" w:type="dxa"/>
          </w:tcPr>
          <w:p w14:paraId="57621469" w14:textId="77777777" w:rsidR="00305A80" w:rsidRPr="00305A80" w:rsidRDefault="00305A80" w:rsidP="00CC3A2F">
            <w:pPr>
              <w:spacing w:after="0" w:line="240" w:lineRule="auto"/>
              <w:jc w:val="center"/>
            </w:pPr>
            <w:r w:rsidRPr="00305A80">
              <w:t>49</w:t>
            </w:r>
          </w:p>
        </w:tc>
        <w:tc>
          <w:tcPr>
            <w:tcW w:w="1560" w:type="dxa"/>
          </w:tcPr>
          <w:p w14:paraId="68B5E119" w14:textId="77777777" w:rsidR="00305A80" w:rsidRPr="00305A80" w:rsidRDefault="00305A80" w:rsidP="00CC3A2F">
            <w:pPr>
              <w:spacing w:after="0" w:line="240" w:lineRule="auto"/>
              <w:jc w:val="center"/>
            </w:pPr>
            <w:r w:rsidRPr="00305A80">
              <w:t>4</w:t>
            </w:r>
          </w:p>
        </w:tc>
        <w:tc>
          <w:tcPr>
            <w:tcW w:w="1559" w:type="dxa"/>
          </w:tcPr>
          <w:p w14:paraId="24897DEF" w14:textId="77777777" w:rsidR="00305A80" w:rsidRPr="00305A80" w:rsidRDefault="00305A80" w:rsidP="00CC3A2F">
            <w:pPr>
              <w:spacing w:after="0" w:line="240" w:lineRule="auto"/>
              <w:jc w:val="center"/>
            </w:pPr>
            <w:r w:rsidRPr="00305A80">
              <w:t>1</w:t>
            </w:r>
          </w:p>
        </w:tc>
        <w:tc>
          <w:tcPr>
            <w:tcW w:w="1559" w:type="dxa"/>
          </w:tcPr>
          <w:p w14:paraId="49B10B59" w14:textId="77777777" w:rsidR="00305A80" w:rsidRPr="00305A80" w:rsidRDefault="00305A80" w:rsidP="00CC3A2F">
            <w:pPr>
              <w:spacing w:after="0" w:line="240" w:lineRule="auto"/>
              <w:jc w:val="center"/>
            </w:pPr>
            <w:r w:rsidRPr="00305A80">
              <w:t>8</w:t>
            </w:r>
          </w:p>
        </w:tc>
        <w:tc>
          <w:tcPr>
            <w:tcW w:w="1418" w:type="dxa"/>
          </w:tcPr>
          <w:p w14:paraId="280D20C9" w14:textId="77777777" w:rsidR="00305A80" w:rsidRPr="00305A80" w:rsidRDefault="00305A80" w:rsidP="00CC3A2F">
            <w:pPr>
              <w:spacing w:after="0" w:line="240" w:lineRule="auto"/>
              <w:jc w:val="center"/>
            </w:pPr>
            <w:r w:rsidRPr="00305A80">
              <w:t>1</w:t>
            </w:r>
          </w:p>
        </w:tc>
        <w:tc>
          <w:tcPr>
            <w:tcW w:w="1417" w:type="dxa"/>
          </w:tcPr>
          <w:p w14:paraId="1AAF957D" w14:textId="77777777" w:rsidR="00305A80" w:rsidRPr="00305A80" w:rsidRDefault="00305A80" w:rsidP="00CC3A2F">
            <w:pPr>
              <w:spacing w:after="0" w:line="240" w:lineRule="auto"/>
              <w:jc w:val="center"/>
            </w:pPr>
            <w:r w:rsidRPr="00305A80">
              <w:t>7</w:t>
            </w:r>
          </w:p>
        </w:tc>
        <w:tc>
          <w:tcPr>
            <w:tcW w:w="1327" w:type="dxa"/>
            <w:tcBorders>
              <w:right w:val="single" w:sz="12" w:space="0" w:color="auto"/>
            </w:tcBorders>
          </w:tcPr>
          <w:p w14:paraId="5D06A769" w14:textId="77777777" w:rsidR="00305A80" w:rsidRPr="00305A80" w:rsidRDefault="00305A80" w:rsidP="00CC3A2F">
            <w:pPr>
              <w:spacing w:after="0" w:line="240" w:lineRule="auto"/>
              <w:jc w:val="center"/>
            </w:pPr>
            <w:r w:rsidRPr="00305A80">
              <w:t>72</w:t>
            </w:r>
          </w:p>
        </w:tc>
      </w:tr>
      <w:tr w:rsidR="00305A80" w:rsidRPr="00305A80" w14:paraId="6AB785C7" w14:textId="77777777" w:rsidTr="00CC3A2F">
        <w:tc>
          <w:tcPr>
            <w:tcW w:w="2253" w:type="dxa"/>
            <w:tcBorders>
              <w:left w:val="single" w:sz="12" w:space="0" w:color="auto"/>
              <w:right w:val="single" w:sz="12" w:space="0" w:color="auto"/>
            </w:tcBorders>
          </w:tcPr>
          <w:p w14:paraId="43F0FEC6" w14:textId="77777777" w:rsidR="00305A80" w:rsidRPr="00305A80" w:rsidRDefault="00305A80" w:rsidP="00CC3A2F">
            <w:pPr>
              <w:spacing w:after="0" w:line="240" w:lineRule="auto"/>
              <w:rPr>
                <w:b/>
                <w:bCs/>
              </w:rPr>
            </w:pPr>
            <w:r w:rsidRPr="00305A80">
              <w:rPr>
                <w:b/>
                <w:bCs/>
              </w:rPr>
              <w:t>Mean Assessed Wealth of Surveyed Testators</w:t>
            </w:r>
          </w:p>
        </w:tc>
        <w:tc>
          <w:tcPr>
            <w:tcW w:w="1418" w:type="dxa"/>
            <w:tcBorders>
              <w:left w:val="single" w:sz="12" w:space="0" w:color="auto"/>
            </w:tcBorders>
          </w:tcPr>
          <w:p w14:paraId="0F6AC2B5" w14:textId="77777777" w:rsidR="00305A80" w:rsidRPr="00305A80" w:rsidRDefault="00305A80" w:rsidP="00CC3A2F">
            <w:pPr>
              <w:spacing w:after="0" w:line="240" w:lineRule="auto"/>
              <w:jc w:val="center"/>
            </w:pPr>
            <w:r w:rsidRPr="00305A80">
              <w:t>£290</w:t>
            </w:r>
          </w:p>
        </w:tc>
        <w:tc>
          <w:tcPr>
            <w:tcW w:w="1417" w:type="dxa"/>
          </w:tcPr>
          <w:p w14:paraId="0DBC45E4" w14:textId="77777777" w:rsidR="00305A80" w:rsidRPr="00305A80" w:rsidRDefault="00305A80" w:rsidP="00CC3A2F">
            <w:pPr>
              <w:spacing w:after="0" w:line="240" w:lineRule="auto"/>
              <w:jc w:val="center"/>
            </w:pPr>
            <w:r w:rsidRPr="00305A80">
              <w:t>£118</w:t>
            </w:r>
          </w:p>
        </w:tc>
        <w:tc>
          <w:tcPr>
            <w:tcW w:w="1560" w:type="dxa"/>
          </w:tcPr>
          <w:p w14:paraId="0AD1EEC8" w14:textId="77777777" w:rsidR="00305A80" w:rsidRPr="00305A80" w:rsidRDefault="00305A80" w:rsidP="00CC3A2F">
            <w:pPr>
              <w:spacing w:after="0" w:line="240" w:lineRule="auto"/>
              <w:jc w:val="center"/>
            </w:pPr>
            <w:r w:rsidRPr="00305A80">
              <w:t>£46</w:t>
            </w:r>
          </w:p>
        </w:tc>
        <w:tc>
          <w:tcPr>
            <w:tcW w:w="1559" w:type="dxa"/>
          </w:tcPr>
          <w:p w14:paraId="32C235EA" w14:textId="77777777" w:rsidR="00305A80" w:rsidRPr="00305A80" w:rsidRDefault="00305A80" w:rsidP="00CC3A2F">
            <w:pPr>
              <w:spacing w:after="0" w:line="240" w:lineRule="auto"/>
              <w:jc w:val="center"/>
            </w:pPr>
            <w:r w:rsidRPr="00305A80">
              <w:t>£36</w:t>
            </w:r>
          </w:p>
        </w:tc>
        <w:tc>
          <w:tcPr>
            <w:tcW w:w="1559" w:type="dxa"/>
          </w:tcPr>
          <w:p w14:paraId="5F9B21E1" w14:textId="77777777" w:rsidR="00305A80" w:rsidRPr="00305A80" w:rsidRDefault="00305A80" w:rsidP="00CC3A2F">
            <w:pPr>
              <w:spacing w:after="0" w:line="240" w:lineRule="auto"/>
              <w:jc w:val="center"/>
            </w:pPr>
            <w:r w:rsidRPr="00305A80">
              <w:t>£74</w:t>
            </w:r>
          </w:p>
        </w:tc>
        <w:tc>
          <w:tcPr>
            <w:tcW w:w="1418" w:type="dxa"/>
          </w:tcPr>
          <w:p w14:paraId="5D6FA6B4" w14:textId="77777777" w:rsidR="00305A80" w:rsidRPr="00305A80" w:rsidRDefault="00305A80" w:rsidP="00CC3A2F">
            <w:pPr>
              <w:spacing w:after="0" w:line="240" w:lineRule="auto"/>
              <w:jc w:val="center"/>
            </w:pPr>
            <w:r w:rsidRPr="00305A80">
              <w:t>£13</w:t>
            </w:r>
          </w:p>
        </w:tc>
        <w:tc>
          <w:tcPr>
            <w:tcW w:w="1417" w:type="dxa"/>
          </w:tcPr>
          <w:p w14:paraId="1F5B2BCC" w14:textId="77777777" w:rsidR="00305A80" w:rsidRPr="00305A80" w:rsidRDefault="00305A80" w:rsidP="00CC3A2F">
            <w:pPr>
              <w:spacing w:after="0" w:line="240" w:lineRule="auto"/>
              <w:jc w:val="center"/>
            </w:pPr>
            <w:r w:rsidRPr="00305A80">
              <w:t>£48</w:t>
            </w:r>
          </w:p>
        </w:tc>
        <w:tc>
          <w:tcPr>
            <w:tcW w:w="1327" w:type="dxa"/>
            <w:tcBorders>
              <w:right w:val="single" w:sz="12" w:space="0" w:color="auto"/>
            </w:tcBorders>
          </w:tcPr>
          <w:p w14:paraId="07ABF3E0" w14:textId="77777777" w:rsidR="00305A80" w:rsidRPr="00305A80" w:rsidRDefault="00305A80" w:rsidP="00CC3A2F">
            <w:pPr>
              <w:spacing w:after="0" w:line="240" w:lineRule="auto"/>
              <w:jc w:val="center"/>
            </w:pPr>
            <w:r w:rsidRPr="00305A80">
              <w:t>£103</w:t>
            </w:r>
          </w:p>
        </w:tc>
      </w:tr>
      <w:tr w:rsidR="00305A80" w:rsidRPr="00305A80" w14:paraId="428DE66F" w14:textId="77777777" w:rsidTr="00CC3A2F">
        <w:trPr>
          <w:trHeight w:val="410"/>
        </w:trPr>
        <w:tc>
          <w:tcPr>
            <w:tcW w:w="2253" w:type="dxa"/>
            <w:tcBorders>
              <w:top w:val="single" w:sz="12" w:space="0" w:color="auto"/>
              <w:left w:val="single" w:sz="12" w:space="0" w:color="auto"/>
              <w:right w:val="single" w:sz="12" w:space="0" w:color="auto"/>
            </w:tcBorders>
          </w:tcPr>
          <w:p w14:paraId="1D942658" w14:textId="77777777" w:rsidR="00305A80" w:rsidRPr="00305A80" w:rsidRDefault="00305A80" w:rsidP="00CC3A2F">
            <w:pPr>
              <w:spacing w:after="0" w:line="240" w:lineRule="auto"/>
              <w:rPr>
                <w:b/>
                <w:bCs/>
              </w:rPr>
            </w:pPr>
            <w:r w:rsidRPr="00305A80">
              <w:rPr>
                <w:b/>
                <w:bCs/>
              </w:rPr>
              <w:t>Prestbury</w:t>
            </w:r>
          </w:p>
        </w:tc>
        <w:tc>
          <w:tcPr>
            <w:tcW w:w="11675" w:type="dxa"/>
            <w:gridSpan w:val="8"/>
            <w:tcBorders>
              <w:top w:val="single" w:sz="12" w:space="0" w:color="auto"/>
              <w:left w:val="single" w:sz="12" w:space="0" w:color="auto"/>
              <w:right w:val="single" w:sz="12" w:space="0" w:color="auto"/>
            </w:tcBorders>
          </w:tcPr>
          <w:p w14:paraId="578FCBE5" w14:textId="77777777" w:rsidR="00305A80" w:rsidRPr="00305A80" w:rsidRDefault="00305A80" w:rsidP="00CC3A2F">
            <w:pPr>
              <w:spacing w:after="0" w:line="240" w:lineRule="auto"/>
              <w:jc w:val="center"/>
            </w:pPr>
          </w:p>
        </w:tc>
      </w:tr>
      <w:tr w:rsidR="00305A80" w:rsidRPr="00305A80" w14:paraId="311D2FD3" w14:textId="77777777" w:rsidTr="00CC3A2F">
        <w:tc>
          <w:tcPr>
            <w:tcW w:w="2253" w:type="dxa"/>
            <w:tcBorders>
              <w:left w:val="single" w:sz="12" w:space="0" w:color="auto"/>
              <w:right w:val="single" w:sz="12" w:space="0" w:color="auto"/>
            </w:tcBorders>
          </w:tcPr>
          <w:p w14:paraId="58CE0CC9" w14:textId="77777777" w:rsidR="00305A80" w:rsidRPr="00305A80" w:rsidRDefault="00305A80" w:rsidP="00CC3A2F">
            <w:pPr>
              <w:spacing w:after="0" w:line="240" w:lineRule="auto"/>
              <w:rPr>
                <w:b/>
                <w:bCs/>
              </w:rPr>
            </w:pPr>
            <w:r w:rsidRPr="00305A80">
              <w:rPr>
                <w:b/>
                <w:bCs/>
              </w:rPr>
              <w:t>Number of Surveyed Testators</w:t>
            </w:r>
          </w:p>
        </w:tc>
        <w:tc>
          <w:tcPr>
            <w:tcW w:w="1418" w:type="dxa"/>
            <w:tcBorders>
              <w:left w:val="single" w:sz="12" w:space="0" w:color="auto"/>
            </w:tcBorders>
          </w:tcPr>
          <w:p w14:paraId="73CD5A67" w14:textId="77777777" w:rsidR="00305A80" w:rsidRPr="00305A80" w:rsidRDefault="00305A80" w:rsidP="00CC3A2F">
            <w:pPr>
              <w:spacing w:after="0" w:line="240" w:lineRule="auto"/>
              <w:jc w:val="center"/>
            </w:pPr>
            <w:r w:rsidRPr="00305A80">
              <w:t>0</w:t>
            </w:r>
          </w:p>
        </w:tc>
        <w:tc>
          <w:tcPr>
            <w:tcW w:w="1417" w:type="dxa"/>
          </w:tcPr>
          <w:p w14:paraId="28120406" w14:textId="77777777" w:rsidR="00305A80" w:rsidRPr="00305A80" w:rsidRDefault="00305A80" w:rsidP="00CC3A2F">
            <w:pPr>
              <w:spacing w:after="0" w:line="240" w:lineRule="auto"/>
              <w:jc w:val="center"/>
            </w:pPr>
            <w:r w:rsidRPr="00305A80">
              <w:t>43</w:t>
            </w:r>
          </w:p>
        </w:tc>
        <w:tc>
          <w:tcPr>
            <w:tcW w:w="1560" w:type="dxa"/>
          </w:tcPr>
          <w:p w14:paraId="56313584" w14:textId="77777777" w:rsidR="00305A80" w:rsidRPr="00305A80" w:rsidRDefault="00305A80" w:rsidP="00CC3A2F">
            <w:pPr>
              <w:spacing w:after="0" w:line="240" w:lineRule="auto"/>
              <w:jc w:val="center"/>
            </w:pPr>
            <w:r w:rsidRPr="00305A80">
              <w:t>12</w:t>
            </w:r>
          </w:p>
        </w:tc>
        <w:tc>
          <w:tcPr>
            <w:tcW w:w="1559" w:type="dxa"/>
          </w:tcPr>
          <w:p w14:paraId="38DEF2E7" w14:textId="77777777" w:rsidR="00305A80" w:rsidRPr="00305A80" w:rsidRDefault="00305A80" w:rsidP="00CC3A2F">
            <w:pPr>
              <w:spacing w:after="0" w:line="240" w:lineRule="auto"/>
              <w:jc w:val="center"/>
            </w:pPr>
            <w:r w:rsidRPr="00305A80">
              <w:t>1</w:t>
            </w:r>
          </w:p>
        </w:tc>
        <w:tc>
          <w:tcPr>
            <w:tcW w:w="1559" w:type="dxa"/>
          </w:tcPr>
          <w:p w14:paraId="5C195B9D" w14:textId="77777777" w:rsidR="00305A80" w:rsidRPr="00305A80" w:rsidRDefault="00305A80" w:rsidP="00CC3A2F">
            <w:pPr>
              <w:spacing w:after="0" w:line="240" w:lineRule="auto"/>
              <w:jc w:val="center"/>
            </w:pPr>
            <w:r w:rsidRPr="00305A80">
              <w:t>13</w:t>
            </w:r>
          </w:p>
        </w:tc>
        <w:tc>
          <w:tcPr>
            <w:tcW w:w="1418" w:type="dxa"/>
          </w:tcPr>
          <w:p w14:paraId="53DC6BC1" w14:textId="77777777" w:rsidR="00305A80" w:rsidRPr="00305A80" w:rsidRDefault="00305A80" w:rsidP="00CC3A2F">
            <w:pPr>
              <w:spacing w:after="0" w:line="240" w:lineRule="auto"/>
              <w:jc w:val="center"/>
            </w:pPr>
            <w:r w:rsidRPr="00305A80">
              <w:t>0</w:t>
            </w:r>
          </w:p>
        </w:tc>
        <w:tc>
          <w:tcPr>
            <w:tcW w:w="1417" w:type="dxa"/>
          </w:tcPr>
          <w:p w14:paraId="4A1E9D29" w14:textId="77777777" w:rsidR="00305A80" w:rsidRPr="00305A80" w:rsidRDefault="00305A80" w:rsidP="00CC3A2F">
            <w:pPr>
              <w:spacing w:after="0" w:line="240" w:lineRule="auto"/>
              <w:jc w:val="center"/>
            </w:pPr>
            <w:r w:rsidRPr="00305A80">
              <w:t>7</w:t>
            </w:r>
          </w:p>
        </w:tc>
        <w:tc>
          <w:tcPr>
            <w:tcW w:w="1327" w:type="dxa"/>
            <w:tcBorders>
              <w:right w:val="single" w:sz="12" w:space="0" w:color="auto"/>
            </w:tcBorders>
          </w:tcPr>
          <w:p w14:paraId="138003C4" w14:textId="77777777" w:rsidR="00305A80" w:rsidRPr="00305A80" w:rsidRDefault="00305A80" w:rsidP="00CC3A2F">
            <w:pPr>
              <w:spacing w:after="0" w:line="240" w:lineRule="auto"/>
              <w:jc w:val="center"/>
            </w:pPr>
            <w:r w:rsidRPr="00305A80">
              <w:t>76</w:t>
            </w:r>
          </w:p>
        </w:tc>
      </w:tr>
      <w:tr w:rsidR="00305A80" w:rsidRPr="00305A80" w14:paraId="63385FE9" w14:textId="77777777" w:rsidTr="00CC3A2F">
        <w:tc>
          <w:tcPr>
            <w:tcW w:w="2253" w:type="dxa"/>
            <w:tcBorders>
              <w:left w:val="single" w:sz="12" w:space="0" w:color="auto"/>
              <w:right w:val="single" w:sz="12" w:space="0" w:color="auto"/>
            </w:tcBorders>
          </w:tcPr>
          <w:p w14:paraId="47C07F47" w14:textId="77777777" w:rsidR="00305A80" w:rsidRPr="00305A80" w:rsidRDefault="00305A80" w:rsidP="00CC3A2F">
            <w:pPr>
              <w:spacing w:after="0" w:line="240" w:lineRule="auto"/>
              <w:rPr>
                <w:b/>
                <w:bCs/>
              </w:rPr>
            </w:pPr>
            <w:r w:rsidRPr="00305A80">
              <w:rPr>
                <w:b/>
                <w:bCs/>
              </w:rPr>
              <w:t>Mean Assessed Wealth of Surveyed Testators</w:t>
            </w:r>
          </w:p>
        </w:tc>
        <w:tc>
          <w:tcPr>
            <w:tcW w:w="1418" w:type="dxa"/>
            <w:tcBorders>
              <w:left w:val="single" w:sz="12" w:space="0" w:color="auto"/>
            </w:tcBorders>
          </w:tcPr>
          <w:p w14:paraId="3EDFA787" w14:textId="77777777" w:rsidR="00305A80" w:rsidRPr="00305A80" w:rsidRDefault="00305A80" w:rsidP="00CC3A2F">
            <w:pPr>
              <w:spacing w:after="0" w:line="240" w:lineRule="auto"/>
              <w:jc w:val="center"/>
            </w:pPr>
            <w:r w:rsidRPr="00305A80">
              <w:t>-</w:t>
            </w:r>
          </w:p>
        </w:tc>
        <w:tc>
          <w:tcPr>
            <w:tcW w:w="1417" w:type="dxa"/>
          </w:tcPr>
          <w:p w14:paraId="252AACA1" w14:textId="77777777" w:rsidR="00305A80" w:rsidRPr="00305A80" w:rsidRDefault="00305A80" w:rsidP="00CC3A2F">
            <w:pPr>
              <w:spacing w:after="0" w:line="240" w:lineRule="auto"/>
              <w:jc w:val="center"/>
            </w:pPr>
            <w:r w:rsidRPr="00305A80">
              <w:t>£157</w:t>
            </w:r>
          </w:p>
        </w:tc>
        <w:tc>
          <w:tcPr>
            <w:tcW w:w="1560" w:type="dxa"/>
          </w:tcPr>
          <w:p w14:paraId="712D5402" w14:textId="77777777" w:rsidR="00305A80" w:rsidRPr="00305A80" w:rsidRDefault="00305A80" w:rsidP="00CC3A2F">
            <w:pPr>
              <w:spacing w:after="0" w:line="240" w:lineRule="auto"/>
              <w:jc w:val="center"/>
            </w:pPr>
            <w:r w:rsidRPr="00305A80">
              <w:t>£74</w:t>
            </w:r>
          </w:p>
        </w:tc>
        <w:tc>
          <w:tcPr>
            <w:tcW w:w="1559" w:type="dxa"/>
          </w:tcPr>
          <w:p w14:paraId="72FCC16A" w14:textId="77777777" w:rsidR="00305A80" w:rsidRPr="00305A80" w:rsidRDefault="00305A80" w:rsidP="00CC3A2F">
            <w:pPr>
              <w:spacing w:after="0" w:line="240" w:lineRule="auto"/>
              <w:jc w:val="center"/>
            </w:pPr>
            <w:r w:rsidRPr="00305A80">
              <w:t>£130</w:t>
            </w:r>
          </w:p>
        </w:tc>
        <w:tc>
          <w:tcPr>
            <w:tcW w:w="1559" w:type="dxa"/>
          </w:tcPr>
          <w:p w14:paraId="659506E7" w14:textId="77777777" w:rsidR="00305A80" w:rsidRPr="00305A80" w:rsidRDefault="00305A80" w:rsidP="00CC3A2F">
            <w:pPr>
              <w:spacing w:after="0" w:line="240" w:lineRule="auto"/>
              <w:jc w:val="center"/>
            </w:pPr>
            <w:r w:rsidRPr="00305A80">
              <w:t>£72</w:t>
            </w:r>
          </w:p>
        </w:tc>
        <w:tc>
          <w:tcPr>
            <w:tcW w:w="1418" w:type="dxa"/>
          </w:tcPr>
          <w:p w14:paraId="2136AE73" w14:textId="77777777" w:rsidR="00305A80" w:rsidRPr="00305A80" w:rsidRDefault="00305A80" w:rsidP="00CC3A2F">
            <w:pPr>
              <w:spacing w:after="0" w:line="240" w:lineRule="auto"/>
              <w:jc w:val="center"/>
            </w:pPr>
            <w:r w:rsidRPr="00305A80">
              <w:t>-</w:t>
            </w:r>
          </w:p>
        </w:tc>
        <w:tc>
          <w:tcPr>
            <w:tcW w:w="1417" w:type="dxa"/>
          </w:tcPr>
          <w:p w14:paraId="49CF4625" w14:textId="77777777" w:rsidR="00305A80" w:rsidRPr="00305A80" w:rsidRDefault="00305A80" w:rsidP="00CC3A2F">
            <w:pPr>
              <w:spacing w:after="0" w:line="240" w:lineRule="auto"/>
              <w:jc w:val="center"/>
            </w:pPr>
            <w:r w:rsidRPr="00305A80">
              <w:t>£72</w:t>
            </w:r>
          </w:p>
        </w:tc>
        <w:tc>
          <w:tcPr>
            <w:tcW w:w="1327" w:type="dxa"/>
            <w:tcBorders>
              <w:right w:val="single" w:sz="12" w:space="0" w:color="auto"/>
            </w:tcBorders>
          </w:tcPr>
          <w:p w14:paraId="2FC2E783" w14:textId="77777777" w:rsidR="00305A80" w:rsidRPr="00305A80" w:rsidRDefault="00305A80" w:rsidP="00CC3A2F">
            <w:pPr>
              <w:spacing w:after="0" w:line="240" w:lineRule="auto"/>
              <w:jc w:val="center"/>
            </w:pPr>
            <w:r w:rsidRPr="00305A80">
              <w:t>£121</w:t>
            </w:r>
          </w:p>
        </w:tc>
      </w:tr>
    </w:tbl>
    <w:p w14:paraId="04C446E3" w14:textId="77777777" w:rsidR="00305A80" w:rsidRPr="00305A80" w:rsidRDefault="00305A80" w:rsidP="00305A80"/>
    <w:p w14:paraId="52F7DFE4" w14:textId="77777777" w:rsidR="00CC3A2F" w:rsidRDefault="00CC3A2F" w:rsidP="00305A80">
      <w:pPr>
        <w:spacing w:after="0" w:line="240" w:lineRule="auto"/>
        <w:jc w:val="center"/>
      </w:pPr>
    </w:p>
    <w:p w14:paraId="7EE550D2" w14:textId="77777777" w:rsidR="00CC3A2F" w:rsidRDefault="00CC3A2F" w:rsidP="00305A80">
      <w:pPr>
        <w:spacing w:after="0" w:line="240" w:lineRule="auto"/>
        <w:jc w:val="center"/>
      </w:pPr>
    </w:p>
    <w:p w14:paraId="2F1F7EF5" w14:textId="77777777" w:rsidR="00CC3A2F" w:rsidRDefault="00CC3A2F" w:rsidP="00305A80">
      <w:pPr>
        <w:spacing w:after="0" w:line="240" w:lineRule="auto"/>
        <w:jc w:val="center"/>
      </w:pPr>
    </w:p>
    <w:p w14:paraId="1706E866" w14:textId="77777777" w:rsidR="00CC3A2F" w:rsidRDefault="00CC3A2F" w:rsidP="00305A80">
      <w:pPr>
        <w:spacing w:after="0" w:line="240" w:lineRule="auto"/>
        <w:jc w:val="center"/>
      </w:pPr>
    </w:p>
    <w:p w14:paraId="603A14A8" w14:textId="77777777" w:rsidR="00CC3A2F" w:rsidRDefault="00CC3A2F" w:rsidP="00305A80">
      <w:pPr>
        <w:spacing w:after="0" w:line="240" w:lineRule="auto"/>
        <w:jc w:val="center"/>
      </w:pPr>
    </w:p>
    <w:p w14:paraId="56E70263" w14:textId="29993387" w:rsidR="00896C99" w:rsidRDefault="00305A80" w:rsidP="00305A80">
      <w:pPr>
        <w:spacing w:after="0" w:line="240" w:lineRule="auto"/>
        <w:jc w:val="center"/>
      </w:pPr>
      <w:r w:rsidRPr="00305A80">
        <w:t xml:space="preserve">Table 12 – </w:t>
      </w:r>
      <w:r w:rsidR="00EA1F2E">
        <w:t>Prevalence</w:t>
      </w:r>
      <w:r w:rsidRPr="00305A80">
        <w:t xml:space="preserve"> and wealth of male testators within different occupational and status groups in the Bolton-le-Sands and Prestbury wider survey.</w:t>
      </w:r>
    </w:p>
    <w:p w14:paraId="18A5F501" w14:textId="77777777" w:rsidR="00896C99" w:rsidRDefault="00896C99">
      <w:pPr>
        <w:spacing w:after="0" w:line="240" w:lineRule="auto"/>
      </w:pPr>
      <w:r>
        <w:br w:type="page"/>
      </w:r>
    </w:p>
    <w:tbl>
      <w:tblPr>
        <w:tblStyle w:val="TableGrid6"/>
        <w:tblpPr w:leftFromText="180" w:rightFromText="180" w:horzAnchor="margin" w:tblpY="1800"/>
        <w:tblW w:w="0" w:type="auto"/>
        <w:tblLook w:val="04A0" w:firstRow="1" w:lastRow="0" w:firstColumn="1" w:lastColumn="0" w:noHBand="0" w:noVBand="1"/>
      </w:tblPr>
      <w:tblGrid>
        <w:gridCol w:w="2537"/>
        <w:gridCol w:w="1984"/>
        <w:gridCol w:w="1843"/>
        <w:gridCol w:w="1985"/>
        <w:gridCol w:w="1984"/>
        <w:gridCol w:w="1843"/>
        <w:gridCol w:w="1752"/>
      </w:tblGrid>
      <w:tr w:rsidR="00BE3422" w:rsidRPr="00BE3422" w14:paraId="13DFEF28" w14:textId="77777777" w:rsidTr="00CC3A2F">
        <w:tc>
          <w:tcPr>
            <w:tcW w:w="2537" w:type="dxa"/>
            <w:vMerge w:val="restart"/>
            <w:tcBorders>
              <w:top w:val="single" w:sz="12" w:space="0" w:color="auto"/>
              <w:left w:val="single" w:sz="12" w:space="0" w:color="auto"/>
              <w:right w:val="single" w:sz="12" w:space="0" w:color="auto"/>
            </w:tcBorders>
          </w:tcPr>
          <w:p w14:paraId="49DAA06E" w14:textId="1A3A3841" w:rsidR="00BE3422" w:rsidRPr="00BE3422" w:rsidRDefault="00896C99" w:rsidP="00CC3A2F">
            <w:pPr>
              <w:spacing w:after="0" w:line="240" w:lineRule="auto"/>
            </w:pPr>
            <w:r>
              <w:lastRenderedPageBreak/>
              <w:br w:type="page"/>
            </w:r>
          </w:p>
        </w:tc>
        <w:tc>
          <w:tcPr>
            <w:tcW w:w="11391" w:type="dxa"/>
            <w:gridSpan w:val="6"/>
            <w:tcBorders>
              <w:top w:val="single" w:sz="12" w:space="0" w:color="auto"/>
              <w:left w:val="single" w:sz="12" w:space="0" w:color="auto"/>
              <w:right w:val="single" w:sz="12" w:space="0" w:color="auto"/>
            </w:tcBorders>
          </w:tcPr>
          <w:p w14:paraId="6349737A" w14:textId="77777777" w:rsidR="00BE3422" w:rsidRPr="00BE3422" w:rsidRDefault="00BE3422" w:rsidP="00CC3A2F">
            <w:pPr>
              <w:spacing w:after="0" w:line="240" w:lineRule="auto"/>
              <w:jc w:val="center"/>
              <w:rPr>
                <w:b/>
                <w:bCs/>
              </w:rPr>
            </w:pPr>
            <w:r w:rsidRPr="00BE3422">
              <w:rPr>
                <w:b/>
                <w:bCs/>
              </w:rPr>
              <w:t>Occupational and Status Descriptors from Probate Materials</w:t>
            </w:r>
          </w:p>
        </w:tc>
      </w:tr>
      <w:tr w:rsidR="00BE3422" w:rsidRPr="00BE3422" w14:paraId="7DDFCF08" w14:textId="77777777" w:rsidTr="00CC3A2F">
        <w:tc>
          <w:tcPr>
            <w:tcW w:w="2537" w:type="dxa"/>
            <w:vMerge/>
            <w:tcBorders>
              <w:left w:val="single" w:sz="12" w:space="0" w:color="auto"/>
              <w:bottom w:val="single" w:sz="12" w:space="0" w:color="auto"/>
              <w:right w:val="single" w:sz="12" w:space="0" w:color="auto"/>
            </w:tcBorders>
          </w:tcPr>
          <w:p w14:paraId="10E69139" w14:textId="77777777" w:rsidR="00BE3422" w:rsidRPr="00BE3422" w:rsidRDefault="00BE3422" w:rsidP="00CC3A2F">
            <w:pPr>
              <w:spacing w:after="0" w:line="240" w:lineRule="auto"/>
            </w:pPr>
          </w:p>
        </w:tc>
        <w:tc>
          <w:tcPr>
            <w:tcW w:w="1984" w:type="dxa"/>
            <w:tcBorders>
              <w:left w:val="single" w:sz="12" w:space="0" w:color="auto"/>
              <w:bottom w:val="single" w:sz="12" w:space="0" w:color="auto"/>
            </w:tcBorders>
          </w:tcPr>
          <w:p w14:paraId="785DFA51" w14:textId="77777777" w:rsidR="00BE3422" w:rsidRPr="00BE3422" w:rsidRDefault="00BE3422" w:rsidP="00CC3A2F">
            <w:pPr>
              <w:spacing w:after="0" w:line="240" w:lineRule="auto"/>
              <w:jc w:val="center"/>
              <w:rPr>
                <w:b/>
                <w:bCs/>
              </w:rPr>
            </w:pPr>
            <w:r w:rsidRPr="00BE3422">
              <w:rPr>
                <w:b/>
                <w:bCs/>
              </w:rPr>
              <w:t>Gentleman</w:t>
            </w:r>
          </w:p>
        </w:tc>
        <w:tc>
          <w:tcPr>
            <w:tcW w:w="1843" w:type="dxa"/>
            <w:tcBorders>
              <w:bottom w:val="single" w:sz="12" w:space="0" w:color="auto"/>
            </w:tcBorders>
          </w:tcPr>
          <w:p w14:paraId="4858E19F" w14:textId="77777777" w:rsidR="00BE3422" w:rsidRPr="00BE3422" w:rsidRDefault="00BE3422" w:rsidP="00CC3A2F">
            <w:pPr>
              <w:spacing w:after="0" w:line="240" w:lineRule="auto"/>
              <w:jc w:val="center"/>
              <w:rPr>
                <w:b/>
                <w:bCs/>
              </w:rPr>
            </w:pPr>
            <w:r w:rsidRPr="00BE3422">
              <w:rPr>
                <w:b/>
                <w:bCs/>
              </w:rPr>
              <w:t>Yeoman</w:t>
            </w:r>
          </w:p>
        </w:tc>
        <w:tc>
          <w:tcPr>
            <w:tcW w:w="1985" w:type="dxa"/>
            <w:tcBorders>
              <w:bottom w:val="single" w:sz="12" w:space="0" w:color="auto"/>
            </w:tcBorders>
          </w:tcPr>
          <w:p w14:paraId="14D475B1" w14:textId="77777777" w:rsidR="00BE3422" w:rsidRPr="00BE3422" w:rsidRDefault="00BE3422" w:rsidP="00CC3A2F">
            <w:pPr>
              <w:spacing w:after="0" w:line="240" w:lineRule="auto"/>
              <w:jc w:val="center"/>
              <w:rPr>
                <w:b/>
                <w:bCs/>
              </w:rPr>
            </w:pPr>
            <w:r w:rsidRPr="00BE3422">
              <w:rPr>
                <w:b/>
                <w:bCs/>
              </w:rPr>
              <w:t>Husbandman</w:t>
            </w:r>
          </w:p>
        </w:tc>
        <w:tc>
          <w:tcPr>
            <w:tcW w:w="1984" w:type="dxa"/>
            <w:tcBorders>
              <w:bottom w:val="single" w:sz="12" w:space="0" w:color="auto"/>
            </w:tcBorders>
          </w:tcPr>
          <w:p w14:paraId="35B3D47A" w14:textId="77777777" w:rsidR="00BE3422" w:rsidRPr="00BE3422" w:rsidRDefault="00BE3422" w:rsidP="00CC3A2F">
            <w:pPr>
              <w:spacing w:after="0" w:line="240" w:lineRule="auto"/>
              <w:jc w:val="center"/>
              <w:rPr>
                <w:b/>
                <w:bCs/>
              </w:rPr>
            </w:pPr>
            <w:r w:rsidRPr="00BE3422">
              <w:rPr>
                <w:b/>
                <w:bCs/>
              </w:rPr>
              <w:t>Tradesman</w:t>
            </w:r>
          </w:p>
        </w:tc>
        <w:tc>
          <w:tcPr>
            <w:tcW w:w="1843" w:type="dxa"/>
            <w:tcBorders>
              <w:bottom w:val="single" w:sz="12" w:space="0" w:color="auto"/>
            </w:tcBorders>
          </w:tcPr>
          <w:p w14:paraId="4EEB299B" w14:textId="77777777" w:rsidR="00BE3422" w:rsidRPr="00BE3422" w:rsidRDefault="00BE3422" w:rsidP="00CC3A2F">
            <w:pPr>
              <w:spacing w:after="0" w:line="240" w:lineRule="auto"/>
              <w:jc w:val="center"/>
              <w:rPr>
                <w:b/>
                <w:bCs/>
              </w:rPr>
            </w:pPr>
            <w:r w:rsidRPr="00BE3422">
              <w:rPr>
                <w:b/>
                <w:bCs/>
              </w:rPr>
              <w:t>Unknown</w:t>
            </w:r>
          </w:p>
        </w:tc>
        <w:tc>
          <w:tcPr>
            <w:tcW w:w="1752" w:type="dxa"/>
            <w:tcBorders>
              <w:bottom w:val="single" w:sz="12" w:space="0" w:color="auto"/>
              <w:right w:val="single" w:sz="12" w:space="0" w:color="auto"/>
            </w:tcBorders>
          </w:tcPr>
          <w:p w14:paraId="2EA7FE9E" w14:textId="77777777" w:rsidR="00BE3422" w:rsidRPr="00BE3422" w:rsidRDefault="00BE3422" w:rsidP="00CC3A2F">
            <w:pPr>
              <w:spacing w:after="0" w:line="240" w:lineRule="auto"/>
              <w:jc w:val="center"/>
              <w:rPr>
                <w:b/>
                <w:bCs/>
              </w:rPr>
            </w:pPr>
            <w:r w:rsidRPr="00BE3422">
              <w:rPr>
                <w:b/>
                <w:bCs/>
              </w:rPr>
              <w:t>Total</w:t>
            </w:r>
          </w:p>
        </w:tc>
      </w:tr>
      <w:tr w:rsidR="00BE3422" w:rsidRPr="00BE3422" w14:paraId="78582A65" w14:textId="77777777" w:rsidTr="00CC3A2F">
        <w:trPr>
          <w:trHeight w:val="334"/>
        </w:trPr>
        <w:tc>
          <w:tcPr>
            <w:tcW w:w="2537" w:type="dxa"/>
            <w:tcBorders>
              <w:top w:val="single" w:sz="12" w:space="0" w:color="auto"/>
              <w:left w:val="single" w:sz="12" w:space="0" w:color="auto"/>
              <w:right w:val="single" w:sz="12" w:space="0" w:color="auto"/>
            </w:tcBorders>
          </w:tcPr>
          <w:p w14:paraId="0E166BBB" w14:textId="77777777" w:rsidR="00BE3422" w:rsidRPr="00BE3422" w:rsidRDefault="00BE3422" w:rsidP="00CC3A2F">
            <w:pPr>
              <w:spacing w:after="0" w:line="240" w:lineRule="auto"/>
              <w:rPr>
                <w:b/>
                <w:bCs/>
              </w:rPr>
            </w:pPr>
            <w:r w:rsidRPr="00BE3422">
              <w:rPr>
                <w:b/>
                <w:bCs/>
              </w:rPr>
              <w:t>Bolton-le-Sands</w:t>
            </w:r>
          </w:p>
        </w:tc>
        <w:tc>
          <w:tcPr>
            <w:tcW w:w="11391" w:type="dxa"/>
            <w:gridSpan w:val="6"/>
            <w:tcBorders>
              <w:top w:val="single" w:sz="12" w:space="0" w:color="auto"/>
              <w:left w:val="single" w:sz="12" w:space="0" w:color="auto"/>
              <w:right w:val="single" w:sz="12" w:space="0" w:color="auto"/>
            </w:tcBorders>
          </w:tcPr>
          <w:p w14:paraId="0D2FA84C" w14:textId="77777777" w:rsidR="00BE3422" w:rsidRPr="00BE3422" w:rsidRDefault="00BE3422" w:rsidP="00CC3A2F">
            <w:pPr>
              <w:spacing w:after="0" w:line="240" w:lineRule="auto"/>
              <w:jc w:val="center"/>
            </w:pPr>
          </w:p>
        </w:tc>
      </w:tr>
      <w:tr w:rsidR="00BE3422" w:rsidRPr="00BE3422" w14:paraId="4A3A0CC2" w14:textId="77777777" w:rsidTr="00CC3A2F">
        <w:tc>
          <w:tcPr>
            <w:tcW w:w="2537" w:type="dxa"/>
            <w:tcBorders>
              <w:left w:val="single" w:sz="12" w:space="0" w:color="auto"/>
              <w:right w:val="single" w:sz="12" w:space="0" w:color="auto"/>
            </w:tcBorders>
          </w:tcPr>
          <w:p w14:paraId="695F6D22" w14:textId="77777777" w:rsidR="00BE3422" w:rsidRPr="00BE3422" w:rsidRDefault="00BE3422" w:rsidP="00CC3A2F">
            <w:pPr>
              <w:spacing w:after="0" w:line="240" w:lineRule="auto"/>
              <w:rPr>
                <w:b/>
                <w:bCs/>
              </w:rPr>
            </w:pPr>
            <w:r w:rsidRPr="00BE3422">
              <w:rPr>
                <w:b/>
                <w:bCs/>
              </w:rPr>
              <w:t>Number of Inventoried Inscribers</w:t>
            </w:r>
          </w:p>
        </w:tc>
        <w:tc>
          <w:tcPr>
            <w:tcW w:w="1984" w:type="dxa"/>
            <w:tcBorders>
              <w:left w:val="single" w:sz="12" w:space="0" w:color="auto"/>
            </w:tcBorders>
          </w:tcPr>
          <w:p w14:paraId="0CEAA8B7" w14:textId="77777777" w:rsidR="00BE3422" w:rsidRPr="00BE3422" w:rsidRDefault="00BE3422" w:rsidP="00CC3A2F">
            <w:pPr>
              <w:spacing w:after="0" w:line="240" w:lineRule="auto"/>
              <w:jc w:val="center"/>
            </w:pPr>
            <w:r w:rsidRPr="00BE3422">
              <w:t>0</w:t>
            </w:r>
          </w:p>
        </w:tc>
        <w:tc>
          <w:tcPr>
            <w:tcW w:w="1843" w:type="dxa"/>
          </w:tcPr>
          <w:p w14:paraId="21573585" w14:textId="77777777" w:rsidR="00BE3422" w:rsidRPr="00BE3422" w:rsidRDefault="00BE3422" w:rsidP="00CC3A2F">
            <w:pPr>
              <w:spacing w:after="0" w:line="240" w:lineRule="auto"/>
              <w:jc w:val="center"/>
            </w:pPr>
            <w:r w:rsidRPr="00BE3422">
              <w:t>3</w:t>
            </w:r>
          </w:p>
        </w:tc>
        <w:tc>
          <w:tcPr>
            <w:tcW w:w="1985" w:type="dxa"/>
          </w:tcPr>
          <w:p w14:paraId="29ACFC45" w14:textId="77777777" w:rsidR="00BE3422" w:rsidRPr="00BE3422" w:rsidRDefault="00BE3422" w:rsidP="00CC3A2F">
            <w:pPr>
              <w:spacing w:after="0" w:line="240" w:lineRule="auto"/>
              <w:jc w:val="center"/>
            </w:pPr>
            <w:r w:rsidRPr="00BE3422">
              <w:t>1</w:t>
            </w:r>
          </w:p>
        </w:tc>
        <w:tc>
          <w:tcPr>
            <w:tcW w:w="1984" w:type="dxa"/>
          </w:tcPr>
          <w:p w14:paraId="6C56AB72" w14:textId="77777777" w:rsidR="00BE3422" w:rsidRPr="00BE3422" w:rsidRDefault="00BE3422" w:rsidP="00CC3A2F">
            <w:pPr>
              <w:spacing w:after="0" w:line="240" w:lineRule="auto"/>
              <w:jc w:val="center"/>
            </w:pPr>
            <w:r w:rsidRPr="00BE3422">
              <w:t>1</w:t>
            </w:r>
          </w:p>
        </w:tc>
        <w:tc>
          <w:tcPr>
            <w:tcW w:w="1843" w:type="dxa"/>
          </w:tcPr>
          <w:p w14:paraId="53FC2016" w14:textId="77777777" w:rsidR="00BE3422" w:rsidRPr="00BE3422" w:rsidRDefault="00BE3422" w:rsidP="00CC3A2F">
            <w:pPr>
              <w:spacing w:after="0" w:line="240" w:lineRule="auto"/>
              <w:jc w:val="center"/>
            </w:pPr>
            <w:r w:rsidRPr="00BE3422">
              <w:t>1</w:t>
            </w:r>
          </w:p>
        </w:tc>
        <w:tc>
          <w:tcPr>
            <w:tcW w:w="1752" w:type="dxa"/>
            <w:tcBorders>
              <w:right w:val="single" w:sz="12" w:space="0" w:color="auto"/>
            </w:tcBorders>
          </w:tcPr>
          <w:p w14:paraId="0A67C696" w14:textId="77777777" w:rsidR="00BE3422" w:rsidRPr="00BE3422" w:rsidRDefault="00BE3422" w:rsidP="00CC3A2F">
            <w:pPr>
              <w:spacing w:after="0" w:line="240" w:lineRule="auto"/>
              <w:jc w:val="center"/>
            </w:pPr>
            <w:r w:rsidRPr="00BE3422">
              <w:t>6</w:t>
            </w:r>
          </w:p>
        </w:tc>
      </w:tr>
      <w:tr w:rsidR="00BE3422" w:rsidRPr="00BE3422" w14:paraId="13BD6270" w14:textId="77777777" w:rsidTr="00CC3A2F">
        <w:tc>
          <w:tcPr>
            <w:tcW w:w="2537" w:type="dxa"/>
            <w:tcBorders>
              <w:left w:val="single" w:sz="12" w:space="0" w:color="auto"/>
              <w:bottom w:val="single" w:sz="12" w:space="0" w:color="auto"/>
              <w:right w:val="single" w:sz="12" w:space="0" w:color="auto"/>
            </w:tcBorders>
          </w:tcPr>
          <w:p w14:paraId="30084505" w14:textId="77777777" w:rsidR="00BE3422" w:rsidRPr="00BE3422" w:rsidRDefault="00BE3422" w:rsidP="00CC3A2F">
            <w:pPr>
              <w:spacing w:after="0" w:line="240" w:lineRule="auto"/>
              <w:rPr>
                <w:b/>
                <w:bCs/>
              </w:rPr>
            </w:pPr>
            <w:r w:rsidRPr="00BE3422">
              <w:rPr>
                <w:b/>
                <w:bCs/>
              </w:rPr>
              <w:t>Mean Assessed Wealth of Inscribers</w:t>
            </w:r>
          </w:p>
        </w:tc>
        <w:tc>
          <w:tcPr>
            <w:tcW w:w="1984" w:type="dxa"/>
            <w:tcBorders>
              <w:left w:val="single" w:sz="12" w:space="0" w:color="auto"/>
              <w:bottom w:val="single" w:sz="12" w:space="0" w:color="auto"/>
            </w:tcBorders>
          </w:tcPr>
          <w:p w14:paraId="484CA2CA" w14:textId="77777777" w:rsidR="00BE3422" w:rsidRPr="00BE3422" w:rsidRDefault="00BE3422" w:rsidP="00CC3A2F">
            <w:pPr>
              <w:spacing w:after="0" w:line="240" w:lineRule="auto"/>
              <w:jc w:val="center"/>
            </w:pPr>
            <w:r w:rsidRPr="00BE3422">
              <w:t>-</w:t>
            </w:r>
          </w:p>
        </w:tc>
        <w:tc>
          <w:tcPr>
            <w:tcW w:w="1843" w:type="dxa"/>
            <w:tcBorders>
              <w:bottom w:val="single" w:sz="12" w:space="0" w:color="auto"/>
            </w:tcBorders>
          </w:tcPr>
          <w:p w14:paraId="3F0DEE48" w14:textId="77777777" w:rsidR="00BE3422" w:rsidRPr="00BE3422" w:rsidRDefault="00BE3422" w:rsidP="00CC3A2F">
            <w:pPr>
              <w:spacing w:after="0" w:line="240" w:lineRule="auto"/>
              <w:jc w:val="center"/>
            </w:pPr>
            <w:r w:rsidRPr="00BE3422">
              <w:t>£61</w:t>
            </w:r>
          </w:p>
        </w:tc>
        <w:tc>
          <w:tcPr>
            <w:tcW w:w="1985" w:type="dxa"/>
            <w:tcBorders>
              <w:bottom w:val="single" w:sz="12" w:space="0" w:color="auto"/>
            </w:tcBorders>
          </w:tcPr>
          <w:p w14:paraId="147B2443" w14:textId="77777777" w:rsidR="00BE3422" w:rsidRPr="00BE3422" w:rsidRDefault="00BE3422" w:rsidP="00CC3A2F">
            <w:pPr>
              <w:spacing w:after="0" w:line="240" w:lineRule="auto"/>
              <w:jc w:val="center"/>
            </w:pPr>
            <w:r w:rsidRPr="00BE3422">
              <w:t>£38</w:t>
            </w:r>
          </w:p>
        </w:tc>
        <w:tc>
          <w:tcPr>
            <w:tcW w:w="1984" w:type="dxa"/>
            <w:tcBorders>
              <w:bottom w:val="single" w:sz="12" w:space="0" w:color="auto"/>
            </w:tcBorders>
          </w:tcPr>
          <w:p w14:paraId="532AEB97" w14:textId="77777777" w:rsidR="00BE3422" w:rsidRPr="00BE3422" w:rsidRDefault="00BE3422" w:rsidP="00CC3A2F">
            <w:pPr>
              <w:spacing w:after="0" w:line="240" w:lineRule="auto"/>
              <w:jc w:val="center"/>
            </w:pPr>
            <w:r w:rsidRPr="00BE3422">
              <w:t>£25</w:t>
            </w:r>
          </w:p>
        </w:tc>
        <w:tc>
          <w:tcPr>
            <w:tcW w:w="1843" w:type="dxa"/>
            <w:tcBorders>
              <w:bottom w:val="single" w:sz="12" w:space="0" w:color="auto"/>
            </w:tcBorders>
          </w:tcPr>
          <w:p w14:paraId="309CE41C" w14:textId="77777777" w:rsidR="00BE3422" w:rsidRPr="00BE3422" w:rsidRDefault="00BE3422" w:rsidP="00CC3A2F">
            <w:pPr>
              <w:spacing w:after="0" w:line="240" w:lineRule="auto"/>
              <w:jc w:val="center"/>
            </w:pPr>
            <w:r w:rsidRPr="00BE3422">
              <w:t>£18</w:t>
            </w:r>
          </w:p>
        </w:tc>
        <w:tc>
          <w:tcPr>
            <w:tcW w:w="1752" w:type="dxa"/>
            <w:tcBorders>
              <w:bottom w:val="single" w:sz="12" w:space="0" w:color="auto"/>
              <w:right w:val="single" w:sz="12" w:space="0" w:color="auto"/>
            </w:tcBorders>
          </w:tcPr>
          <w:p w14:paraId="0DE7E15D" w14:textId="77777777" w:rsidR="00BE3422" w:rsidRPr="00BE3422" w:rsidRDefault="00BE3422" w:rsidP="00CC3A2F">
            <w:pPr>
              <w:spacing w:after="0" w:line="240" w:lineRule="auto"/>
              <w:jc w:val="center"/>
            </w:pPr>
            <w:r w:rsidRPr="00BE3422">
              <w:t>£44</w:t>
            </w:r>
          </w:p>
        </w:tc>
      </w:tr>
      <w:tr w:rsidR="00BE3422" w:rsidRPr="00BE3422" w14:paraId="06F28ACB" w14:textId="77777777" w:rsidTr="00CC3A2F">
        <w:trPr>
          <w:trHeight w:val="329"/>
        </w:trPr>
        <w:tc>
          <w:tcPr>
            <w:tcW w:w="2537" w:type="dxa"/>
            <w:tcBorders>
              <w:top w:val="single" w:sz="12" w:space="0" w:color="auto"/>
              <w:left w:val="single" w:sz="12" w:space="0" w:color="auto"/>
              <w:right w:val="single" w:sz="12" w:space="0" w:color="auto"/>
            </w:tcBorders>
          </w:tcPr>
          <w:p w14:paraId="63761842" w14:textId="77777777" w:rsidR="00BE3422" w:rsidRPr="00BE3422" w:rsidRDefault="00BE3422" w:rsidP="00CC3A2F">
            <w:pPr>
              <w:spacing w:after="0" w:line="240" w:lineRule="auto"/>
              <w:rPr>
                <w:b/>
                <w:bCs/>
              </w:rPr>
            </w:pPr>
            <w:r w:rsidRPr="00BE3422">
              <w:rPr>
                <w:b/>
                <w:bCs/>
              </w:rPr>
              <w:t>Prestbury</w:t>
            </w:r>
          </w:p>
        </w:tc>
        <w:tc>
          <w:tcPr>
            <w:tcW w:w="11391" w:type="dxa"/>
            <w:gridSpan w:val="6"/>
            <w:tcBorders>
              <w:top w:val="single" w:sz="12" w:space="0" w:color="auto"/>
              <w:left w:val="single" w:sz="12" w:space="0" w:color="auto"/>
              <w:right w:val="single" w:sz="12" w:space="0" w:color="auto"/>
            </w:tcBorders>
          </w:tcPr>
          <w:p w14:paraId="448D974F" w14:textId="77777777" w:rsidR="00BE3422" w:rsidRPr="00BE3422" w:rsidRDefault="00BE3422" w:rsidP="00CC3A2F">
            <w:pPr>
              <w:spacing w:after="0" w:line="240" w:lineRule="auto"/>
              <w:jc w:val="center"/>
            </w:pPr>
          </w:p>
        </w:tc>
      </w:tr>
      <w:tr w:rsidR="00BE3422" w:rsidRPr="00BE3422" w14:paraId="37ACDC1B" w14:textId="77777777" w:rsidTr="00CC3A2F">
        <w:tc>
          <w:tcPr>
            <w:tcW w:w="2537" w:type="dxa"/>
            <w:tcBorders>
              <w:left w:val="single" w:sz="12" w:space="0" w:color="auto"/>
              <w:right w:val="single" w:sz="12" w:space="0" w:color="auto"/>
            </w:tcBorders>
          </w:tcPr>
          <w:p w14:paraId="21C3401A" w14:textId="77777777" w:rsidR="00BE3422" w:rsidRPr="00BE3422" w:rsidRDefault="00BE3422" w:rsidP="00CC3A2F">
            <w:pPr>
              <w:spacing w:after="0" w:line="240" w:lineRule="auto"/>
              <w:rPr>
                <w:b/>
                <w:bCs/>
              </w:rPr>
            </w:pPr>
            <w:r w:rsidRPr="00BE3422">
              <w:rPr>
                <w:b/>
                <w:bCs/>
              </w:rPr>
              <w:t xml:space="preserve">Number of </w:t>
            </w:r>
            <w:proofErr w:type="gramStart"/>
            <w:r w:rsidRPr="00BE3422">
              <w:rPr>
                <w:b/>
                <w:bCs/>
              </w:rPr>
              <w:t>Inventoried  Inscribers</w:t>
            </w:r>
            <w:proofErr w:type="gramEnd"/>
          </w:p>
        </w:tc>
        <w:tc>
          <w:tcPr>
            <w:tcW w:w="1984" w:type="dxa"/>
            <w:tcBorders>
              <w:left w:val="single" w:sz="12" w:space="0" w:color="auto"/>
            </w:tcBorders>
          </w:tcPr>
          <w:p w14:paraId="5A7EDB51" w14:textId="77777777" w:rsidR="00BE3422" w:rsidRPr="00BE3422" w:rsidRDefault="00BE3422" w:rsidP="00CC3A2F">
            <w:pPr>
              <w:spacing w:after="0" w:line="240" w:lineRule="auto"/>
              <w:jc w:val="center"/>
            </w:pPr>
            <w:r w:rsidRPr="00BE3422">
              <w:t>1</w:t>
            </w:r>
          </w:p>
        </w:tc>
        <w:tc>
          <w:tcPr>
            <w:tcW w:w="1843" w:type="dxa"/>
          </w:tcPr>
          <w:p w14:paraId="4FB0A344" w14:textId="77777777" w:rsidR="00BE3422" w:rsidRPr="00BE3422" w:rsidRDefault="00BE3422" w:rsidP="00CC3A2F">
            <w:pPr>
              <w:spacing w:after="0" w:line="240" w:lineRule="auto"/>
              <w:jc w:val="center"/>
            </w:pPr>
            <w:r w:rsidRPr="00BE3422">
              <w:t>0</w:t>
            </w:r>
          </w:p>
        </w:tc>
        <w:tc>
          <w:tcPr>
            <w:tcW w:w="1985" w:type="dxa"/>
          </w:tcPr>
          <w:p w14:paraId="467456AC" w14:textId="77777777" w:rsidR="00BE3422" w:rsidRPr="00BE3422" w:rsidRDefault="00BE3422" w:rsidP="00CC3A2F">
            <w:pPr>
              <w:spacing w:after="0" w:line="240" w:lineRule="auto"/>
              <w:jc w:val="center"/>
            </w:pPr>
            <w:r w:rsidRPr="00BE3422">
              <w:t>0</w:t>
            </w:r>
          </w:p>
        </w:tc>
        <w:tc>
          <w:tcPr>
            <w:tcW w:w="1984" w:type="dxa"/>
          </w:tcPr>
          <w:p w14:paraId="782DDEB2" w14:textId="77777777" w:rsidR="00BE3422" w:rsidRPr="00BE3422" w:rsidRDefault="00BE3422" w:rsidP="00CC3A2F">
            <w:pPr>
              <w:spacing w:after="0" w:line="240" w:lineRule="auto"/>
              <w:jc w:val="center"/>
            </w:pPr>
            <w:r w:rsidRPr="00BE3422">
              <w:t>0</w:t>
            </w:r>
          </w:p>
        </w:tc>
        <w:tc>
          <w:tcPr>
            <w:tcW w:w="1843" w:type="dxa"/>
          </w:tcPr>
          <w:p w14:paraId="12C5472E" w14:textId="77777777" w:rsidR="00BE3422" w:rsidRPr="00BE3422" w:rsidRDefault="00BE3422" w:rsidP="00CC3A2F">
            <w:pPr>
              <w:spacing w:after="0" w:line="240" w:lineRule="auto"/>
              <w:jc w:val="center"/>
            </w:pPr>
            <w:r w:rsidRPr="00BE3422">
              <w:t>0</w:t>
            </w:r>
          </w:p>
        </w:tc>
        <w:tc>
          <w:tcPr>
            <w:tcW w:w="1752" w:type="dxa"/>
            <w:tcBorders>
              <w:right w:val="single" w:sz="12" w:space="0" w:color="auto"/>
            </w:tcBorders>
          </w:tcPr>
          <w:p w14:paraId="35487492" w14:textId="77777777" w:rsidR="00BE3422" w:rsidRPr="00BE3422" w:rsidRDefault="00BE3422" w:rsidP="00CC3A2F">
            <w:pPr>
              <w:spacing w:after="0" w:line="240" w:lineRule="auto"/>
              <w:jc w:val="center"/>
            </w:pPr>
            <w:r w:rsidRPr="00BE3422">
              <w:t>1</w:t>
            </w:r>
          </w:p>
        </w:tc>
      </w:tr>
      <w:tr w:rsidR="00BE3422" w:rsidRPr="00BE3422" w14:paraId="0A3D7FC9" w14:textId="77777777" w:rsidTr="00CC3A2F">
        <w:tc>
          <w:tcPr>
            <w:tcW w:w="2537" w:type="dxa"/>
            <w:tcBorders>
              <w:left w:val="single" w:sz="12" w:space="0" w:color="auto"/>
              <w:bottom w:val="single" w:sz="12" w:space="0" w:color="auto"/>
              <w:right w:val="single" w:sz="12" w:space="0" w:color="auto"/>
            </w:tcBorders>
          </w:tcPr>
          <w:p w14:paraId="7D84D431" w14:textId="77777777" w:rsidR="00BE3422" w:rsidRPr="00BE3422" w:rsidRDefault="00BE3422" w:rsidP="00CC3A2F">
            <w:pPr>
              <w:spacing w:after="0" w:line="240" w:lineRule="auto"/>
              <w:rPr>
                <w:b/>
                <w:bCs/>
              </w:rPr>
            </w:pPr>
            <w:r w:rsidRPr="00BE3422">
              <w:rPr>
                <w:b/>
                <w:bCs/>
              </w:rPr>
              <w:t>Mean Assessed Wealth of Inscribers</w:t>
            </w:r>
          </w:p>
        </w:tc>
        <w:tc>
          <w:tcPr>
            <w:tcW w:w="1984" w:type="dxa"/>
            <w:tcBorders>
              <w:left w:val="single" w:sz="12" w:space="0" w:color="auto"/>
              <w:bottom w:val="single" w:sz="12" w:space="0" w:color="auto"/>
            </w:tcBorders>
          </w:tcPr>
          <w:p w14:paraId="6BCD5A94" w14:textId="77777777" w:rsidR="00BE3422" w:rsidRPr="00BE3422" w:rsidRDefault="00BE3422" w:rsidP="00CC3A2F">
            <w:pPr>
              <w:spacing w:after="0" w:line="240" w:lineRule="auto"/>
              <w:jc w:val="center"/>
            </w:pPr>
            <w:r w:rsidRPr="00BE3422">
              <w:t>£185</w:t>
            </w:r>
          </w:p>
        </w:tc>
        <w:tc>
          <w:tcPr>
            <w:tcW w:w="1843" w:type="dxa"/>
            <w:tcBorders>
              <w:bottom w:val="single" w:sz="12" w:space="0" w:color="auto"/>
            </w:tcBorders>
          </w:tcPr>
          <w:p w14:paraId="4018C67E" w14:textId="77777777" w:rsidR="00BE3422" w:rsidRPr="00BE3422" w:rsidRDefault="00BE3422" w:rsidP="00CC3A2F">
            <w:pPr>
              <w:spacing w:after="0" w:line="240" w:lineRule="auto"/>
              <w:jc w:val="center"/>
            </w:pPr>
            <w:r w:rsidRPr="00BE3422">
              <w:t>-</w:t>
            </w:r>
          </w:p>
        </w:tc>
        <w:tc>
          <w:tcPr>
            <w:tcW w:w="1985" w:type="dxa"/>
            <w:tcBorders>
              <w:bottom w:val="single" w:sz="12" w:space="0" w:color="auto"/>
            </w:tcBorders>
          </w:tcPr>
          <w:p w14:paraId="1183AAD1" w14:textId="77777777" w:rsidR="00BE3422" w:rsidRPr="00BE3422" w:rsidRDefault="00BE3422" w:rsidP="00CC3A2F">
            <w:pPr>
              <w:spacing w:after="0" w:line="240" w:lineRule="auto"/>
              <w:jc w:val="center"/>
            </w:pPr>
            <w:r w:rsidRPr="00BE3422">
              <w:t>-</w:t>
            </w:r>
          </w:p>
        </w:tc>
        <w:tc>
          <w:tcPr>
            <w:tcW w:w="1984" w:type="dxa"/>
            <w:tcBorders>
              <w:bottom w:val="single" w:sz="12" w:space="0" w:color="auto"/>
            </w:tcBorders>
          </w:tcPr>
          <w:p w14:paraId="033CBBA4" w14:textId="77777777" w:rsidR="00BE3422" w:rsidRPr="00BE3422" w:rsidRDefault="00BE3422" w:rsidP="00CC3A2F">
            <w:pPr>
              <w:spacing w:after="0" w:line="240" w:lineRule="auto"/>
              <w:jc w:val="center"/>
            </w:pPr>
            <w:r w:rsidRPr="00BE3422">
              <w:t>-</w:t>
            </w:r>
          </w:p>
        </w:tc>
        <w:tc>
          <w:tcPr>
            <w:tcW w:w="1843" w:type="dxa"/>
            <w:tcBorders>
              <w:bottom w:val="single" w:sz="12" w:space="0" w:color="auto"/>
            </w:tcBorders>
          </w:tcPr>
          <w:p w14:paraId="4BF74065" w14:textId="77777777" w:rsidR="00BE3422" w:rsidRPr="00BE3422" w:rsidRDefault="00BE3422" w:rsidP="00CC3A2F">
            <w:pPr>
              <w:spacing w:after="0" w:line="240" w:lineRule="auto"/>
              <w:jc w:val="center"/>
            </w:pPr>
            <w:r w:rsidRPr="00BE3422">
              <w:t>-</w:t>
            </w:r>
          </w:p>
        </w:tc>
        <w:tc>
          <w:tcPr>
            <w:tcW w:w="1752" w:type="dxa"/>
            <w:tcBorders>
              <w:bottom w:val="single" w:sz="12" w:space="0" w:color="auto"/>
              <w:right w:val="single" w:sz="12" w:space="0" w:color="auto"/>
            </w:tcBorders>
          </w:tcPr>
          <w:p w14:paraId="676E36E9" w14:textId="77777777" w:rsidR="00BE3422" w:rsidRPr="00BE3422" w:rsidRDefault="00BE3422" w:rsidP="00CC3A2F">
            <w:pPr>
              <w:spacing w:after="0" w:line="240" w:lineRule="auto"/>
              <w:jc w:val="center"/>
            </w:pPr>
            <w:r w:rsidRPr="00BE3422">
              <w:t>£185</w:t>
            </w:r>
          </w:p>
        </w:tc>
      </w:tr>
    </w:tbl>
    <w:p w14:paraId="745BEE26" w14:textId="77777777" w:rsidR="00BE3422" w:rsidRPr="00BE3422" w:rsidRDefault="00BE3422" w:rsidP="00BE3422"/>
    <w:p w14:paraId="565DD7FB" w14:textId="77777777" w:rsidR="00CC3A2F" w:rsidRDefault="00CC3A2F" w:rsidP="00BE3422">
      <w:pPr>
        <w:jc w:val="center"/>
      </w:pPr>
    </w:p>
    <w:p w14:paraId="7B479868" w14:textId="77777777" w:rsidR="00CC3A2F" w:rsidRDefault="00CC3A2F" w:rsidP="00BE3422">
      <w:pPr>
        <w:jc w:val="center"/>
      </w:pPr>
    </w:p>
    <w:p w14:paraId="41F8A4AB" w14:textId="77777777" w:rsidR="00CC3A2F" w:rsidRDefault="00CC3A2F" w:rsidP="00BE3422">
      <w:pPr>
        <w:jc w:val="center"/>
      </w:pPr>
    </w:p>
    <w:p w14:paraId="69207482" w14:textId="77777777" w:rsidR="00CC3A2F" w:rsidRDefault="00CC3A2F" w:rsidP="00BE3422">
      <w:pPr>
        <w:jc w:val="center"/>
      </w:pPr>
    </w:p>
    <w:p w14:paraId="468CC4AB" w14:textId="7C95384D" w:rsidR="007932F9" w:rsidRDefault="00BE3422" w:rsidP="00BE3422">
      <w:pPr>
        <w:jc w:val="center"/>
        <w:sectPr w:rsidR="007932F9" w:rsidSect="00BE3422">
          <w:pgSz w:w="16838" w:h="11906" w:orient="landscape"/>
          <w:pgMar w:top="1440" w:right="1440" w:bottom="1440" w:left="1440" w:header="720" w:footer="720" w:gutter="0"/>
          <w:cols w:space="720"/>
          <w:docGrid w:linePitch="360"/>
        </w:sectPr>
      </w:pPr>
      <w:r w:rsidRPr="00BE3422">
        <w:t xml:space="preserve">Table 13 – </w:t>
      </w:r>
      <w:r w:rsidR="00792010">
        <w:t>Prevalence</w:t>
      </w:r>
      <w:r w:rsidRPr="00BE3422">
        <w:t xml:space="preserve"> and wealth of inventoried men within different occupational and status groups in the Bolton-le-Sands and Prestbury core sample.</w:t>
      </w:r>
    </w:p>
    <w:p w14:paraId="3B61957E" w14:textId="77777777" w:rsidR="00400A61" w:rsidRDefault="00400A61" w:rsidP="00400A61">
      <w:pPr>
        <w:tabs>
          <w:tab w:val="left" w:pos="5670"/>
          <w:tab w:val="center" w:pos="6979"/>
        </w:tabs>
      </w:pPr>
      <w:r>
        <w:lastRenderedPageBreak/>
        <w:tab/>
      </w:r>
    </w:p>
    <w:tbl>
      <w:tblPr>
        <w:tblStyle w:val="TableGrid7"/>
        <w:tblpPr w:leftFromText="180" w:rightFromText="180" w:vertAnchor="page" w:horzAnchor="margin" w:tblpY="4231"/>
        <w:tblW w:w="0" w:type="auto"/>
        <w:tblLook w:val="04A0" w:firstRow="1" w:lastRow="0" w:firstColumn="1" w:lastColumn="0" w:noHBand="0" w:noVBand="1"/>
      </w:tblPr>
      <w:tblGrid>
        <w:gridCol w:w="3000"/>
        <w:gridCol w:w="2997"/>
        <w:gridCol w:w="2999"/>
      </w:tblGrid>
      <w:tr w:rsidR="00400A61" w:rsidRPr="00400A61" w14:paraId="073A83B4" w14:textId="77777777" w:rsidTr="00CC3A2F">
        <w:tc>
          <w:tcPr>
            <w:tcW w:w="3000" w:type="dxa"/>
            <w:tcBorders>
              <w:top w:val="single" w:sz="12" w:space="0" w:color="auto"/>
              <w:left w:val="single" w:sz="12" w:space="0" w:color="auto"/>
              <w:bottom w:val="single" w:sz="12" w:space="0" w:color="auto"/>
              <w:right w:val="single" w:sz="12" w:space="0" w:color="auto"/>
            </w:tcBorders>
          </w:tcPr>
          <w:p w14:paraId="29B0CB3B" w14:textId="77777777" w:rsidR="00400A61" w:rsidRPr="00400A61" w:rsidRDefault="00400A61" w:rsidP="00CC3A2F">
            <w:pPr>
              <w:spacing w:after="0" w:line="240" w:lineRule="auto"/>
            </w:pPr>
          </w:p>
        </w:tc>
        <w:tc>
          <w:tcPr>
            <w:tcW w:w="2997" w:type="dxa"/>
            <w:tcBorders>
              <w:top w:val="single" w:sz="12" w:space="0" w:color="auto"/>
              <w:left w:val="single" w:sz="12" w:space="0" w:color="auto"/>
              <w:bottom w:val="single" w:sz="12" w:space="0" w:color="auto"/>
              <w:right w:val="single" w:sz="12" w:space="0" w:color="auto"/>
            </w:tcBorders>
          </w:tcPr>
          <w:p w14:paraId="7E7162B5" w14:textId="77777777" w:rsidR="00400A61" w:rsidRPr="00400A61" w:rsidRDefault="00400A61" w:rsidP="00CC3A2F">
            <w:pPr>
              <w:spacing w:after="0" w:line="240" w:lineRule="auto"/>
              <w:jc w:val="center"/>
              <w:rPr>
                <w:b/>
                <w:bCs/>
              </w:rPr>
            </w:pPr>
            <w:r w:rsidRPr="00400A61">
              <w:rPr>
                <w:b/>
                <w:bCs/>
              </w:rPr>
              <w:t>Bolton-le-Sands</w:t>
            </w:r>
          </w:p>
        </w:tc>
        <w:tc>
          <w:tcPr>
            <w:tcW w:w="2999" w:type="dxa"/>
            <w:tcBorders>
              <w:top w:val="single" w:sz="12" w:space="0" w:color="auto"/>
              <w:left w:val="single" w:sz="12" w:space="0" w:color="auto"/>
              <w:bottom w:val="single" w:sz="12" w:space="0" w:color="auto"/>
              <w:right w:val="single" w:sz="12" w:space="0" w:color="auto"/>
            </w:tcBorders>
          </w:tcPr>
          <w:p w14:paraId="5EE4B682" w14:textId="77777777" w:rsidR="00400A61" w:rsidRPr="00400A61" w:rsidRDefault="00400A61" w:rsidP="00CC3A2F">
            <w:pPr>
              <w:spacing w:after="0" w:line="240" w:lineRule="auto"/>
              <w:jc w:val="center"/>
              <w:rPr>
                <w:b/>
                <w:bCs/>
              </w:rPr>
            </w:pPr>
            <w:r w:rsidRPr="00400A61">
              <w:rPr>
                <w:b/>
                <w:bCs/>
              </w:rPr>
              <w:t>Prestbury</w:t>
            </w:r>
          </w:p>
        </w:tc>
      </w:tr>
      <w:tr w:rsidR="00400A61" w:rsidRPr="00400A61" w14:paraId="4D75BA70" w14:textId="77777777" w:rsidTr="00CC3A2F">
        <w:tc>
          <w:tcPr>
            <w:tcW w:w="3000" w:type="dxa"/>
            <w:tcBorders>
              <w:top w:val="single" w:sz="12" w:space="0" w:color="auto"/>
              <w:left w:val="single" w:sz="12" w:space="0" w:color="auto"/>
              <w:right w:val="single" w:sz="12" w:space="0" w:color="auto"/>
            </w:tcBorders>
          </w:tcPr>
          <w:p w14:paraId="6ADB4823" w14:textId="77777777" w:rsidR="00400A61" w:rsidRPr="00400A61" w:rsidRDefault="00400A61" w:rsidP="00CC3A2F">
            <w:pPr>
              <w:spacing w:after="0" w:line="240" w:lineRule="auto"/>
              <w:rPr>
                <w:b/>
                <w:bCs/>
              </w:rPr>
            </w:pPr>
            <w:r w:rsidRPr="00400A61">
              <w:rPr>
                <w:b/>
                <w:bCs/>
              </w:rPr>
              <w:t>Total No. of Husbandmen</w:t>
            </w:r>
          </w:p>
        </w:tc>
        <w:tc>
          <w:tcPr>
            <w:tcW w:w="2997" w:type="dxa"/>
            <w:tcBorders>
              <w:top w:val="single" w:sz="12" w:space="0" w:color="auto"/>
              <w:left w:val="single" w:sz="12" w:space="0" w:color="auto"/>
              <w:right w:val="single" w:sz="12" w:space="0" w:color="auto"/>
            </w:tcBorders>
          </w:tcPr>
          <w:p w14:paraId="796B45F2" w14:textId="77777777" w:rsidR="00400A61" w:rsidRPr="00400A61" w:rsidRDefault="00400A61" w:rsidP="00CC3A2F">
            <w:pPr>
              <w:spacing w:after="0" w:line="240" w:lineRule="auto"/>
              <w:jc w:val="center"/>
              <w:rPr>
                <w:b/>
                <w:bCs/>
              </w:rPr>
            </w:pPr>
            <w:r w:rsidRPr="00400A61">
              <w:rPr>
                <w:b/>
                <w:bCs/>
              </w:rPr>
              <w:t>4</w:t>
            </w:r>
          </w:p>
        </w:tc>
        <w:tc>
          <w:tcPr>
            <w:tcW w:w="2999" w:type="dxa"/>
            <w:tcBorders>
              <w:top w:val="single" w:sz="12" w:space="0" w:color="auto"/>
              <w:left w:val="single" w:sz="12" w:space="0" w:color="auto"/>
              <w:right w:val="single" w:sz="12" w:space="0" w:color="auto"/>
            </w:tcBorders>
          </w:tcPr>
          <w:p w14:paraId="23675006" w14:textId="77777777" w:rsidR="00400A61" w:rsidRPr="00400A61" w:rsidRDefault="00400A61" w:rsidP="00CC3A2F">
            <w:pPr>
              <w:spacing w:after="0" w:line="240" w:lineRule="auto"/>
              <w:jc w:val="center"/>
              <w:rPr>
                <w:b/>
                <w:bCs/>
              </w:rPr>
            </w:pPr>
            <w:r w:rsidRPr="00400A61">
              <w:rPr>
                <w:b/>
                <w:bCs/>
              </w:rPr>
              <w:t>12</w:t>
            </w:r>
          </w:p>
        </w:tc>
      </w:tr>
      <w:tr w:rsidR="00400A61" w:rsidRPr="00400A61" w14:paraId="4A62DB82" w14:textId="77777777" w:rsidTr="00CC3A2F">
        <w:tc>
          <w:tcPr>
            <w:tcW w:w="3000" w:type="dxa"/>
            <w:tcBorders>
              <w:left w:val="single" w:sz="12" w:space="0" w:color="auto"/>
              <w:right w:val="single" w:sz="12" w:space="0" w:color="auto"/>
            </w:tcBorders>
          </w:tcPr>
          <w:p w14:paraId="387E46BC" w14:textId="77777777" w:rsidR="00400A61" w:rsidRPr="00400A61" w:rsidRDefault="00400A61" w:rsidP="00CC3A2F">
            <w:pPr>
              <w:spacing w:after="0" w:line="240" w:lineRule="auto"/>
            </w:pPr>
            <w:r w:rsidRPr="00400A61">
              <w:t xml:space="preserve">     £50+</w:t>
            </w:r>
          </w:p>
        </w:tc>
        <w:tc>
          <w:tcPr>
            <w:tcW w:w="2997" w:type="dxa"/>
            <w:tcBorders>
              <w:left w:val="single" w:sz="12" w:space="0" w:color="auto"/>
              <w:right w:val="single" w:sz="12" w:space="0" w:color="auto"/>
            </w:tcBorders>
          </w:tcPr>
          <w:p w14:paraId="5F6C7149" w14:textId="77777777" w:rsidR="00400A61" w:rsidRPr="00400A61" w:rsidRDefault="00400A61" w:rsidP="00CC3A2F">
            <w:pPr>
              <w:spacing w:after="0" w:line="240" w:lineRule="auto"/>
              <w:jc w:val="center"/>
            </w:pPr>
            <w:r w:rsidRPr="00400A61">
              <w:t>25%</w:t>
            </w:r>
          </w:p>
        </w:tc>
        <w:tc>
          <w:tcPr>
            <w:tcW w:w="2999" w:type="dxa"/>
            <w:tcBorders>
              <w:left w:val="single" w:sz="12" w:space="0" w:color="auto"/>
              <w:right w:val="single" w:sz="12" w:space="0" w:color="auto"/>
            </w:tcBorders>
          </w:tcPr>
          <w:p w14:paraId="5E42F94D" w14:textId="77777777" w:rsidR="00400A61" w:rsidRPr="00400A61" w:rsidRDefault="00400A61" w:rsidP="00CC3A2F">
            <w:pPr>
              <w:spacing w:after="0" w:line="240" w:lineRule="auto"/>
              <w:jc w:val="center"/>
            </w:pPr>
            <w:r w:rsidRPr="00400A61">
              <w:t>50%</w:t>
            </w:r>
          </w:p>
        </w:tc>
      </w:tr>
      <w:tr w:rsidR="00400A61" w:rsidRPr="00400A61" w14:paraId="10E149CC" w14:textId="77777777" w:rsidTr="00CC3A2F">
        <w:tc>
          <w:tcPr>
            <w:tcW w:w="3000" w:type="dxa"/>
            <w:tcBorders>
              <w:left w:val="single" w:sz="12" w:space="0" w:color="auto"/>
              <w:right w:val="single" w:sz="12" w:space="0" w:color="auto"/>
            </w:tcBorders>
          </w:tcPr>
          <w:p w14:paraId="4D8BF094" w14:textId="77777777" w:rsidR="00400A61" w:rsidRPr="00400A61" w:rsidRDefault="00400A61" w:rsidP="00CC3A2F">
            <w:pPr>
              <w:spacing w:after="0" w:line="240" w:lineRule="auto"/>
            </w:pPr>
            <w:r w:rsidRPr="00400A61">
              <w:t xml:space="preserve">     £100+</w:t>
            </w:r>
          </w:p>
        </w:tc>
        <w:tc>
          <w:tcPr>
            <w:tcW w:w="2997" w:type="dxa"/>
            <w:tcBorders>
              <w:left w:val="single" w:sz="12" w:space="0" w:color="auto"/>
              <w:right w:val="single" w:sz="12" w:space="0" w:color="auto"/>
            </w:tcBorders>
          </w:tcPr>
          <w:p w14:paraId="0C993C41" w14:textId="77777777" w:rsidR="00400A61" w:rsidRPr="00400A61" w:rsidRDefault="00400A61" w:rsidP="00CC3A2F">
            <w:pPr>
              <w:spacing w:after="0" w:line="240" w:lineRule="auto"/>
              <w:jc w:val="center"/>
            </w:pPr>
            <w:r w:rsidRPr="00400A61">
              <w:t>0%</w:t>
            </w:r>
          </w:p>
        </w:tc>
        <w:tc>
          <w:tcPr>
            <w:tcW w:w="2999" w:type="dxa"/>
            <w:tcBorders>
              <w:left w:val="single" w:sz="12" w:space="0" w:color="auto"/>
              <w:right w:val="single" w:sz="12" w:space="0" w:color="auto"/>
            </w:tcBorders>
          </w:tcPr>
          <w:p w14:paraId="6DA93EF6" w14:textId="77777777" w:rsidR="00400A61" w:rsidRPr="00400A61" w:rsidRDefault="00400A61" w:rsidP="00CC3A2F">
            <w:pPr>
              <w:spacing w:after="0" w:line="240" w:lineRule="auto"/>
              <w:jc w:val="center"/>
            </w:pPr>
            <w:r w:rsidRPr="00400A61">
              <w:t>33%</w:t>
            </w:r>
          </w:p>
        </w:tc>
      </w:tr>
      <w:tr w:rsidR="00400A61" w:rsidRPr="00400A61" w14:paraId="1DD1403D" w14:textId="77777777" w:rsidTr="00CC3A2F">
        <w:tc>
          <w:tcPr>
            <w:tcW w:w="3000" w:type="dxa"/>
            <w:tcBorders>
              <w:left w:val="single" w:sz="12" w:space="0" w:color="auto"/>
              <w:bottom w:val="single" w:sz="12" w:space="0" w:color="auto"/>
              <w:right w:val="single" w:sz="12" w:space="0" w:color="auto"/>
            </w:tcBorders>
          </w:tcPr>
          <w:p w14:paraId="2DD8D646" w14:textId="77777777" w:rsidR="00400A61" w:rsidRPr="00400A61" w:rsidRDefault="00400A61" w:rsidP="00CC3A2F">
            <w:pPr>
              <w:spacing w:after="0" w:line="240" w:lineRule="auto"/>
            </w:pPr>
            <w:r w:rsidRPr="00400A61">
              <w:t xml:space="preserve">     £200+</w:t>
            </w:r>
          </w:p>
        </w:tc>
        <w:tc>
          <w:tcPr>
            <w:tcW w:w="2997" w:type="dxa"/>
            <w:tcBorders>
              <w:left w:val="single" w:sz="12" w:space="0" w:color="auto"/>
              <w:bottom w:val="single" w:sz="12" w:space="0" w:color="auto"/>
              <w:right w:val="single" w:sz="12" w:space="0" w:color="auto"/>
            </w:tcBorders>
          </w:tcPr>
          <w:p w14:paraId="72A119FD" w14:textId="77777777" w:rsidR="00400A61" w:rsidRPr="00400A61" w:rsidRDefault="00400A61" w:rsidP="00CC3A2F">
            <w:pPr>
              <w:spacing w:after="0" w:line="240" w:lineRule="auto"/>
              <w:jc w:val="center"/>
            </w:pPr>
            <w:r w:rsidRPr="00400A61">
              <w:t>0%</w:t>
            </w:r>
          </w:p>
        </w:tc>
        <w:tc>
          <w:tcPr>
            <w:tcW w:w="2999" w:type="dxa"/>
            <w:tcBorders>
              <w:left w:val="single" w:sz="12" w:space="0" w:color="auto"/>
              <w:bottom w:val="single" w:sz="12" w:space="0" w:color="auto"/>
              <w:right w:val="single" w:sz="12" w:space="0" w:color="auto"/>
            </w:tcBorders>
          </w:tcPr>
          <w:p w14:paraId="296EE198" w14:textId="77777777" w:rsidR="00400A61" w:rsidRPr="00400A61" w:rsidRDefault="00400A61" w:rsidP="00CC3A2F">
            <w:pPr>
              <w:spacing w:after="0" w:line="240" w:lineRule="auto"/>
              <w:jc w:val="center"/>
            </w:pPr>
            <w:r w:rsidRPr="00400A61">
              <w:t>0%</w:t>
            </w:r>
          </w:p>
        </w:tc>
      </w:tr>
      <w:tr w:rsidR="00400A61" w:rsidRPr="00400A61" w14:paraId="186E2CF5" w14:textId="77777777" w:rsidTr="00CC3A2F">
        <w:tc>
          <w:tcPr>
            <w:tcW w:w="3000" w:type="dxa"/>
            <w:tcBorders>
              <w:top w:val="single" w:sz="12" w:space="0" w:color="auto"/>
              <w:left w:val="single" w:sz="12" w:space="0" w:color="auto"/>
              <w:right w:val="single" w:sz="12" w:space="0" w:color="auto"/>
            </w:tcBorders>
          </w:tcPr>
          <w:p w14:paraId="7F9A2A97" w14:textId="77777777" w:rsidR="00400A61" w:rsidRPr="00400A61" w:rsidRDefault="00400A61" w:rsidP="00CC3A2F">
            <w:pPr>
              <w:spacing w:after="0" w:line="240" w:lineRule="auto"/>
              <w:rPr>
                <w:b/>
                <w:bCs/>
              </w:rPr>
            </w:pPr>
            <w:r w:rsidRPr="00400A61">
              <w:rPr>
                <w:b/>
                <w:bCs/>
              </w:rPr>
              <w:t>Total No. of Yeomen</w:t>
            </w:r>
          </w:p>
        </w:tc>
        <w:tc>
          <w:tcPr>
            <w:tcW w:w="2997" w:type="dxa"/>
            <w:tcBorders>
              <w:top w:val="single" w:sz="12" w:space="0" w:color="auto"/>
              <w:left w:val="single" w:sz="12" w:space="0" w:color="auto"/>
              <w:right w:val="single" w:sz="12" w:space="0" w:color="auto"/>
            </w:tcBorders>
          </w:tcPr>
          <w:p w14:paraId="5860D92B" w14:textId="77777777" w:rsidR="00400A61" w:rsidRPr="00400A61" w:rsidRDefault="00400A61" w:rsidP="00CC3A2F">
            <w:pPr>
              <w:spacing w:after="0" w:line="240" w:lineRule="auto"/>
              <w:jc w:val="center"/>
              <w:rPr>
                <w:b/>
                <w:bCs/>
              </w:rPr>
            </w:pPr>
            <w:r w:rsidRPr="00400A61">
              <w:rPr>
                <w:b/>
                <w:bCs/>
              </w:rPr>
              <w:t>46</w:t>
            </w:r>
          </w:p>
        </w:tc>
        <w:tc>
          <w:tcPr>
            <w:tcW w:w="2999" w:type="dxa"/>
            <w:tcBorders>
              <w:top w:val="single" w:sz="12" w:space="0" w:color="auto"/>
              <w:left w:val="single" w:sz="12" w:space="0" w:color="auto"/>
              <w:right w:val="single" w:sz="12" w:space="0" w:color="auto"/>
            </w:tcBorders>
          </w:tcPr>
          <w:p w14:paraId="16781945" w14:textId="77777777" w:rsidR="00400A61" w:rsidRPr="00400A61" w:rsidRDefault="00400A61" w:rsidP="00CC3A2F">
            <w:pPr>
              <w:spacing w:after="0" w:line="240" w:lineRule="auto"/>
              <w:jc w:val="center"/>
              <w:rPr>
                <w:b/>
                <w:bCs/>
              </w:rPr>
            </w:pPr>
            <w:r w:rsidRPr="00400A61">
              <w:rPr>
                <w:b/>
                <w:bCs/>
              </w:rPr>
              <w:t>43</w:t>
            </w:r>
          </w:p>
        </w:tc>
      </w:tr>
      <w:tr w:rsidR="00400A61" w:rsidRPr="00400A61" w14:paraId="4243933B" w14:textId="77777777" w:rsidTr="00CC3A2F">
        <w:tc>
          <w:tcPr>
            <w:tcW w:w="3000" w:type="dxa"/>
            <w:tcBorders>
              <w:left w:val="single" w:sz="12" w:space="0" w:color="auto"/>
              <w:right w:val="single" w:sz="12" w:space="0" w:color="auto"/>
            </w:tcBorders>
          </w:tcPr>
          <w:p w14:paraId="55BF7205" w14:textId="77777777" w:rsidR="00400A61" w:rsidRPr="00400A61" w:rsidRDefault="00400A61" w:rsidP="00CC3A2F">
            <w:pPr>
              <w:spacing w:after="0" w:line="240" w:lineRule="auto"/>
            </w:pPr>
            <w:r w:rsidRPr="00400A61">
              <w:t xml:space="preserve">     £50+</w:t>
            </w:r>
          </w:p>
        </w:tc>
        <w:tc>
          <w:tcPr>
            <w:tcW w:w="2997" w:type="dxa"/>
            <w:tcBorders>
              <w:left w:val="single" w:sz="12" w:space="0" w:color="auto"/>
              <w:right w:val="single" w:sz="12" w:space="0" w:color="auto"/>
            </w:tcBorders>
          </w:tcPr>
          <w:p w14:paraId="2C85FA71" w14:textId="77777777" w:rsidR="00400A61" w:rsidRPr="00400A61" w:rsidRDefault="00400A61" w:rsidP="00CC3A2F">
            <w:pPr>
              <w:spacing w:after="0" w:line="240" w:lineRule="auto"/>
              <w:jc w:val="center"/>
            </w:pPr>
            <w:r w:rsidRPr="00400A61">
              <w:t>72%</w:t>
            </w:r>
          </w:p>
        </w:tc>
        <w:tc>
          <w:tcPr>
            <w:tcW w:w="2999" w:type="dxa"/>
            <w:tcBorders>
              <w:left w:val="single" w:sz="12" w:space="0" w:color="auto"/>
              <w:right w:val="single" w:sz="12" w:space="0" w:color="auto"/>
            </w:tcBorders>
          </w:tcPr>
          <w:p w14:paraId="2AE5859D" w14:textId="77777777" w:rsidR="00400A61" w:rsidRPr="00400A61" w:rsidRDefault="00400A61" w:rsidP="00CC3A2F">
            <w:pPr>
              <w:spacing w:after="0" w:line="240" w:lineRule="auto"/>
              <w:jc w:val="center"/>
            </w:pPr>
            <w:r w:rsidRPr="00400A61">
              <w:t>58%</w:t>
            </w:r>
          </w:p>
        </w:tc>
      </w:tr>
      <w:tr w:rsidR="00400A61" w:rsidRPr="00400A61" w14:paraId="0B3190A8" w14:textId="77777777" w:rsidTr="00CC3A2F">
        <w:tc>
          <w:tcPr>
            <w:tcW w:w="3000" w:type="dxa"/>
            <w:tcBorders>
              <w:left w:val="single" w:sz="12" w:space="0" w:color="auto"/>
              <w:right w:val="single" w:sz="12" w:space="0" w:color="auto"/>
            </w:tcBorders>
          </w:tcPr>
          <w:p w14:paraId="357404F1" w14:textId="77777777" w:rsidR="00400A61" w:rsidRPr="00400A61" w:rsidRDefault="00400A61" w:rsidP="00CC3A2F">
            <w:pPr>
              <w:spacing w:after="0" w:line="240" w:lineRule="auto"/>
            </w:pPr>
            <w:r w:rsidRPr="00400A61">
              <w:t xml:space="preserve">     £100+</w:t>
            </w:r>
          </w:p>
        </w:tc>
        <w:tc>
          <w:tcPr>
            <w:tcW w:w="2997" w:type="dxa"/>
            <w:tcBorders>
              <w:left w:val="single" w:sz="12" w:space="0" w:color="auto"/>
              <w:right w:val="single" w:sz="12" w:space="0" w:color="auto"/>
            </w:tcBorders>
          </w:tcPr>
          <w:p w14:paraId="3EEE6878" w14:textId="77777777" w:rsidR="00400A61" w:rsidRPr="00400A61" w:rsidRDefault="00400A61" w:rsidP="00CC3A2F">
            <w:pPr>
              <w:spacing w:after="0" w:line="240" w:lineRule="auto"/>
              <w:jc w:val="center"/>
            </w:pPr>
            <w:r w:rsidRPr="00400A61">
              <w:t>43%</w:t>
            </w:r>
          </w:p>
        </w:tc>
        <w:tc>
          <w:tcPr>
            <w:tcW w:w="2999" w:type="dxa"/>
            <w:tcBorders>
              <w:left w:val="single" w:sz="12" w:space="0" w:color="auto"/>
              <w:right w:val="single" w:sz="12" w:space="0" w:color="auto"/>
            </w:tcBorders>
          </w:tcPr>
          <w:p w14:paraId="5B2A920B" w14:textId="77777777" w:rsidR="00400A61" w:rsidRPr="00400A61" w:rsidRDefault="00400A61" w:rsidP="00CC3A2F">
            <w:pPr>
              <w:spacing w:after="0" w:line="240" w:lineRule="auto"/>
              <w:jc w:val="center"/>
            </w:pPr>
            <w:r w:rsidRPr="00400A61">
              <w:t>44%</w:t>
            </w:r>
          </w:p>
        </w:tc>
      </w:tr>
      <w:tr w:rsidR="00400A61" w:rsidRPr="00400A61" w14:paraId="43277EFD" w14:textId="77777777" w:rsidTr="00CC3A2F">
        <w:tc>
          <w:tcPr>
            <w:tcW w:w="3000" w:type="dxa"/>
            <w:tcBorders>
              <w:left w:val="single" w:sz="12" w:space="0" w:color="auto"/>
              <w:bottom w:val="single" w:sz="12" w:space="0" w:color="auto"/>
              <w:right w:val="single" w:sz="12" w:space="0" w:color="auto"/>
            </w:tcBorders>
          </w:tcPr>
          <w:p w14:paraId="07873CA6" w14:textId="77777777" w:rsidR="00400A61" w:rsidRPr="00400A61" w:rsidRDefault="00400A61" w:rsidP="00CC3A2F">
            <w:pPr>
              <w:spacing w:after="0" w:line="240" w:lineRule="auto"/>
            </w:pPr>
            <w:r w:rsidRPr="00400A61">
              <w:t xml:space="preserve">     £200+</w:t>
            </w:r>
          </w:p>
        </w:tc>
        <w:tc>
          <w:tcPr>
            <w:tcW w:w="2997" w:type="dxa"/>
            <w:tcBorders>
              <w:left w:val="single" w:sz="12" w:space="0" w:color="auto"/>
              <w:bottom w:val="single" w:sz="12" w:space="0" w:color="auto"/>
              <w:right w:val="single" w:sz="12" w:space="0" w:color="auto"/>
            </w:tcBorders>
          </w:tcPr>
          <w:p w14:paraId="6A2E67F2" w14:textId="77777777" w:rsidR="00400A61" w:rsidRPr="00400A61" w:rsidRDefault="00400A61" w:rsidP="00CC3A2F">
            <w:pPr>
              <w:spacing w:after="0" w:line="240" w:lineRule="auto"/>
              <w:jc w:val="center"/>
            </w:pPr>
            <w:r w:rsidRPr="00400A61">
              <w:t>13%</w:t>
            </w:r>
          </w:p>
        </w:tc>
        <w:tc>
          <w:tcPr>
            <w:tcW w:w="2999" w:type="dxa"/>
            <w:tcBorders>
              <w:left w:val="single" w:sz="12" w:space="0" w:color="auto"/>
              <w:bottom w:val="single" w:sz="12" w:space="0" w:color="auto"/>
              <w:right w:val="single" w:sz="12" w:space="0" w:color="auto"/>
            </w:tcBorders>
          </w:tcPr>
          <w:p w14:paraId="11569F3C" w14:textId="77777777" w:rsidR="00400A61" w:rsidRPr="00400A61" w:rsidRDefault="00400A61" w:rsidP="00CC3A2F">
            <w:pPr>
              <w:spacing w:after="0" w:line="240" w:lineRule="auto"/>
              <w:jc w:val="center"/>
            </w:pPr>
            <w:r w:rsidRPr="00400A61">
              <w:t>23%</w:t>
            </w:r>
          </w:p>
        </w:tc>
      </w:tr>
    </w:tbl>
    <w:p w14:paraId="5D3F809B" w14:textId="77777777" w:rsidR="00400A61" w:rsidRPr="00400A61" w:rsidRDefault="00400A61" w:rsidP="00400A61"/>
    <w:p w14:paraId="036331F6" w14:textId="77777777" w:rsidR="00CC3A2F" w:rsidRDefault="00CC3A2F" w:rsidP="00400A61">
      <w:pPr>
        <w:jc w:val="center"/>
      </w:pPr>
    </w:p>
    <w:p w14:paraId="4A243E92" w14:textId="77777777" w:rsidR="00CC3A2F" w:rsidRDefault="00CC3A2F" w:rsidP="00400A61">
      <w:pPr>
        <w:jc w:val="center"/>
      </w:pPr>
    </w:p>
    <w:p w14:paraId="5B82A84D" w14:textId="77777777" w:rsidR="00CC3A2F" w:rsidRDefault="00CC3A2F" w:rsidP="00400A61">
      <w:pPr>
        <w:jc w:val="center"/>
      </w:pPr>
    </w:p>
    <w:p w14:paraId="3C2C3BA5" w14:textId="77777777" w:rsidR="00CC3A2F" w:rsidRDefault="00CC3A2F" w:rsidP="00400A61">
      <w:pPr>
        <w:jc w:val="center"/>
      </w:pPr>
    </w:p>
    <w:p w14:paraId="03F6E7DD" w14:textId="07F8FFA3" w:rsidR="00400A61" w:rsidRDefault="00400A61" w:rsidP="00400A61">
      <w:pPr>
        <w:jc w:val="center"/>
      </w:pPr>
      <w:r w:rsidRPr="00400A61">
        <w:t>Table 14 – Wealth of husbandmen and yeomen in the Bolton-le-Sands and Prestbury wider survey</w:t>
      </w:r>
      <w:r>
        <w:t>.</w:t>
      </w:r>
    </w:p>
    <w:p w14:paraId="1D5127AA" w14:textId="77777777" w:rsidR="00400A61" w:rsidRDefault="00400A61">
      <w:pPr>
        <w:spacing w:after="0" w:line="240" w:lineRule="auto"/>
      </w:pPr>
      <w:r>
        <w:br w:type="page"/>
      </w:r>
    </w:p>
    <w:p w14:paraId="1538D138" w14:textId="63AED41D" w:rsidR="00E77C07" w:rsidRDefault="00E77C07">
      <w:pPr>
        <w:spacing w:after="0" w:line="240" w:lineRule="auto"/>
      </w:pPr>
    </w:p>
    <w:p w14:paraId="1ED704A8" w14:textId="77777777" w:rsidR="00E12F9F" w:rsidRPr="00E12F9F" w:rsidRDefault="00E12F9F" w:rsidP="00E12F9F">
      <w:pPr>
        <w:jc w:val="center"/>
      </w:pPr>
    </w:p>
    <w:tbl>
      <w:tblPr>
        <w:tblStyle w:val="TableGrid8"/>
        <w:tblpPr w:leftFromText="180" w:rightFromText="180" w:vertAnchor="text" w:horzAnchor="margin" w:tblpY="1585"/>
        <w:tblW w:w="0" w:type="auto"/>
        <w:tblLook w:val="04A0" w:firstRow="1" w:lastRow="0" w:firstColumn="1" w:lastColumn="0" w:noHBand="0" w:noVBand="1"/>
      </w:tblPr>
      <w:tblGrid>
        <w:gridCol w:w="2999"/>
        <w:gridCol w:w="2998"/>
        <w:gridCol w:w="2999"/>
      </w:tblGrid>
      <w:tr w:rsidR="00CC3A2F" w:rsidRPr="00E12F9F" w14:paraId="79CB4A71" w14:textId="77777777" w:rsidTr="00CC3A2F">
        <w:tc>
          <w:tcPr>
            <w:tcW w:w="2999" w:type="dxa"/>
            <w:tcBorders>
              <w:top w:val="single" w:sz="12" w:space="0" w:color="auto"/>
              <w:left w:val="single" w:sz="12" w:space="0" w:color="auto"/>
              <w:bottom w:val="single" w:sz="12" w:space="0" w:color="auto"/>
              <w:right w:val="single" w:sz="12" w:space="0" w:color="auto"/>
            </w:tcBorders>
          </w:tcPr>
          <w:p w14:paraId="5C9037B4" w14:textId="77777777" w:rsidR="00CC3A2F" w:rsidRPr="00E12F9F" w:rsidRDefault="00CC3A2F" w:rsidP="00CC3A2F">
            <w:pPr>
              <w:spacing w:after="0" w:line="240" w:lineRule="auto"/>
              <w:rPr>
                <w:b/>
                <w:bCs/>
              </w:rPr>
            </w:pPr>
            <w:r w:rsidRPr="00E12F9F">
              <w:rPr>
                <w:b/>
                <w:bCs/>
              </w:rPr>
              <w:t>Work Activity</w:t>
            </w:r>
          </w:p>
        </w:tc>
        <w:tc>
          <w:tcPr>
            <w:tcW w:w="2998" w:type="dxa"/>
            <w:tcBorders>
              <w:top w:val="single" w:sz="12" w:space="0" w:color="auto"/>
              <w:left w:val="single" w:sz="12" w:space="0" w:color="auto"/>
              <w:bottom w:val="single" w:sz="12" w:space="0" w:color="auto"/>
              <w:right w:val="single" w:sz="12" w:space="0" w:color="auto"/>
            </w:tcBorders>
          </w:tcPr>
          <w:p w14:paraId="23B5E6BC" w14:textId="77777777" w:rsidR="00CC3A2F" w:rsidRPr="00E12F9F" w:rsidRDefault="00CC3A2F" w:rsidP="00CC3A2F">
            <w:pPr>
              <w:spacing w:after="0" w:line="240" w:lineRule="auto"/>
              <w:jc w:val="center"/>
              <w:rPr>
                <w:b/>
                <w:bCs/>
              </w:rPr>
            </w:pPr>
            <w:r w:rsidRPr="00E12F9F">
              <w:rPr>
                <w:b/>
                <w:bCs/>
              </w:rPr>
              <w:t>Bolton-le-Sands</w:t>
            </w:r>
          </w:p>
        </w:tc>
        <w:tc>
          <w:tcPr>
            <w:tcW w:w="2999" w:type="dxa"/>
            <w:tcBorders>
              <w:top w:val="single" w:sz="12" w:space="0" w:color="auto"/>
              <w:left w:val="single" w:sz="12" w:space="0" w:color="auto"/>
              <w:bottom w:val="single" w:sz="12" w:space="0" w:color="auto"/>
              <w:right w:val="single" w:sz="12" w:space="0" w:color="auto"/>
            </w:tcBorders>
          </w:tcPr>
          <w:p w14:paraId="146174D2" w14:textId="77777777" w:rsidR="00CC3A2F" w:rsidRPr="00E12F9F" w:rsidRDefault="00CC3A2F" w:rsidP="00CC3A2F">
            <w:pPr>
              <w:spacing w:after="0" w:line="240" w:lineRule="auto"/>
              <w:jc w:val="center"/>
              <w:rPr>
                <w:b/>
                <w:bCs/>
              </w:rPr>
            </w:pPr>
            <w:r w:rsidRPr="00E12F9F">
              <w:rPr>
                <w:b/>
                <w:bCs/>
              </w:rPr>
              <w:t>Prestbury</w:t>
            </w:r>
          </w:p>
        </w:tc>
      </w:tr>
      <w:tr w:rsidR="00CC3A2F" w:rsidRPr="00E12F9F" w14:paraId="2E92F868" w14:textId="77777777" w:rsidTr="00CC3A2F">
        <w:tc>
          <w:tcPr>
            <w:tcW w:w="2999" w:type="dxa"/>
            <w:tcBorders>
              <w:top w:val="single" w:sz="12" w:space="0" w:color="auto"/>
              <w:left w:val="single" w:sz="12" w:space="0" w:color="auto"/>
              <w:right w:val="single" w:sz="12" w:space="0" w:color="auto"/>
            </w:tcBorders>
          </w:tcPr>
          <w:p w14:paraId="06F3CD10" w14:textId="77777777" w:rsidR="00CC3A2F" w:rsidRPr="00E12F9F" w:rsidRDefault="00CC3A2F" w:rsidP="00CC3A2F">
            <w:pPr>
              <w:spacing w:after="0" w:line="240" w:lineRule="auto"/>
              <w:rPr>
                <w:b/>
                <w:bCs/>
              </w:rPr>
            </w:pPr>
            <w:r w:rsidRPr="00E12F9F">
              <w:rPr>
                <w:b/>
                <w:bCs/>
              </w:rPr>
              <w:t>Arable Agriculture</w:t>
            </w:r>
          </w:p>
        </w:tc>
        <w:tc>
          <w:tcPr>
            <w:tcW w:w="2998" w:type="dxa"/>
            <w:tcBorders>
              <w:top w:val="single" w:sz="12" w:space="0" w:color="auto"/>
              <w:left w:val="single" w:sz="12" w:space="0" w:color="auto"/>
              <w:right w:val="single" w:sz="12" w:space="0" w:color="auto"/>
            </w:tcBorders>
          </w:tcPr>
          <w:p w14:paraId="520E839A" w14:textId="77777777" w:rsidR="00CC3A2F" w:rsidRPr="00E12F9F" w:rsidRDefault="00CC3A2F" w:rsidP="00CC3A2F">
            <w:pPr>
              <w:spacing w:after="0" w:line="240" w:lineRule="auto"/>
              <w:jc w:val="center"/>
            </w:pPr>
            <w:r w:rsidRPr="00E12F9F">
              <w:t>48</w:t>
            </w:r>
          </w:p>
        </w:tc>
        <w:tc>
          <w:tcPr>
            <w:tcW w:w="2999" w:type="dxa"/>
            <w:tcBorders>
              <w:top w:val="single" w:sz="12" w:space="0" w:color="auto"/>
              <w:left w:val="single" w:sz="12" w:space="0" w:color="auto"/>
              <w:right w:val="single" w:sz="12" w:space="0" w:color="auto"/>
            </w:tcBorders>
          </w:tcPr>
          <w:p w14:paraId="11DB8BE8" w14:textId="77777777" w:rsidR="00CC3A2F" w:rsidRPr="00E12F9F" w:rsidRDefault="00CC3A2F" w:rsidP="00CC3A2F">
            <w:pPr>
              <w:spacing w:after="0" w:line="240" w:lineRule="auto"/>
              <w:jc w:val="center"/>
            </w:pPr>
            <w:r w:rsidRPr="00E12F9F">
              <w:t>41</w:t>
            </w:r>
          </w:p>
        </w:tc>
      </w:tr>
      <w:tr w:rsidR="00CC3A2F" w:rsidRPr="00E12F9F" w14:paraId="42AA5333" w14:textId="77777777" w:rsidTr="00CC3A2F">
        <w:tc>
          <w:tcPr>
            <w:tcW w:w="2999" w:type="dxa"/>
            <w:tcBorders>
              <w:left w:val="single" w:sz="12" w:space="0" w:color="auto"/>
              <w:right w:val="single" w:sz="12" w:space="0" w:color="auto"/>
            </w:tcBorders>
          </w:tcPr>
          <w:p w14:paraId="57507F4D" w14:textId="77777777" w:rsidR="00CC3A2F" w:rsidRPr="00E12F9F" w:rsidRDefault="00CC3A2F" w:rsidP="00CC3A2F">
            <w:pPr>
              <w:spacing w:after="0" w:line="240" w:lineRule="auto"/>
              <w:rPr>
                <w:b/>
                <w:bCs/>
              </w:rPr>
            </w:pPr>
            <w:r w:rsidRPr="00E12F9F">
              <w:rPr>
                <w:b/>
                <w:bCs/>
              </w:rPr>
              <w:t>Livestock Agriculture</w:t>
            </w:r>
          </w:p>
        </w:tc>
        <w:tc>
          <w:tcPr>
            <w:tcW w:w="2998" w:type="dxa"/>
            <w:tcBorders>
              <w:left w:val="single" w:sz="12" w:space="0" w:color="auto"/>
              <w:right w:val="single" w:sz="12" w:space="0" w:color="auto"/>
            </w:tcBorders>
          </w:tcPr>
          <w:p w14:paraId="46309ECA" w14:textId="77777777" w:rsidR="00CC3A2F" w:rsidRPr="00E12F9F" w:rsidRDefault="00CC3A2F" w:rsidP="00CC3A2F">
            <w:pPr>
              <w:spacing w:after="0" w:line="240" w:lineRule="auto"/>
              <w:jc w:val="center"/>
            </w:pPr>
            <w:r w:rsidRPr="00E12F9F">
              <w:t>72</w:t>
            </w:r>
          </w:p>
        </w:tc>
        <w:tc>
          <w:tcPr>
            <w:tcW w:w="2999" w:type="dxa"/>
            <w:tcBorders>
              <w:left w:val="single" w:sz="12" w:space="0" w:color="auto"/>
              <w:right w:val="single" w:sz="12" w:space="0" w:color="auto"/>
            </w:tcBorders>
          </w:tcPr>
          <w:p w14:paraId="524881D9" w14:textId="77777777" w:rsidR="00CC3A2F" w:rsidRPr="00E12F9F" w:rsidRDefault="00CC3A2F" w:rsidP="00CC3A2F">
            <w:pPr>
              <w:spacing w:after="0" w:line="240" w:lineRule="auto"/>
              <w:jc w:val="center"/>
            </w:pPr>
            <w:r w:rsidRPr="00E12F9F">
              <w:t>77</w:t>
            </w:r>
          </w:p>
        </w:tc>
      </w:tr>
      <w:tr w:rsidR="00CC3A2F" w:rsidRPr="00E12F9F" w14:paraId="18196423" w14:textId="77777777" w:rsidTr="00CC3A2F">
        <w:tc>
          <w:tcPr>
            <w:tcW w:w="2999" w:type="dxa"/>
            <w:tcBorders>
              <w:left w:val="single" w:sz="12" w:space="0" w:color="auto"/>
              <w:right w:val="single" w:sz="12" w:space="0" w:color="auto"/>
            </w:tcBorders>
          </w:tcPr>
          <w:p w14:paraId="1B469E8D" w14:textId="77777777" w:rsidR="00CC3A2F" w:rsidRPr="00E12F9F" w:rsidRDefault="00CC3A2F" w:rsidP="00CC3A2F">
            <w:pPr>
              <w:spacing w:after="0" w:line="240" w:lineRule="auto"/>
              <w:rPr>
                <w:b/>
                <w:bCs/>
              </w:rPr>
            </w:pPr>
            <w:r w:rsidRPr="00E12F9F">
              <w:rPr>
                <w:b/>
                <w:bCs/>
              </w:rPr>
              <w:t>Food Processing</w:t>
            </w:r>
          </w:p>
        </w:tc>
        <w:tc>
          <w:tcPr>
            <w:tcW w:w="2998" w:type="dxa"/>
            <w:tcBorders>
              <w:left w:val="single" w:sz="12" w:space="0" w:color="auto"/>
              <w:right w:val="single" w:sz="12" w:space="0" w:color="auto"/>
            </w:tcBorders>
          </w:tcPr>
          <w:p w14:paraId="7F3D4496" w14:textId="77777777" w:rsidR="00CC3A2F" w:rsidRPr="00E12F9F" w:rsidRDefault="00CC3A2F" w:rsidP="00CC3A2F">
            <w:pPr>
              <w:spacing w:after="0" w:line="240" w:lineRule="auto"/>
              <w:jc w:val="center"/>
            </w:pPr>
            <w:r w:rsidRPr="00E12F9F">
              <w:t>38</w:t>
            </w:r>
          </w:p>
        </w:tc>
        <w:tc>
          <w:tcPr>
            <w:tcW w:w="2999" w:type="dxa"/>
            <w:tcBorders>
              <w:left w:val="single" w:sz="12" w:space="0" w:color="auto"/>
              <w:right w:val="single" w:sz="12" w:space="0" w:color="auto"/>
            </w:tcBorders>
          </w:tcPr>
          <w:p w14:paraId="6C7D25A0" w14:textId="77777777" w:rsidR="00CC3A2F" w:rsidRPr="00E12F9F" w:rsidRDefault="00CC3A2F" w:rsidP="00CC3A2F">
            <w:pPr>
              <w:spacing w:after="0" w:line="240" w:lineRule="auto"/>
              <w:jc w:val="center"/>
            </w:pPr>
            <w:r w:rsidRPr="00E12F9F">
              <w:t>43</w:t>
            </w:r>
          </w:p>
        </w:tc>
      </w:tr>
      <w:tr w:rsidR="00CC3A2F" w:rsidRPr="00E12F9F" w14:paraId="02BF470F" w14:textId="77777777" w:rsidTr="00CC3A2F">
        <w:tc>
          <w:tcPr>
            <w:tcW w:w="2999" w:type="dxa"/>
            <w:tcBorders>
              <w:left w:val="single" w:sz="12" w:space="0" w:color="auto"/>
              <w:right w:val="single" w:sz="12" w:space="0" w:color="auto"/>
            </w:tcBorders>
          </w:tcPr>
          <w:p w14:paraId="212353AE" w14:textId="77777777" w:rsidR="00CC3A2F" w:rsidRPr="00E12F9F" w:rsidRDefault="00CC3A2F" w:rsidP="00CC3A2F">
            <w:pPr>
              <w:spacing w:after="0" w:line="240" w:lineRule="auto"/>
              <w:rPr>
                <w:b/>
                <w:bCs/>
              </w:rPr>
            </w:pPr>
            <w:r w:rsidRPr="00E12F9F">
              <w:rPr>
                <w:b/>
                <w:bCs/>
              </w:rPr>
              <w:t>Textile Production</w:t>
            </w:r>
          </w:p>
        </w:tc>
        <w:tc>
          <w:tcPr>
            <w:tcW w:w="2998" w:type="dxa"/>
            <w:tcBorders>
              <w:left w:val="single" w:sz="12" w:space="0" w:color="auto"/>
              <w:right w:val="single" w:sz="12" w:space="0" w:color="auto"/>
            </w:tcBorders>
          </w:tcPr>
          <w:p w14:paraId="634E0031" w14:textId="77777777" w:rsidR="00CC3A2F" w:rsidRPr="00E12F9F" w:rsidRDefault="00CC3A2F" w:rsidP="00CC3A2F">
            <w:pPr>
              <w:spacing w:after="0" w:line="240" w:lineRule="auto"/>
              <w:jc w:val="center"/>
            </w:pPr>
            <w:r w:rsidRPr="00E12F9F">
              <w:t>41</w:t>
            </w:r>
          </w:p>
        </w:tc>
        <w:tc>
          <w:tcPr>
            <w:tcW w:w="2999" w:type="dxa"/>
            <w:tcBorders>
              <w:left w:val="single" w:sz="12" w:space="0" w:color="auto"/>
              <w:right w:val="single" w:sz="12" w:space="0" w:color="auto"/>
            </w:tcBorders>
          </w:tcPr>
          <w:p w14:paraId="426A4AAB" w14:textId="77777777" w:rsidR="00CC3A2F" w:rsidRPr="00E12F9F" w:rsidRDefault="00CC3A2F" w:rsidP="00CC3A2F">
            <w:pPr>
              <w:spacing w:after="0" w:line="240" w:lineRule="auto"/>
              <w:jc w:val="center"/>
            </w:pPr>
            <w:r w:rsidRPr="00E12F9F">
              <w:t>30</w:t>
            </w:r>
          </w:p>
        </w:tc>
      </w:tr>
      <w:tr w:rsidR="00CC3A2F" w:rsidRPr="00E12F9F" w14:paraId="3078FCC1" w14:textId="77777777" w:rsidTr="00CC3A2F">
        <w:tc>
          <w:tcPr>
            <w:tcW w:w="2999" w:type="dxa"/>
            <w:tcBorders>
              <w:left w:val="single" w:sz="12" w:space="0" w:color="auto"/>
              <w:right w:val="single" w:sz="12" w:space="0" w:color="auto"/>
            </w:tcBorders>
          </w:tcPr>
          <w:p w14:paraId="7F15C21E" w14:textId="77777777" w:rsidR="00CC3A2F" w:rsidRPr="00E12F9F" w:rsidRDefault="00CC3A2F" w:rsidP="00CC3A2F">
            <w:pPr>
              <w:spacing w:after="0" w:line="240" w:lineRule="auto"/>
              <w:rPr>
                <w:b/>
                <w:bCs/>
              </w:rPr>
            </w:pPr>
            <w:r w:rsidRPr="00E12F9F">
              <w:rPr>
                <w:b/>
                <w:bCs/>
              </w:rPr>
              <w:t>Specialist Trades</w:t>
            </w:r>
          </w:p>
        </w:tc>
        <w:tc>
          <w:tcPr>
            <w:tcW w:w="2998" w:type="dxa"/>
            <w:tcBorders>
              <w:left w:val="single" w:sz="12" w:space="0" w:color="auto"/>
              <w:right w:val="single" w:sz="12" w:space="0" w:color="auto"/>
            </w:tcBorders>
          </w:tcPr>
          <w:p w14:paraId="00C4F789" w14:textId="77777777" w:rsidR="00CC3A2F" w:rsidRPr="00E12F9F" w:rsidRDefault="00CC3A2F" w:rsidP="00CC3A2F">
            <w:pPr>
              <w:spacing w:after="0" w:line="240" w:lineRule="auto"/>
              <w:jc w:val="center"/>
            </w:pPr>
            <w:r w:rsidRPr="00E12F9F">
              <w:t>11</w:t>
            </w:r>
          </w:p>
        </w:tc>
        <w:tc>
          <w:tcPr>
            <w:tcW w:w="2999" w:type="dxa"/>
            <w:tcBorders>
              <w:left w:val="single" w:sz="12" w:space="0" w:color="auto"/>
              <w:right w:val="single" w:sz="12" w:space="0" w:color="auto"/>
            </w:tcBorders>
          </w:tcPr>
          <w:p w14:paraId="1F58E5EA" w14:textId="77777777" w:rsidR="00CC3A2F" w:rsidRPr="00E12F9F" w:rsidRDefault="00CC3A2F" w:rsidP="00CC3A2F">
            <w:pPr>
              <w:spacing w:after="0" w:line="240" w:lineRule="auto"/>
              <w:jc w:val="center"/>
            </w:pPr>
            <w:r w:rsidRPr="00E12F9F">
              <w:t>15</w:t>
            </w:r>
          </w:p>
        </w:tc>
      </w:tr>
      <w:tr w:rsidR="00CC3A2F" w:rsidRPr="00E12F9F" w14:paraId="288D4EDA" w14:textId="77777777" w:rsidTr="00CC3A2F">
        <w:tc>
          <w:tcPr>
            <w:tcW w:w="2999" w:type="dxa"/>
            <w:tcBorders>
              <w:left w:val="single" w:sz="12" w:space="0" w:color="auto"/>
              <w:bottom w:val="single" w:sz="12" w:space="0" w:color="auto"/>
              <w:right w:val="single" w:sz="12" w:space="0" w:color="auto"/>
            </w:tcBorders>
          </w:tcPr>
          <w:p w14:paraId="2C8546AD" w14:textId="77777777" w:rsidR="00CC3A2F" w:rsidRPr="00E12F9F" w:rsidRDefault="00CC3A2F" w:rsidP="00CC3A2F">
            <w:pPr>
              <w:spacing w:after="0" w:line="240" w:lineRule="auto"/>
              <w:rPr>
                <w:b/>
                <w:bCs/>
              </w:rPr>
            </w:pPr>
            <w:proofErr w:type="gramStart"/>
            <w:r w:rsidRPr="00E12F9F">
              <w:rPr>
                <w:b/>
                <w:bCs/>
              </w:rPr>
              <w:t>Money-lending</w:t>
            </w:r>
            <w:proofErr w:type="gramEnd"/>
          </w:p>
        </w:tc>
        <w:tc>
          <w:tcPr>
            <w:tcW w:w="2998" w:type="dxa"/>
            <w:tcBorders>
              <w:left w:val="single" w:sz="12" w:space="0" w:color="auto"/>
              <w:bottom w:val="single" w:sz="12" w:space="0" w:color="auto"/>
              <w:right w:val="single" w:sz="12" w:space="0" w:color="auto"/>
            </w:tcBorders>
          </w:tcPr>
          <w:p w14:paraId="0FF532C7" w14:textId="77777777" w:rsidR="00CC3A2F" w:rsidRPr="00E12F9F" w:rsidRDefault="00CC3A2F" w:rsidP="00CC3A2F">
            <w:pPr>
              <w:spacing w:after="0" w:line="240" w:lineRule="auto"/>
              <w:jc w:val="center"/>
            </w:pPr>
            <w:r w:rsidRPr="00E12F9F">
              <w:t>56</w:t>
            </w:r>
          </w:p>
        </w:tc>
        <w:tc>
          <w:tcPr>
            <w:tcW w:w="2999" w:type="dxa"/>
            <w:tcBorders>
              <w:left w:val="single" w:sz="12" w:space="0" w:color="auto"/>
              <w:bottom w:val="single" w:sz="12" w:space="0" w:color="auto"/>
              <w:right w:val="single" w:sz="12" w:space="0" w:color="auto"/>
            </w:tcBorders>
          </w:tcPr>
          <w:p w14:paraId="4CA9C8E8" w14:textId="77777777" w:rsidR="00CC3A2F" w:rsidRPr="00E12F9F" w:rsidRDefault="00CC3A2F" w:rsidP="00CC3A2F">
            <w:pPr>
              <w:spacing w:after="0" w:line="240" w:lineRule="auto"/>
              <w:jc w:val="center"/>
            </w:pPr>
            <w:r w:rsidRPr="00E12F9F">
              <w:t>47</w:t>
            </w:r>
          </w:p>
        </w:tc>
      </w:tr>
    </w:tbl>
    <w:p w14:paraId="14B03E8B" w14:textId="77777777" w:rsidR="00CC3A2F" w:rsidRDefault="00CC3A2F" w:rsidP="00E12F9F">
      <w:pPr>
        <w:jc w:val="center"/>
      </w:pPr>
    </w:p>
    <w:p w14:paraId="10CCE165" w14:textId="77777777" w:rsidR="00CC3A2F" w:rsidRDefault="00CC3A2F" w:rsidP="00E12F9F">
      <w:pPr>
        <w:jc w:val="center"/>
      </w:pPr>
    </w:p>
    <w:p w14:paraId="6B7161D0" w14:textId="77777777" w:rsidR="00CC3A2F" w:rsidRDefault="00CC3A2F" w:rsidP="00E12F9F">
      <w:pPr>
        <w:jc w:val="center"/>
      </w:pPr>
    </w:p>
    <w:p w14:paraId="7493C30E" w14:textId="77777777" w:rsidR="00CC3A2F" w:rsidRDefault="00CC3A2F" w:rsidP="00E12F9F">
      <w:pPr>
        <w:jc w:val="center"/>
      </w:pPr>
    </w:p>
    <w:p w14:paraId="39DA6E95" w14:textId="77C25069" w:rsidR="00E12F9F" w:rsidRPr="00E12F9F" w:rsidRDefault="00E12F9F" w:rsidP="00E12F9F">
      <w:pPr>
        <w:jc w:val="center"/>
      </w:pPr>
      <w:r w:rsidRPr="00E12F9F">
        <w:t>Table 15 – Occurrence of different work activities according to Whittle’s model in the Bolton-le-Sands and Prestbury wider survey.</w:t>
      </w:r>
    </w:p>
    <w:p w14:paraId="0BD123E6" w14:textId="77777777" w:rsidR="00E12F9F" w:rsidRPr="00E12F9F" w:rsidRDefault="00E12F9F" w:rsidP="00E12F9F">
      <w:pPr>
        <w:sectPr w:rsidR="00E12F9F" w:rsidRPr="00E12F9F" w:rsidSect="00E12F9F">
          <w:pgSz w:w="11906" w:h="16838"/>
          <w:pgMar w:top="1440" w:right="1440" w:bottom="1440" w:left="1440" w:header="720" w:footer="720" w:gutter="0"/>
          <w:cols w:space="720"/>
          <w:docGrid w:linePitch="360"/>
        </w:sectPr>
      </w:pPr>
    </w:p>
    <w:tbl>
      <w:tblPr>
        <w:tblStyle w:val="TableGrid8"/>
        <w:tblpPr w:leftFromText="180" w:rightFromText="180" w:horzAnchor="margin" w:tblpY="2010"/>
        <w:tblW w:w="0" w:type="auto"/>
        <w:tblLook w:val="04A0" w:firstRow="1" w:lastRow="0" w:firstColumn="1" w:lastColumn="0" w:noHBand="0" w:noVBand="1"/>
      </w:tblPr>
      <w:tblGrid>
        <w:gridCol w:w="1343"/>
        <w:gridCol w:w="1846"/>
        <w:gridCol w:w="1919"/>
        <w:gridCol w:w="1847"/>
        <w:gridCol w:w="2041"/>
      </w:tblGrid>
      <w:tr w:rsidR="00E12F9F" w:rsidRPr="00E12F9F" w14:paraId="1FEA9CCD" w14:textId="77777777" w:rsidTr="00CC3A2F">
        <w:tc>
          <w:tcPr>
            <w:tcW w:w="1343" w:type="dxa"/>
            <w:vMerge w:val="restart"/>
            <w:tcBorders>
              <w:top w:val="single" w:sz="12" w:space="0" w:color="auto"/>
              <w:left w:val="single" w:sz="12" w:space="0" w:color="auto"/>
              <w:right w:val="single" w:sz="12" w:space="0" w:color="auto"/>
            </w:tcBorders>
          </w:tcPr>
          <w:p w14:paraId="715AD2E4" w14:textId="77777777" w:rsidR="00E12F9F" w:rsidRPr="00E12F9F" w:rsidRDefault="00E12F9F" w:rsidP="00CC3A2F">
            <w:pPr>
              <w:spacing w:after="0" w:line="240" w:lineRule="auto"/>
              <w:jc w:val="center"/>
              <w:rPr>
                <w:b/>
                <w:bCs/>
              </w:rPr>
            </w:pPr>
            <w:r w:rsidRPr="00E12F9F">
              <w:rPr>
                <w:b/>
                <w:bCs/>
              </w:rPr>
              <w:lastRenderedPageBreak/>
              <w:t>Ownership Category</w:t>
            </w:r>
          </w:p>
        </w:tc>
        <w:tc>
          <w:tcPr>
            <w:tcW w:w="3765" w:type="dxa"/>
            <w:gridSpan w:val="2"/>
            <w:tcBorders>
              <w:top w:val="single" w:sz="12" w:space="0" w:color="auto"/>
              <w:left w:val="single" w:sz="12" w:space="0" w:color="auto"/>
              <w:right w:val="single" w:sz="12" w:space="0" w:color="auto"/>
            </w:tcBorders>
          </w:tcPr>
          <w:p w14:paraId="445978B4" w14:textId="77777777" w:rsidR="00E12F9F" w:rsidRPr="00E12F9F" w:rsidRDefault="00E12F9F" w:rsidP="00CC3A2F">
            <w:pPr>
              <w:spacing w:after="0" w:line="240" w:lineRule="auto"/>
              <w:jc w:val="center"/>
              <w:rPr>
                <w:b/>
                <w:bCs/>
              </w:rPr>
            </w:pPr>
            <w:r w:rsidRPr="00E12F9F">
              <w:rPr>
                <w:b/>
                <w:bCs/>
              </w:rPr>
              <w:t>Bolton-le-Sands</w:t>
            </w:r>
          </w:p>
        </w:tc>
        <w:tc>
          <w:tcPr>
            <w:tcW w:w="3888" w:type="dxa"/>
            <w:gridSpan w:val="2"/>
            <w:tcBorders>
              <w:top w:val="single" w:sz="12" w:space="0" w:color="auto"/>
              <w:left w:val="single" w:sz="12" w:space="0" w:color="auto"/>
              <w:right w:val="single" w:sz="12" w:space="0" w:color="auto"/>
            </w:tcBorders>
          </w:tcPr>
          <w:p w14:paraId="37785F3E" w14:textId="77777777" w:rsidR="00E12F9F" w:rsidRPr="00E12F9F" w:rsidRDefault="00E12F9F" w:rsidP="00CC3A2F">
            <w:pPr>
              <w:spacing w:after="0" w:line="240" w:lineRule="auto"/>
              <w:jc w:val="center"/>
              <w:rPr>
                <w:b/>
                <w:bCs/>
              </w:rPr>
            </w:pPr>
            <w:r w:rsidRPr="00E12F9F">
              <w:rPr>
                <w:b/>
                <w:bCs/>
              </w:rPr>
              <w:t>Prestbury</w:t>
            </w:r>
          </w:p>
        </w:tc>
      </w:tr>
      <w:tr w:rsidR="00E12F9F" w:rsidRPr="00E12F9F" w14:paraId="369C1A8D" w14:textId="77777777" w:rsidTr="00CC3A2F">
        <w:tc>
          <w:tcPr>
            <w:tcW w:w="1343" w:type="dxa"/>
            <w:vMerge/>
            <w:tcBorders>
              <w:left w:val="single" w:sz="12" w:space="0" w:color="auto"/>
              <w:bottom w:val="single" w:sz="12" w:space="0" w:color="auto"/>
              <w:right w:val="single" w:sz="12" w:space="0" w:color="auto"/>
            </w:tcBorders>
          </w:tcPr>
          <w:p w14:paraId="068E1EB2" w14:textId="77777777" w:rsidR="00E12F9F" w:rsidRPr="00E12F9F" w:rsidRDefault="00E12F9F" w:rsidP="00CC3A2F">
            <w:pPr>
              <w:spacing w:after="0" w:line="240" w:lineRule="auto"/>
              <w:jc w:val="center"/>
              <w:rPr>
                <w:b/>
                <w:bCs/>
              </w:rPr>
            </w:pPr>
          </w:p>
        </w:tc>
        <w:tc>
          <w:tcPr>
            <w:tcW w:w="1846" w:type="dxa"/>
            <w:tcBorders>
              <w:left w:val="single" w:sz="12" w:space="0" w:color="auto"/>
              <w:bottom w:val="single" w:sz="12" w:space="0" w:color="auto"/>
            </w:tcBorders>
          </w:tcPr>
          <w:p w14:paraId="153C4B50" w14:textId="77777777" w:rsidR="00E12F9F" w:rsidRPr="00E12F9F" w:rsidRDefault="00E12F9F" w:rsidP="00CC3A2F">
            <w:pPr>
              <w:spacing w:after="0" w:line="240" w:lineRule="auto"/>
              <w:jc w:val="center"/>
              <w:rPr>
                <w:b/>
                <w:bCs/>
              </w:rPr>
            </w:pPr>
            <w:r w:rsidRPr="00E12F9F">
              <w:rPr>
                <w:b/>
                <w:bCs/>
              </w:rPr>
              <w:t>Number of Testators</w:t>
            </w:r>
          </w:p>
        </w:tc>
        <w:tc>
          <w:tcPr>
            <w:tcW w:w="1919" w:type="dxa"/>
            <w:tcBorders>
              <w:bottom w:val="single" w:sz="12" w:space="0" w:color="auto"/>
              <w:right w:val="single" w:sz="12" w:space="0" w:color="auto"/>
            </w:tcBorders>
          </w:tcPr>
          <w:p w14:paraId="4521FBD4" w14:textId="77777777" w:rsidR="00E12F9F" w:rsidRPr="00E12F9F" w:rsidRDefault="00E12F9F" w:rsidP="00CC3A2F">
            <w:pPr>
              <w:spacing w:after="0" w:line="240" w:lineRule="auto"/>
              <w:jc w:val="center"/>
              <w:rPr>
                <w:b/>
                <w:bCs/>
              </w:rPr>
            </w:pPr>
            <w:r w:rsidRPr="00E12F9F">
              <w:rPr>
                <w:b/>
                <w:bCs/>
              </w:rPr>
              <w:t>Percentage of Livestock Farmers</w:t>
            </w:r>
          </w:p>
        </w:tc>
        <w:tc>
          <w:tcPr>
            <w:tcW w:w="1847" w:type="dxa"/>
            <w:tcBorders>
              <w:left w:val="single" w:sz="12" w:space="0" w:color="auto"/>
              <w:bottom w:val="single" w:sz="12" w:space="0" w:color="auto"/>
            </w:tcBorders>
          </w:tcPr>
          <w:p w14:paraId="43C6BD98" w14:textId="77777777" w:rsidR="00E12F9F" w:rsidRPr="00E12F9F" w:rsidRDefault="00E12F9F" w:rsidP="00CC3A2F">
            <w:pPr>
              <w:spacing w:after="0" w:line="240" w:lineRule="auto"/>
              <w:jc w:val="center"/>
              <w:rPr>
                <w:b/>
                <w:bCs/>
              </w:rPr>
            </w:pPr>
            <w:r w:rsidRPr="00E12F9F">
              <w:rPr>
                <w:b/>
                <w:bCs/>
              </w:rPr>
              <w:t>Number of Testators</w:t>
            </w:r>
          </w:p>
        </w:tc>
        <w:tc>
          <w:tcPr>
            <w:tcW w:w="2041" w:type="dxa"/>
            <w:tcBorders>
              <w:bottom w:val="single" w:sz="12" w:space="0" w:color="auto"/>
              <w:right w:val="single" w:sz="12" w:space="0" w:color="auto"/>
            </w:tcBorders>
          </w:tcPr>
          <w:p w14:paraId="3A64584B" w14:textId="77777777" w:rsidR="00E12F9F" w:rsidRPr="00E12F9F" w:rsidRDefault="00E12F9F" w:rsidP="00CC3A2F">
            <w:pPr>
              <w:spacing w:after="0" w:line="240" w:lineRule="auto"/>
              <w:jc w:val="center"/>
              <w:rPr>
                <w:b/>
                <w:bCs/>
              </w:rPr>
            </w:pPr>
            <w:r w:rsidRPr="00E12F9F">
              <w:rPr>
                <w:b/>
                <w:bCs/>
              </w:rPr>
              <w:t>Percentage of Livestock Farmers</w:t>
            </w:r>
          </w:p>
        </w:tc>
      </w:tr>
      <w:tr w:rsidR="00E12F9F" w:rsidRPr="00E12F9F" w14:paraId="3B27391A" w14:textId="77777777" w:rsidTr="00CC3A2F">
        <w:tc>
          <w:tcPr>
            <w:tcW w:w="1343" w:type="dxa"/>
            <w:tcBorders>
              <w:top w:val="single" w:sz="12" w:space="0" w:color="auto"/>
              <w:left w:val="single" w:sz="12" w:space="0" w:color="auto"/>
              <w:right w:val="single" w:sz="12" w:space="0" w:color="auto"/>
            </w:tcBorders>
          </w:tcPr>
          <w:p w14:paraId="1DB35CE1" w14:textId="77777777" w:rsidR="00E12F9F" w:rsidRPr="00E12F9F" w:rsidRDefault="00E12F9F" w:rsidP="00CC3A2F">
            <w:pPr>
              <w:spacing w:after="0" w:line="240" w:lineRule="auto"/>
              <w:jc w:val="center"/>
              <w:rPr>
                <w:b/>
                <w:bCs/>
              </w:rPr>
            </w:pPr>
            <w:r w:rsidRPr="00E12F9F">
              <w:rPr>
                <w:b/>
                <w:bCs/>
              </w:rPr>
              <w:t>1</w:t>
            </w:r>
          </w:p>
        </w:tc>
        <w:tc>
          <w:tcPr>
            <w:tcW w:w="1846" w:type="dxa"/>
            <w:tcBorders>
              <w:top w:val="single" w:sz="12" w:space="0" w:color="auto"/>
              <w:left w:val="single" w:sz="12" w:space="0" w:color="auto"/>
            </w:tcBorders>
          </w:tcPr>
          <w:p w14:paraId="04FEEC6C" w14:textId="77777777" w:rsidR="00E12F9F" w:rsidRPr="00E12F9F" w:rsidRDefault="00E12F9F" w:rsidP="00CC3A2F">
            <w:pPr>
              <w:spacing w:after="0" w:line="240" w:lineRule="auto"/>
              <w:jc w:val="center"/>
            </w:pPr>
            <w:r w:rsidRPr="00E12F9F">
              <w:t>5</w:t>
            </w:r>
          </w:p>
        </w:tc>
        <w:tc>
          <w:tcPr>
            <w:tcW w:w="1919" w:type="dxa"/>
            <w:tcBorders>
              <w:top w:val="single" w:sz="12" w:space="0" w:color="auto"/>
              <w:right w:val="single" w:sz="12" w:space="0" w:color="auto"/>
            </w:tcBorders>
          </w:tcPr>
          <w:p w14:paraId="42C0A60E" w14:textId="77777777" w:rsidR="00E12F9F" w:rsidRPr="00E12F9F" w:rsidRDefault="00E12F9F" w:rsidP="00CC3A2F">
            <w:pPr>
              <w:spacing w:after="0" w:line="240" w:lineRule="auto"/>
              <w:jc w:val="center"/>
            </w:pPr>
            <w:r w:rsidRPr="00E12F9F">
              <w:t>6.9%</w:t>
            </w:r>
          </w:p>
        </w:tc>
        <w:tc>
          <w:tcPr>
            <w:tcW w:w="1847" w:type="dxa"/>
            <w:tcBorders>
              <w:top w:val="single" w:sz="12" w:space="0" w:color="auto"/>
              <w:left w:val="single" w:sz="12" w:space="0" w:color="auto"/>
            </w:tcBorders>
          </w:tcPr>
          <w:p w14:paraId="73AF311D" w14:textId="77777777" w:rsidR="00E12F9F" w:rsidRPr="00E12F9F" w:rsidRDefault="00E12F9F" w:rsidP="00CC3A2F">
            <w:pPr>
              <w:spacing w:after="0" w:line="240" w:lineRule="auto"/>
              <w:jc w:val="center"/>
            </w:pPr>
            <w:r w:rsidRPr="00E12F9F">
              <w:t>2</w:t>
            </w:r>
          </w:p>
        </w:tc>
        <w:tc>
          <w:tcPr>
            <w:tcW w:w="2041" w:type="dxa"/>
            <w:tcBorders>
              <w:top w:val="single" w:sz="12" w:space="0" w:color="auto"/>
              <w:right w:val="single" w:sz="12" w:space="0" w:color="auto"/>
            </w:tcBorders>
          </w:tcPr>
          <w:p w14:paraId="22FC110F" w14:textId="77777777" w:rsidR="00E12F9F" w:rsidRPr="00E12F9F" w:rsidRDefault="00E12F9F" w:rsidP="00CC3A2F">
            <w:pPr>
              <w:spacing w:after="0" w:line="240" w:lineRule="auto"/>
              <w:jc w:val="center"/>
            </w:pPr>
            <w:r w:rsidRPr="00E12F9F">
              <w:t>2.6%</w:t>
            </w:r>
          </w:p>
        </w:tc>
      </w:tr>
      <w:tr w:rsidR="00E12F9F" w:rsidRPr="00E12F9F" w14:paraId="3D3F3A7E" w14:textId="77777777" w:rsidTr="00CC3A2F">
        <w:tc>
          <w:tcPr>
            <w:tcW w:w="1343" w:type="dxa"/>
            <w:tcBorders>
              <w:left w:val="single" w:sz="12" w:space="0" w:color="auto"/>
              <w:right w:val="single" w:sz="12" w:space="0" w:color="auto"/>
            </w:tcBorders>
          </w:tcPr>
          <w:p w14:paraId="6AC66D50" w14:textId="77777777" w:rsidR="00E12F9F" w:rsidRPr="00E12F9F" w:rsidRDefault="00E12F9F" w:rsidP="00CC3A2F">
            <w:pPr>
              <w:spacing w:after="0" w:line="240" w:lineRule="auto"/>
              <w:jc w:val="center"/>
              <w:rPr>
                <w:b/>
                <w:bCs/>
              </w:rPr>
            </w:pPr>
            <w:r w:rsidRPr="00E12F9F">
              <w:rPr>
                <w:b/>
                <w:bCs/>
              </w:rPr>
              <w:t>2</w:t>
            </w:r>
          </w:p>
        </w:tc>
        <w:tc>
          <w:tcPr>
            <w:tcW w:w="1846" w:type="dxa"/>
            <w:tcBorders>
              <w:left w:val="single" w:sz="12" w:space="0" w:color="auto"/>
            </w:tcBorders>
          </w:tcPr>
          <w:p w14:paraId="595C9238" w14:textId="77777777" w:rsidR="00E12F9F" w:rsidRPr="00E12F9F" w:rsidRDefault="00E12F9F" w:rsidP="00CC3A2F">
            <w:pPr>
              <w:spacing w:after="0" w:line="240" w:lineRule="auto"/>
              <w:jc w:val="center"/>
            </w:pPr>
            <w:r w:rsidRPr="00E12F9F">
              <w:t>17</w:t>
            </w:r>
          </w:p>
        </w:tc>
        <w:tc>
          <w:tcPr>
            <w:tcW w:w="1919" w:type="dxa"/>
            <w:tcBorders>
              <w:right w:val="single" w:sz="12" w:space="0" w:color="auto"/>
            </w:tcBorders>
          </w:tcPr>
          <w:p w14:paraId="4F62476F" w14:textId="77777777" w:rsidR="00E12F9F" w:rsidRPr="00E12F9F" w:rsidRDefault="00E12F9F" w:rsidP="00CC3A2F">
            <w:pPr>
              <w:spacing w:after="0" w:line="240" w:lineRule="auto"/>
              <w:jc w:val="center"/>
            </w:pPr>
            <w:r w:rsidRPr="00E12F9F">
              <w:t>23.6%</w:t>
            </w:r>
          </w:p>
        </w:tc>
        <w:tc>
          <w:tcPr>
            <w:tcW w:w="1847" w:type="dxa"/>
            <w:tcBorders>
              <w:left w:val="single" w:sz="12" w:space="0" w:color="auto"/>
            </w:tcBorders>
          </w:tcPr>
          <w:p w14:paraId="085B460B" w14:textId="77777777" w:rsidR="00E12F9F" w:rsidRPr="00E12F9F" w:rsidRDefault="00E12F9F" w:rsidP="00CC3A2F">
            <w:pPr>
              <w:spacing w:after="0" w:line="240" w:lineRule="auto"/>
              <w:jc w:val="center"/>
            </w:pPr>
            <w:r w:rsidRPr="00E12F9F">
              <w:t>14</w:t>
            </w:r>
          </w:p>
        </w:tc>
        <w:tc>
          <w:tcPr>
            <w:tcW w:w="2041" w:type="dxa"/>
            <w:tcBorders>
              <w:right w:val="single" w:sz="12" w:space="0" w:color="auto"/>
            </w:tcBorders>
          </w:tcPr>
          <w:p w14:paraId="309AC9DF" w14:textId="77777777" w:rsidR="00E12F9F" w:rsidRPr="00E12F9F" w:rsidRDefault="00E12F9F" w:rsidP="00CC3A2F">
            <w:pPr>
              <w:spacing w:after="0" w:line="240" w:lineRule="auto"/>
              <w:jc w:val="center"/>
            </w:pPr>
            <w:r w:rsidRPr="00E12F9F">
              <w:t>18.2%</w:t>
            </w:r>
          </w:p>
        </w:tc>
      </w:tr>
      <w:tr w:rsidR="00E12F9F" w:rsidRPr="00E12F9F" w14:paraId="19AC3E9D" w14:textId="77777777" w:rsidTr="00CC3A2F">
        <w:tc>
          <w:tcPr>
            <w:tcW w:w="1343" w:type="dxa"/>
            <w:tcBorders>
              <w:left w:val="single" w:sz="12" w:space="0" w:color="auto"/>
              <w:right w:val="single" w:sz="12" w:space="0" w:color="auto"/>
            </w:tcBorders>
          </w:tcPr>
          <w:p w14:paraId="3DB3BC61" w14:textId="77777777" w:rsidR="00E12F9F" w:rsidRPr="00E12F9F" w:rsidRDefault="00E12F9F" w:rsidP="00CC3A2F">
            <w:pPr>
              <w:spacing w:after="0" w:line="240" w:lineRule="auto"/>
              <w:jc w:val="center"/>
              <w:rPr>
                <w:b/>
                <w:bCs/>
              </w:rPr>
            </w:pPr>
            <w:r w:rsidRPr="00E12F9F">
              <w:rPr>
                <w:b/>
                <w:bCs/>
              </w:rPr>
              <w:t>3</w:t>
            </w:r>
          </w:p>
        </w:tc>
        <w:tc>
          <w:tcPr>
            <w:tcW w:w="1846" w:type="dxa"/>
            <w:tcBorders>
              <w:left w:val="single" w:sz="12" w:space="0" w:color="auto"/>
            </w:tcBorders>
          </w:tcPr>
          <w:p w14:paraId="334EAF74" w14:textId="77777777" w:rsidR="00E12F9F" w:rsidRPr="00E12F9F" w:rsidRDefault="00E12F9F" w:rsidP="00CC3A2F">
            <w:pPr>
              <w:spacing w:after="0" w:line="240" w:lineRule="auto"/>
              <w:jc w:val="center"/>
            </w:pPr>
            <w:r w:rsidRPr="00E12F9F">
              <w:t>39</w:t>
            </w:r>
          </w:p>
        </w:tc>
        <w:tc>
          <w:tcPr>
            <w:tcW w:w="1919" w:type="dxa"/>
            <w:tcBorders>
              <w:right w:val="single" w:sz="12" w:space="0" w:color="auto"/>
            </w:tcBorders>
          </w:tcPr>
          <w:p w14:paraId="6CADC34A" w14:textId="77777777" w:rsidR="00E12F9F" w:rsidRPr="00E12F9F" w:rsidRDefault="00E12F9F" w:rsidP="00CC3A2F">
            <w:pPr>
              <w:spacing w:after="0" w:line="240" w:lineRule="auto"/>
              <w:jc w:val="center"/>
            </w:pPr>
            <w:r w:rsidRPr="00E12F9F">
              <w:t>54.2%</w:t>
            </w:r>
          </w:p>
        </w:tc>
        <w:tc>
          <w:tcPr>
            <w:tcW w:w="1847" w:type="dxa"/>
            <w:tcBorders>
              <w:left w:val="single" w:sz="12" w:space="0" w:color="auto"/>
            </w:tcBorders>
          </w:tcPr>
          <w:p w14:paraId="6129D907" w14:textId="77777777" w:rsidR="00E12F9F" w:rsidRPr="00E12F9F" w:rsidRDefault="00E12F9F" w:rsidP="00CC3A2F">
            <w:pPr>
              <w:spacing w:after="0" w:line="240" w:lineRule="auto"/>
              <w:jc w:val="center"/>
            </w:pPr>
            <w:r w:rsidRPr="00E12F9F">
              <w:t>41</w:t>
            </w:r>
          </w:p>
        </w:tc>
        <w:tc>
          <w:tcPr>
            <w:tcW w:w="2041" w:type="dxa"/>
            <w:tcBorders>
              <w:right w:val="single" w:sz="12" w:space="0" w:color="auto"/>
            </w:tcBorders>
          </w:tcPr>
          <w:p w14:paraId="1D77D828" w14:textId="77777777" w:rsidR="00E12F9F" w:rsidRPr="00E12F9F" w:rsidRDefault="00E12F9F" w:rsidP="00CC3A2F">
            <w:pPr>
              <w:spacing w:after="0" w:line="240" w:lineRule="auto"/>
              <w:jc w:val="center"/>
            </w:pPr>
            <w:r w:rsidRPr="00E12F9F">
              <w:t>53.2%</w:t>
            </w:r>
          </w:p>
        </w:tc>
      </w:tr>
      <w:tr w:rsidR="00E12F9F" w:rsidRPr="00E12F9F" w14:paraId="205F96F6" w14:textId="77777777" w:rsidTr="00CC3A2F">
        <w:tc>
          <w:tcPr>
            <w:tcW w:w="1343" w:type="dxa"/>
            <w:tcBorders>
              <w:left w:val="single" w:sz="12" w:space="0" w:color="auto"/>
              <w:bottom w:val="single" w:sz="12" w:space="0" w:color="auto"/>
              <w:right w:val="single" w:sz="12" w:space="0" w:color="auto"/>
            </w:tcBorders>
          </w:tcPr>
          <w:p w14:paraId="7FEADCD5" w14:textId="77777777" w:rsidR="00E12F9F" w:rsidRPr="00E12F9F" w:rsidRDefault="00E12F9F" w:rsidP="00CC3A2F">
            <w:pPr>
              <w:spacing w:after="0" w:line="240" w:lineRule="auto"/>
              <w:jc w:val="center"/>
              <w:rPr>
                <w:b/>
                <w:bCs/>
              </w:rPr>
            </w:pPr>
            <w:r w:rsidRPr="00E12F9F">
              <w:rPr>
                <w:b/>
                <w:bCs/>
              </w:rPr>
              <w:t>4</w:t>
            </w:r>
          </w:p>
        </w:tc>
        <w:tc>
          <w:tcPr>
            <w:tcW w:w="1846" w:type="dxa"/>
            <w:tcBorders>
              <w:left w:val="single" w:sz="12" w:space="0" w:color="auto"/>
              <w:bottom w:val="single" w:sz="12" w:space="0" w:color="auto"/>
            </w:tcBorders>
          </w:tcPr>
          <w:p w14:paraId="7026C260" w14:textId="77777777" w:rsidR="00E12F9F" w:rsidRPr="00E12F9F" w:rsidRDefault="00E12F9F" w:rsidP="00CC3A2F">
            <w:pPr>
              <w:spacing w:after="0" w:line="240" w:lineRule="auto"/>
              <w:jc w:val="center"/>
            </w:pPr>
            <w:r w:rsidRPr="00E12F9F">
              <w:t>11</w:t>
            </w:r>
          </w:p>
        </w:tc>
        <w:tc>
          <w:tcPr>
            <w:tcW w:w="1919" w:type="dxa"/>
            <w:tcBorders>
              <w:bottom w:val="single" w:sz="12" w:space="0" w:color="auto"/>
              <w:right w:val="single" w:sz="12" w:space="0" w:color="auto"/>
            </w:tcBorders>
          </w:tcPr>
          <w:p w14:paraId="19FBC567" w14:textId="77777777" w:rsidR="00E12F9F" w:rsidRPr="00E12F9F" w:rsidRDefault="00E12F9F" w:rsidP="00CC3A2F">
            <w:pPr>
              <w:spacing w:after="0" w:line="240" w:lineRule="auto"/>
              <w:jc w:val="center"/>
            </w:pPr>
            <w:r w:rsidRPr="00E12F9F">
              <w:t>15.3%</w:t>
            </w:r>
          </w:p>
        </w:tc>
        <w:tc>
          <w:tcPr>
            <w:tcW w:w="1847" w:type="dxa"/>
            <w:tcBorders>
              <w:left w:val="single" w:sz="12" w:space="0" w:color="auto"/>
              <w:bottom w:val="single" w:sz="12" w:space="0" w:color="auto"/>
            </w:tcBorders>
          </w:tcPr>
          <w:p w14:paraId="6AD0C2E1" w14:textId="77777777" w:rsidR="00E12F9F" w:rsidRPr="00E12F9F" w:rsidRDefault="00E12F9F" w:rsidP="00CC3A2F">
            <w:pPr>
              <w:spacing w:after="0" w:line="240" w:lineRule="auto"/>
              <w:jc w:val="center"/>
            </w:pPr>
            <w:r w:rsidRPr="00E12F9F">
              <w:t>20</w:t>
            </w:r>
          </w:p>
        </w:tc>
        <w:tc>
          <w:tcPr>
            <w:tcW w:w="2041" w:type="dxa"/>
            <w:tcBorders>
              <w:bottom w:val="single" w:sz="12" w:space="0" w:color="auto"/>
              <w:right w:val="single" w:sz="12" w:space="0" w:color="auto"/>
            </w:tcBorders>
          </w:tcPr>
          <w:p w14:paraId="65D10FFF" w14:textId="77777777" w:rsidR="00E12F9F" w:rsidRPr="00E12F9F" w:rsidRDefault="00E12F9F" w:rsidP="00CC3A2F">
            <w:pPr>
              <w:spacing w:after="0" w:line="240" w:lineRule="auto"/>
              <w:jc w:val="center"/>
            </w:pPr>
            <w:r w:rsidRPr="00E12F9F">
              <w:t>26%</w:t>
            </w:r>
          </w:p>
        </w:tc>
      </w:tr>
      <w:tr w:rsidR="00E12F9F" w:rsidRPr="00E12F9F" w14:paraId="776F2751" w14:textId="77777777" w:rsidTr="00CC3A2F">
        <w:tc>
          <w:tcPr>
            <w:tcW w:w="1343" w:type="dxa"/>
            <w:tcBorders>
              <w:top w:val="single" w:sz="12" w:space="0" w:color="auto"/>
              <w:left w:val="single" w:sz="12" w:space="0" w:color="auto"/>
              <w:bottom w:val="single" w:sz="12" w:space="0" w:color="auto"/>
              <w:right w:val="single" w:sz="12" w:space="0" w:color="auto"/>
            </w:tcBorders>
          </w:tcPr>
          <w:p w14:paraId="0E2F0F5F" w14:textId="77777777" w:rsidR="00E12F9F" w:rsidRPr="00E12F9F" w:rsidRDefault="00E12F9F" w:rsidP="00CC3A2F">
            <w:pPr>
              <w:spacing w:after="0" w:line="240" w:lineRule="auto"/>
              <w:jc w:val="center"/>
              <w:rPr>
                <w:b/>
                <w:bCs/>
              </w:rPr>
            </w:pPr>
            <w:r w:rsidRPr="00E12F9F">
              <w:rPr>
                <w:b/>
                <w:bCs/>
              </w:rPr>
              <w:t>Total</w:t>
            </w:r>
          </w:p>
        </w:tc>
        <w:tc>
          <w:tcPr>
            <w:tcW w:w="1846" w:type="dxa"/>
            <w:tcBorders>
              <w:top w:val="single" w:sz="12" w:space="0" w:color="auto"/>
              <w:left w:val="single" w:sz="12" w:space="0" w:color="auto"/>
              <w:bottom w:val="single" w:sz="12" w:space="0" w:color="auto"/>
            </w:tcBorders>
          </w:tcPr>
          <w:p w14:paraId="3E6D653C" w14:textId="77777777" w:rsidR="00E12F9F" w:rsidRPr="00E12F9F" w:rsidRDefault="00E12F9F" w:rsidP="00CC3A2F">
            <w:pPr>
              <w:spacing w:after="0" w:line="240" w:lineRule="auto"/>
              <w:jc w:val="center"/>
            </w:pPr>
            <w:r w:rsidRPr="00E12F9F">
              <w:t>72</w:t>
            </w:r>
          </w:p>
        </w:tc>
        <w:tc>
          <w:tcPr>
            <w:tcW w:w="1919" w:type="dxa"/>
            <w:tcBorders>
              <w:top w:val="single" w:sz="12" w:space="0" w:color="auto"/>
              <w:bottom w:val="single" w:sz="12" w:space="0" w:color="auto"/>
              <w:right w:val="single" w:sz="12" w:space="0" w:color="auto"/>
            </w:tcBorders>
          </w:tcPr>
          <w:p w14:paraId="05D191B5" w14:textId="77777777" w:rsidR="00E12F9F" w:rsidRPr="00E12F9F" w:rsidRDefault="00E12F9F" w:rsidP="00CC3A2F">
            <w:pPr>
              <w:spacing w:after="0" w:line="240" w:lineRule="auto"/>
              <w:jc w:val="center"/>
            </w:pPr>
            <w:r w:rsidRPr="00E12F9F">
              <w:t>100%</w:t>
            </w:r>
          </w:p>
        </w:tc>
        <w:tc>
          <w:tcPr>
            <w:tcW w:w="1847" w:type="dxa"/>
            <w:tcBorders>
              <w:top w:val="single" w:sz="12" w:space="0" w:color="auto"/>
              <w:left w:val="single" w:sz="12" w:space="0" w:color="auto"/>
              <w:bottom w:val="single" w:sz="12" w:space="0" w:color="auto"/>
            </w:tcBorders>
          </w:tcPr>
          <w:p w14:paraId="53CF773D" w14:textId="77777777" w:rsidR="00E12F9F" w:rsidRPr="00E12F9F" w:rsidRDefault="00E12F9F" w:rsidP="00CC3A2F">
            <w:pPr>
              <w:spacing w:after="0" w:line="240" w:lineRule="auto"/>
              <w:jc w:val="center"/>
            </w:pPr>
            <w:r w:rsidRPr="00E12F9F">
              <w:t>77</w:t>
            </w:r>
          </w:p>
        </w:tc>
        <w:tc>
          <w:tcPr>
            <w:tcW w:w="2041" w:type="dxa"/>
            <w:tcBorders>
              <w:top w:val="single" w:sz="12" w:space="0" w:color="auto"/>
              <w:bottom w:val="single" w:sz="12" w:space="0" w:color="auto"/>
              <w:right w:val="single" w:sz="12" w:space="0" w:color="auto"/>
            </w:tcBorders>
          </w:tcPr>
          <w:p w14:paraId="591E38A0" w14:textId="77777777" w:rsidR="00E12F9F" w:rsidRPr="00E12F9F" w:rsidRDefault="00E12F9F" w:rsidP="00CC3A2F">
            <w:pPr>
              <w:spacing w:after="0" w:line="240" w:lineRule="auto"/>
              <w:jc w:val="center"/>
            </w:pPr>
            <w:r w:rsidRPr="00E12F9F">
              <w:t>100%</w:t>
            </w:r>
          </w:p>
        </w:tc>
      </w:tr>
    </w:tbl>
    <w:p w14:paraId="7E443C6B" w14:textId="77777777" w:rsidR="00E12F9F" w:rsidRPr="00E12F9F" w:rsidRDefault="00E12F9F" w:rsidP="00E12F9F"/>
    <w:p w14:paraId="42E86D85" w14:textId="77777777" w:rsidR="00CC3A2F" w:rsidRDefault="00CC3A2F" w:rsidP="00E12F9F">
      <w:pPr>
        <w:jc w:val="center"/>
      </w:pPr>
    </w:p>
    <w:p w14:paraId="48938257" w14:textId="77777777" w:rsidR="00CC3A2F" w:rsidRDefault="00CC3A2F" w:rsidP="00E12F9F">
      <w:pPr>
        <w:jc w:val="center"/>
      </w:pPr>
    </w:p>
    <w:p w14:paraId="2BCEB26A" w14:textId="77777777" w:rsidR="00CC3A2F" w:rsidRDefault="00CC3A2F" w:rsidP="00E12F9F">
      <w:pPr>
        <w:jc w:val="center"/>
      </w:pPr>
    </w:p>
    <w:p w14:paraId="04B33B2E" w14:textId="77777777" w:rsidR="00CC3A2F" w:rsidRDefault="00CC3A2F" w:rsidP="00E12F9F">
      <w:pPr>
        <w:jc w:val="center"/>
      </w:pPr>
    </w:p>
    <w:p w14:paraId="1ACEC797" w14:textId="339F635A" w:rsidR="00E12F9F" w:rsidRPr="00E12F9F" w:rsidRDefault="00E12F9F" w:rsidP="00E12F9F">
      <w:pPr>
        <w:jc w:val="center"/>
      </w:pPr>
      <w:r w:rsidRPr="00E12F9F">
        <w:t>Table 16 – Number and proportion of livestock farmers within different ownership categories in Bolton-le-Sands and Prestbury, based on inventory data from the wider survey.</w:t>
      </w:r>
    </w:p>
    <w:p w14:paraId="09CBA2EE" w14:textId="77777777" w:rsidR="00E12F9F" w:rsidRPr="00E12F9F" w:rsidRDefault="00E12F9F" w:rsidP="00E12F9F">
      <w:r w:rsidRPr="00E12F9F">
        <w:br w:type="page"/>
      </w:r>
    </w:p>
    <w:tbl>
      <w:tblPr>
        <w:tblStyle w:val="TableGrid8"/>
        <w:tblpPr w:leftFromText="180" w:rightFromText="180" w:horzAnchor="margin" w:tblpY="2280"/>
        <w:tblW w:w="0" w:type="auto"/>
        <w:tblLook w:val="04A0" w:firstRow="1" w:lastRow="0" w:firstColumn="1" w:lastColumn="0" w:noHBand="0" w:noVBand="1"/>
      </w:tblPr>
      <w:tblGrid>
        <w:gridCol w:w="1343"/>
        <w:gridCol w:w="1846"/>
        <w:gridCol w:w="1919"/>
        <w:gridCol w:w="1847"/>
        <w:gridCol w:w="2041"/>
      </w:tblGrid>
      <w:tr w:rsidR="00E12F9F" w:rsidRPr="00E12F9F" w14:paraId="57F4F7CE" w14:textId="77777777" w:rsidTr="00674F82">
        <w:tc>
          <w:tcPr>
            <w:tcW w:w="1343" w:type="dxa"/>
            <w:vMerge w:val="restart"/>
            <w:tcBorders>
              <w:top w:val="single" w:sz="12" w:space="0" w:color="auto"/>
              <w:left w:val="single" w:sz="12" w:space="0" w:color="auto"/>
              <w:right w:val="single" w:sz="12" w:space="0" w:color="auto"/>
            </w:tcBorders>
          </w:tcPr>
          <w:p w14:paraId="64364B57" w14:textId="77777777" w:rsidR="00E12F9F" w:rsidRPr="00E12F9F" w:rsidRDefault="00E12F9F" w:rsidP="00674F82">
            <w:pPr>
              <w:spacing w:after="0" w:line="240" w:lineRule="auto"/>
              <w:jc w:val="center"/>
              <w:rPr>
                <w:b/>
                <w:bCs/>
              </w:rPr>
            </w:pPr>
            <w:r w:rsidRPr="00E12F9F">
              <w:rPr>
                <w:b/>
                <w:bCs/>
              </w:rPr>
              <w:lastRenderedPageBreak/>
              <w:t>Ownership Category</w:t>
            </w:r>
          </w:p>
        </w:tc>
        <w:tc>
          <w:tcPr>
            <w:tcW w:w="3765" w:type="dxa"/>
            <w:gridSpan w:val="2"/>
            <w:tcBorders>
              <w:top w:val="single" w:sz="12" w:space="0" w:color="auto"/>
              <w:left w:val="single" w:sz="12" w:space="0" w:color="auto"/>
              <w:right w:val="single" w:sz="12" w:space="0" w:color="auto"/>
            </w:tcBorders>
          </w:tcPr>
          <w:p w14:paraId="11F5425E" w14:textId="77777777" w:rsidR="00E12F9F" w:rsidRPr="00E12F9F" w:rsidRDefault="00E12F9F" w:rsidP="00674F82">
            <w:pPr>
              <w:spacing w:after="0" w:line="240" w:lineRule="auto"/>
              <w:jc w:val="center"/>
              <w:rPr>
                <w:b/>
                <w:bCs/>
              </w:rPr>
            </w:pPr>
            <w:r w:rsidRPr="00E12F9F">
              <w:rPr>
                <w:b/>
                <w:bCs/>
              </w:rPr>
              <w:t>Bolton-le-Sands</w:t>
            </w:r>
          </w:p>
        </w:tc>
        <w:tc>
          <w:tcPr>
            <w:tcW w:w="3888" w:type="dxa"/>
            <w:gridSpan w:val="2"/>
            <w:tcBorders>
              <w:top w:val="single" w:sz="12" w:space="0" w:color="auto"/>
              <w:left w:val="single" w:sz="12" w:space="0" w:color="auto"/>
              <w:right w:val="single" w:sz="12" w:space="0" w:color="auto"/>
            </w:tcBorders>
          </w:tcPr>
          <w:p w14:paraId="08FFC9FF" w14:textId="77777777" w:rsidR="00E12F9F" w:rsidRPr="00E12F9F" w:rsidRDefault="00E12F9F" w:rsidP="00674F82">
            <w:pPr>
              <w:spacing w:after="0" w:line="240" w:lineRule="auto"/>
              <w:jc w:val="center"/>
              <w:rPr>
                <w:b/>
                <w:bCs/>
              </w:rPr>
            </w:pPr>
            <w:r w:rsidRPr="00E12F9F">
              <w:rPr>
                <w:b/>
                <w:bCs/>
              </w:rPr>
              <w:t>Prestbury</w:t>
            </w:r>
          </w:p>
        </w:tc>
      </w:tr>
      <w:tr w:rsidR="00E12F9F" w:rsidRPr="00E12F9F" w14:paraId="63CA5432" w14:textId="77777777" w:rsidTr="00674F82">
        <w:tc>
          <w:tcPr>
            <w:tcW w:w="1343" w:type="dxa"/>
            <w:vMerge/>
            <w:tcBorders>
              <w:left w:val="single" w:sz="12" w:space="0" w:color="auto"/>
              <w:bottom w:val="single" w:sz="12" w:space="0" w:color="auto"/>
              <w:right w:val="single" w:sz="12" w:space="0" w:color="auto"/>
            </w:tcBorders>
          </w:tcPr>
          <w:p w14:paraId="6BD36E34" w14:textId="77777777" w:rsidR="00E12F9F" w:rsidRPr="00E12F9F" w:rsidRDefault="00E12F9F" w:rsidP="00674F82">
            <w:pPr>
              <w:spacing w:after="0" w:line="240" w:lineRule="auto"/>
              <w:jc w:val="center"/>
              <w:rPr>
                <w:b/>
                <w:bCs/>
              </w:rPr>
            </w:pPr>
          </w:p>
        </w:tc>
        <w:tc>
          <w:tcPr>
            <w:tcW w:w="1846" w:type="dxa"/>
            <w:tcBorders>
              <w:left w:val="single" w:sz="12" w:space="0" w:color="auto"/>
              <w:bottom w:val="single" w:sz="12" w:space="0" w:color="auto"/>
            </w:tcBorders>
          </w:tcPr>
          <w:p w14:paraId="2937AEF6" w14:textId="77777777" w:rsidR="00E12F9F" w:rsidRPr="00E12F9F" w:rsidRDefault="00E12F9F" w:rsidP="00674F82">
            <w:pPr>
              <w:spacing w:after="0" w:line="240" w:lineRule="auto"/>
              <w:jc w:val="center"/>
              <w:rPr>
                <w:b/>
                <w:bCs/>
              </w:rPr>
            </w:pPr>
            <w:r w:rsidRPr="00E12F9F">
              <w:rPr>
                <w:b/>
                <w:bCs/>
              </w:rPr>
              <w:t>Number of Testators</w:t>
            </w:r>
          </w:p>
        </w:tc>
        <w:tc>
          <w:tcPr>
            <w:tcW w:w="1919" w:type="dxa"/>
            <w:tcBorders>
              <w:bottom w:val="single" w:sz="12" w:space="0" w:color="auto"/>
              <w:right w:val="single" w:sz="12" w:space="0" w:color="auto"/>
            </w:tcBorders>
          </w:tcPr>
          <w:p w14:paraId="583FE6C3" w14:textId="77777777" w:rsidR="00E12F9F" w:rsidRPr="00E12F9F" w:rsidRDefault="00E12F9F" w:rsidP="00674F82">
            <w:pPr>
              <w:spacing w:after="0" w:line="240" w:lineRule="auto"/>
              <w:jc w:val="center"/>
              <w:rPr>
                <w:b/>
                <w:bCs/>
              </w:rPr>
            </w:pPr>
            <w:r w:rsidRPr="00E12F9F">
              <w:rPr>
                <w:b/>
                <w:bCs/>
              </w:rPr>
              <w:t>Percentage of Livestock Farmers</w:t>
            </w:r>
          </w:p>
        </w:tc>
        <w:tc>
          <w:tcPr>
            <w:tcW w:w="1847" w:type="dxa"/>
            <w:tcBorders>
              <w:left w:val="single" w:sz="12" w:space="0" w:color="auto"/>
              <w:bottom w:val="single" w:sz="12" w:space="0" w:color="auto"/>
            </w:tcBorders>
          </w:tcPr>
          <w:p w14:paraId="2684A70D" w14:textId="77777777" w:rsidR="00E12F9F" w:rsidRPr="00E12F9F" w:rsidRDefault="00E12F9F" w:rsidP="00674F82">
            <w:pPr>
              <w:spacing w:after="0" w:line="240" w:lineRule="auto"/>
              <w:jc w:val="center"/>
              <w:rPr>
                <w:b/>
                <w:bCs/>
              </w:rPr>
            </w:pPr>
            <w:r w:rsidRPr="00E12F9F">
              <w:rPr>
                <w:b/>
                <w:bCs/>
              </w:rPr>
              <w:t>Number of Testators</w:t>
            </w:r>
          </w:p>
        </w:tc>
        <w:tc>
          <w:tcPr>
            <w:tcW w:w="2041" w:type="dxa"/>
            <w:tcBorders>
              <w:bottom w:val="single" w:sz="12" w:space="0" w:color="auto"/>
              <w:right w:val="single" w:sz="12" w:space="0" w:color="auto"/>
            </w:tcBorders>
          </w:tcPr>
          <w:p w14:paraId="4A0959E4" w14:textId="77777777" w:rsidR="00E12F9F" w:rsidRPr="00E12F9F" w:rsidRDefault="00E12F9F" w:rsidP="00674F82">
            <w:pPr>
              <w:spacing w:after="0" w:line="240" w:lineRule="auto"/>
              <w:jc w:val="center"/>
              <w:rPr>
                <w:b/>
                <w:bCs/>
              </w:rPr>
            </w:pPr>
            <w:r w:rsidRPr="00E12F9F">
              <w:rPr>
                <w:b/>
                <w:bCs/>
              </w:rPr>
              <w:t>Percentage of Livestock Farmers</w:t>
            </w:r>
          </w:p>
        </w:tc>
      </w:tr>
      <w:tr w:rsidR="00E12F9F" w:rsidRPr="00E12F9F" w14:paraId="145CEEAC" w14:textId="77777777" w:rsidTr="00674F82">
        <w:tc>
          <w:tcPr>
            <w:tcW w:w="1343" w:type="dxa"/>
            <w:tcBorders>
              <w:top w:val="single" w:sz="12" w:space="0" w:color="auto"/>
              <w:left w:val="single" w:sz="12" w:space="0" w:color="auto"/>
              <w:right w:val="single" w:sz="12" w:space="0" w:color="auto"/>
            </w:tcBorders>
          </w:tcPr>
          <w:p w14:paraId="640CF03B" w14:textId="77777777" w:rsidR="00E12F9F" w:rsidRPr="00E12F9F" w:rsidRDefault="00E12F9F" w:rsidP="00674F82">
            <w:pPr>
              <w:spacing w:after="0" w:line="240" w:lineRule="auto"/>
              <w:jc w:val="center"/>
              <w:rPr>
                <w:b/>
                <w:bCs/>
              </w:rPr>
            </w:pPr>
            <w:r w:rsidRPr="00E12F9F">
              <w:rPr>
                <w:b/>
                <w:bCs/>
              </w:rPr>
              <w:t>1</w:t>
            </w:r>
          </w:p>
        </w:tc>
        <w:tc>
          <w:tcPr>
            <w:tcW w:w="1846" w:type="dxa"/>
            <w:tcBorders>
              <w:top w:val="single" w:sz="12" w:space="0" w:color="auto"/>
              <w:left w:val="single" w:sz="12" w:space="0" w:color="auto"/>
            </w:tcBorders>
          </w:tcPr>
          <w:p w14:paraId="5F69011E" w14:textId="77777777" w:rsidR="00E12F9F" w:rsidRPr="00E12F9F" w:rsidRDefault="00E12F9F" w:rsidP="00674F82">
            <w:pPr>
              <w:spacing w:after="0" w:line="240" w:lineRule="auto"/>
              <w:jc w:val="center"/>
            </w:pPr>
            <w:r w:rsidRPr="00E12F9F">
              <w:t>0</w:t>
            </w:r>
          </w:p>
        </w:tc>
        <w:tc>
          <w:tcPr>
            <w:tcW w:w="1919" w:type="dxa"/>
            <w:tcBorders>
              <w:top w:val="single" w:sz="12" w:space="0" w:color="auto"/>
              <w:right w:val="single" w:sz="12" w:space="0" w:color="auto"/>
            </w:tcBorders>
          </w:tcPr>
          <w:p w14:paraId="5A5CB523" w14:textId="77777777" w:rsidR="00E12F9F" w:rsidRPr="00E12F9F" w:rsidRDefault="00E12F9F" w:rsidP="00674F82">
            <w:pPr>
              <w:spacing w:after="0" w:line="240" w:lineRule="auto"/>
              <w:jc w:val="center"/>
            </w:pPr>
            <w:r w:rsidRPr="00E12F9F">
              <w:t>0%</w:t>
            </w:r>
          </w:p>
        </w:tc>
        <w:tc>
          <w:tcPr>
            <w:tcW w:w="1847" w:type="dxa"/>
            <w:tcBorders>
              <w:top w:val="single" w:sz="12" w:space="0" w:color="auto"/>
              <w:left w:val="single" w:sz="12" w:space="0" w:color="auto"/>
            </w:tcBorders>
          </w:tcPr>
          <w:p w14:paraId="319DE65E" w14:textId="77777777" w:rsidR="00E12F9F" w:rsidRPr="00E12F9F" w:rsidRDefault="00E12F9F" w:rsidP="00674F82">
            <w:pPr>
              <w:spacing w:after="0" w:line="240" w:lineRule="auto"/>
              <w:jc w:val="center"/>
            </w:pPr>
            <w:r w:rsidRPr="00E12F9F">
              <w:t>0</w:t>
            </w:r>
          </w:p>
        </w:tc>
        <w:tc>
          <w:tcPr>
            <w:tcW w:w="2041" w:type="dxa"/>
            <w:tcBorders>
              <w:top w:val="single" w:sz="12" w:space="0" w:color="auto"/>
              <w:right w:val="single" w:sz="12" w:space="0" w:color="auto"/>
            </w:tcBorders>
          </w:tcPr>
          <w:p w14:paraId="119B7825" w14:textId="77777777" w:rsidR="00E12F9F" w:rsidRPr="00E12F9F" w:rsidRDefault="00E12F9F" w:rsidP="00674F82">
            <w:pPr>
              <w:spacing w:after="0" w:line="240" w:lineRule="auto"/>
              <w:jc w:val="center"/>
            </w:pPr>
            <w:r w:rsidRPr="00E12F9F">
              <w:t>0%</w:t>
            </w:r>
          </w:p>
        </w:tc>
      </w:tr>
      <w:tr w:rsidR="00E12F9F" w:rsidRPr="00E12F9F" w14:paraId="6C4BF1A8" w14:textId="77777777" w:rsidTr="00674F82">
        <w:tc>
          <w:tcPr>
            <w:tcW w:w="1343" w:type="dxa"/>
            <w:tcBorders>
              <w:left w:val="single" w:sz="12" w:space="0" w:color="auto"/>
              <w:right w:val="single" w:sz="12" w:space="0" w:color="auto"/>
            </w:tcBorders>
          </w:tcPr>
          <w:p w14:paraId="4C3CFE0C" w14:textId="77777777" w:rsidR="00E12F9F" w:rsidRPr="00E12F9F" w:rsidRDefault="00E12F9F" w:rsidP="00674F82">
            <w:pPr>
              <w:spacing w:after="0" w:line="240" w:lineRule="auto"/>
              <w:jc w:val="center"/>
              <w:rPr>
                <w:b/>
                <w:bCs/>
              </w:rPr>
            </w:pPr>
            <w:r w:rsidRPr="00E12F9F">
              <w:rPr>
                <w:b/>
                <w:bCs/>
              </w:rPr>
              <w:t>2</w:t>
            </w:r>
          </w:p>
        </w:tc>
        <w:tc>
          <w:tcPr>
            <w:tcW w:w="1846" w:type="dxa"/>
            <w:tcBorders>
              <w:left w:val="single" w:sz="12" w:space="0" w:color="auto"/>
            </w:tcBorders>
          </w:tcPr>
          <w:p w14:paraId="5AEAE9B9" w14:textId="77777777" w:rsidR="00E12F9F" w:rsidRPr="00E12F9F" w:rsidRDefault="00E12F9F" w:rsidP="00674F82">
            <w:pPr>
              <w:spacing w:after="0" w:line="240" w:lineRule="auto"/>
              <w:jc w:val="center"/>
            </w:pPr>
            <w:r w:rsidRPr="00E12F9F">
              <w:t>1</w:t>
            </w:r>
          </w:p>
        </w:tc>
        <w:tc>
          <w:tcPr>
            <w:tcW w:w="1919" w:type="dxa"/>
            <w:tcBorders>
              <w:right w:val="single" w:sz="12" w:space="0" w:color="auto"/>
            </w:tcBorders>
          </w:tcPr>
          <w:p w14:paraId="01155679" w14:textId="77777777" w:rsidR="00E12F9F" w:rsidRPr="00E12F9F" w:rsidRDefault="00E12F9F" w:rsidP="00674F82">
            <w:pPr>
              <w:spacing w:after="0" w:line="240" w:lineRule="auto"/>
              <w:jc w:val="center"/>
            </w:pPr>
            <w:r w:rsidRPr="00E12F9F">
              <w:t>16.7%</w:t>
            </w:r>
          </w:p>
        </w:tc>
        <w:tc>
          <w:tcPr>
            <w:tcW w:w="1847" w:type="dxa"/>
            <w:tcBorders>
              <w:left w:val="single" w:sz="12" w:space="0" w:color="auto"/>
            </w:tcBorders>
          </w:tcPr>
          <w:p w14:paraId="2AA30187" w14:textId="77777777" w:rsidR="00E12F9F" w:rsidRPr="00E12F9F" w:rsidRDefault="00E12F9F" w:rsidP="00674F82">
            <w:pPr>
              <w:spacing w:after="0" w:line="240" w:lineRule="auto"/>
              <w:jc w:val="center"/>
            </w:pPr>
            <w:r w:rsidRPr="00E12F9F">
              <w:t>1</w:t>
            </w:r>
          </w:p>
        </w:tc>
        <w:tc>
          <w:tcPr>
            <w:tcW w:w="2041" w:type="dxa"/>
            <w:tcBorders>
              <w:right w:val="single" w:sz="12" w:space="0" w:color="auto"/>
            </w:tcBorders>
          </w:tcPr>
          <w:p w14:paraId="4A7E59E8" w14:textId="77777777" w:rsidR="00E12F9F" w:rsidRPr="00E12F9F" w:rsidRDefault="00E12F9F" w:rsidP="00674F82">
            <w:pPr>
              <w:spacing w:after="0" w:line="240" w:lineRule="auto"/>
              <w:jc w:val="center"/>
            </w:pPr>
            <w:r w:rsidRPr="00E12F9F">
              <w:t>50%</w:t>
            </w:r>
          </w:p>
        </w:tc>
      </w:tr>
      <w:tr w:rsidR="00E12F9F" w:rsidRPr="00E12F9F" w14:paraId="739A31CE" w14:textId="77777777" w:rsidTr="00674F82">
        <w:tc>
          <w:tcPr>
            <w:tcW w:w="1343" w:type="dxa"/>
            <w:tcBorders>
              <w:left w:val="single" w:sz="12" w:space="0" w:color="auto"/>
              <w:right w:val="single" w:sz="12" w:space="0" w:color="auto"/>
            </w:tcBorders>
          </w:tcPr>
          <w:p w14:paraId="3882B06B" w14:textId="77777777" w:rsidR="00E12F9F" w:rsidRPr="00E12F9F" w:rsidRDefault="00E12F9F" w:rsidP="00674F82">
            <w:pPr>
              <w:spacing w:after="0" w:line="240" w:lineRule="auto"/>
              <w:jc w:val="center"/>
              <w:rPr>
                <w:b/>
                <w:bCs/>
              </w:rPr>
            </w:pPr>
            <w:r w:rsidRPr="00E12F9F">
              <w:rPr>
                <w:b/>
                <w:bCs/>
              </w:rPr>
              <w:t>3</w:t>
            </w:r>
          </w:p>
        </w:tc>
        <w:tc>
          <w:tcPr>
            <w:tcW w:w="1846" w:type="dxa"/>
            <w:tcBorders>
              <w:left w:val="single" w:sz="12" w:space="0" w:color="auto"/>
            </w:tcBorders>
          </w:tcPr>
          <w:p w14:paraId="08B6D26A" w14:textId="77777777" w:rsidR="00E12F9F" w:rsidRPr="00E12F9F" w:rsidRDefault="00E12F9F" w:rsidP="00674F82">
            <w:pPr>
              <w:spacing w:after="0" w:line="240" w:lineRule="auto"/>
              <w:jc w:val="center"/>
            </w:pPr>
            <w:r w:rsidRPr="00E12F9F">
              <w:t>5</w:t>
            </w:r>
          </w:p>
        </w:tc>
        <w:tc>
          <w:tcPr>
            <w:tcW w:w="1919" w:type="dxa"/>
            <w:tcBorders>
              <w:right w:val="single" w:sz="12" w:space="0" w:color="auto"/>
            </w:tcBorders>
          </w:tcPr>
          <w:p w14:paraId="68B2E24E" w14:textId="77777777" w:rsidR="00E12F9F" w:rsidRPr="00E12F9F" w:rsidRDefault="00E12F9F" w:rsidP="00674F82">
            <w:pPr>
              <w:spacing w:after="0" w:line="240" w:lineRule="auto"/>
              <w:jc w:val="center"/>
            </w:pPr>
            <w:r w:rsidRPr="00E12F9F">
              <w:t>83.3%</w:t>
            </w:r>
          </w:p>
        </w:tc>
        <w:tc>
          <w:tcPr>
            <w:tcW w:w="1847" w:type="dxa"/>
            <w:tcBorders>
              <w:left w:val="single" w:sz="12" w:space="0" w:color="auto"/>
            </w:tcBorders>
          </w:tcPr>
          <w:p w14:paraId="31A0B436" w14:textId="77777777" w:rsidR="00E12F9F" w:rsidRPr="00E12F9F" w:rsidRDefault="00E12F9F" w:rsidP="00674F82">
            <w:pPr>
              <w:spacing w:after="0" w:line="240" w:lineRule="auto"/>
              <w:jc w:val="center"/>
            </w:pPr>
            <w:r w:rsidRPr="00E12F9F">
              <w:t>1</w:t>
            </w:r>
          </w:p>
        </w:tc>
        <w:tc>
          <w:tcPr>
            <w:tcW w:w="2041" w:type="dxa"/>
            <w:tcBorders>
              <w:right w:val="single" w:sz="12" w:space="0" w:color="auto"/>
            </w:tcBorders>
          </w:tcPr>
          <w:p w14:paraId="7D2E4857" w14:textId="77777777" w:rsidR="00E12F9F" w:rsidRPr="00E12F9F" w:rsidRDefault="00E12F9F" w:rsidP="00674F82">
            <w:pPr>
              <w:spacing w:after="0" w:line="240" w:lineRule="auto"/>
              <w:jc w:val="center"/>
            </w:pPr>
            <w:r w:rsidRPr="00E12F9F">
              <w:t>50%</w:t>
            </w:r>
          </w:p>
        </w:tc>
      </w:tr>
      <w:tr w:rsidR="00E12F9F" w:rsidRPr="00E12F9F" w14:paraId="65387FF0" w14:textId="77777777" w:rsidTr="00674F82">
        <w:tc>
          <w:tcPr>
            <w:tcW w:w="1343" w:type="dxa"/>
            <w:tcBorders>
              <w:left w:val="single" w:sz="12" w:space="0" w:color="auto"/>
              <w:bottom w:val="single" w:sz="12" w:space="0" w:color="auto"/>
              <w:right w:val="single" w:sz="12" w:space="0" w:color="auto"/>
            </w:tcBorders>
          </w:tcPr>
          <w:p w14:paraId="7D75A3F1" w14:textId="77777777" w:rsidR="00E12F9F" w:rsidRPr="00E12F9F" w:rsidRDefault="00E12F9F" w:rsidP="00674F82">
            <w:pPr>
              <w:spacing w:after="0" w:line="240" w:lineRule="auto"/>
              <w:jc w:val="center"/>
              <w:rPr>
                <w:b/>
                <w:bCs/>
              </w:rPr>
            </w:pPr>
            <w:r w:rsidRPr="00E12F9F">
              <w:rPr>
                <w:b/>
                <w:bCs/>
              </w:rPr>
              <w:t>4</w:t>
            </w:r>
          </w:p>
        </w:tc>
        <w:tc>
          <w:tcPr>
            <w:tcW w:w="1846" w:type="dxa"/>
            <w:tcBorders>
              <w:left w:val="single" w:sz="12" w:space="0" w:color="auto"/>
              <w:bottom w:val="single" w:sz="12" w:space="0" w:color="auto"/>
            </w:tcBorders>
          </w:tcPr>
          <w:p w14:paraId="251F5B59" w14:textId="77777777" w:rsidR="00E12F9F" w:rsidRPr="00E12F9F" w:rsidRDefault="00E12F9F" w:rsidP="00674F82">
            <w:pPr>
              <w:spacing w:after="0" w:line="240" w:lineRule="auto"/>
              <w:jc w:val="center"/>
            </w:pPr>
            <w:r w:rsidRPr="00E12F9F">
              <w:t>0</w:t>
            </w:r>
          </w:p>
        </w:tc>
        <w:tc>
          <w:tcPr>
            <w:tcW w:w="1919" w:type="dxa"/>
            <w:tcBorders>
              <w:bottom w:val="single" w:sz="12" w:space="0" w:color="auto"/>
              <w:right w:val="single" w:sz="12" w:space="0" w:color="auto"/>
            </w:tcBorders>
          </w:tcPr>
          <w:p w14:paraId="3F00367B" w14:textId="77777777" w:rsidR="00E12F9F" w:rsidRPr="00E12F9F" w:rsidRDefault="00E12F9F" w:rsidP="00674F82">
            <w:pPr>
              <w:spacing w:after="0" w:line="240" w:lineRule="auto"/>
              <w:jc w:val="center"/>
            </w:pPr>
            <w:r w:rsidRPr="00E12F9F">
              <w:t>0%</w:t>
            </w:r>
          </w:p>
        </w:tc>
        <w:tc>
          <w:tcPr>
            <w:tcW w:w="1847" w:type="dxa"/>
            <w:tcBorders>
              <w:left w:val="single" w:sz="12" w:space="0" w:color="auto"/>
              <w:bottom w:val="single" w:sz="12" w:space="0" w:color="auto"/>
            </w:tcBorders>
          </w:tcPr>
          <w:p w14:paraId="0636DBA9" w14:textId="77777777" w:rsidR="00E12F9F" w:rsidRPr="00E12F9F" w:rsidRDefault="00E12F9F" w:rsidP="00674F82">
            <w:pPr>
              <w:spacing w:after="0" w:line="240" w:lineRule="auto"/>
              <w:jc w:val="center"/>
            </w:pPr>
            <w:r w:rsidRPr="00E12F9F">
              <w:t>0</w:t>
            </w:r>
          </w:p>
        </w:tc>
        <w:tc>
          <w:tcPr>
            <w:tcW w:w="2041" w:type="dxa"/>
            <w:tcBorders>
              <w:bottom w:val="single" w:sz="12" w:space="0" w:color="auto"/>
              <w:right w:val="single" w:sz="12" w:space="0" w:color="auto"/>
            </w:tcBorders>
          </w:tcPr>
          <w:p w14:paraId="0195A71C" w14:textId="77777777" w:rsidR="00E12F9F" w:rsidRPr="00E12F9F" w:rsidRDefault="00E12F9F" w:rsidP="00674F82">
            <w:pPr>
              <w:spacing w:after="0" w:line="240" w:lineRule="auto"/>
              <w:jc w:val="center"/>
            </w:pPr>
            <w:r w:rsidRPr="00E12F9F">
              <w:t>0%</w:t>
            </w:r>
          </w:p>
        </w:tc>
      </w:tr>
      <w:tr w:rsidR="00E12F9F" w:rsidRPr="00E12F9F" w14:paraId="312B5D78" w14:textId="77777777" w:rsidTr="00674F82">
        <w:tc>
          <w:tcPr>
            <w:tcW w:w="1343" w:type="dxa"/>
            <w:tcBorders>
              <w:top w:val="single" w:sz="12" w:space="0" w:color="auto"/>
              <w:left w:val="single" w:sz="12" w:space="0" w:color="auto"/>
              <w:bottom w:val="single" w:sz="12" w:space="0" w:color="auto"/>
              <w:right w:val="single" w:sz="12" w:space="0" w:color="auto"/>
            </w:tcBorders>
          </w:tcPr>
          <w:p w14:paraId="4390FED1" w14:textId="77777777" w:rsidR="00E12F9F" w:rsidRPr="00E12F9F" w:rsidRDefault="00E12F9F" w:rsidP="00674F82">
            <w:pPr>
              <w:spacing w:after="0" w:line="240" w:lineRule="auto"/>
              <w:jc w:val="center"/>
              <w:rPr>
                <w:b/>
                <w:bCs/>
              </w:rPr>
            </w:pPr>
            <w:r w:rsidRPr="00E12F9F">
              <w:rPr>
                <w:b/>
                <w:bCs/>
              </w:rPr>
              <w:t>Total</w:t>
            </w:r>
          </w:p>
        </w:tc>
        <w:tc>
          <w:tcPr>
            <w:tcW w:w="1846" w:type="dxa"/>
            <w:tcBorders>
              <w:top w:val="single" w:sz="12" w:space="0" w:color="auto"/>
              <w:left w:val="single" w:sz="12" w:space="0" w:color="auto"/>
              <w:bottom w:val="single" w:sz="12" w:space="0" w:color="auto"/>
            </w:tcBorders>
          </w:tcPr>
          <w:p w14:paraId="2C8C7B0F" w14:textId="77777777" w:rsidR="00E12F9F" w:rsidRPr="00E12F9F" w:rsidRDefault="00E12F9F" w:rsidP="00674F82">
            <w:pPr>
              <w:spacing w:after="0" w:line="240" w:lineRule="auto"/>
              <w:jc w:val="center"/>
            </w:pPr>
            <w:r w:rsidRPr="00E12F9F">
              <w:t>7</w:t>
            </w:r>
          </w:p>
        </w:tc>
        <w:tc>
          <w:tcPr>
            <w:tcW w:w="1919" w:type="dxa"/>
            <w:tcBorders>
              <w:top w:val="single" w:sz="12" w:space="0" w:color="auto"/>
              <w:bottom w:val="single" w:sz="12" w:space="0" w:color="auto"/>
              <w:right w:val="single" w:sz="12" w:space="0" w:color="auto"/>
            </w:tcBorders>
          </w:tcPr>
          <w:p w14:paraId="2459ADD7" w14:textId="77777777" w:rsidR="00E12F9F" w:rsidRPr="00E12F9F" w:rsidRDefault="00E12F9F" w:rsidP="00674F82">
            <w:pPr>
              <w:spacing w:after="0" w:line="240" w:lineRule="auto"/>
              <w:jc w:val="center"/>
            </w:pPr>
            <w:r w:rsidRPr="00E12F9F">
              <w:t>100%</w:t>
            </w:r>
          </w:p>
        </w:tc>
        <w:tc>
          <w:tcPr>
            <w:tcW w:w="1847" w:type="dxa"/>
            <w:tcBorders>
              <w:top w:val="single" w:sz="12" w:space="0" w:color="auto"/>
              <w:left w:val="single" w:sz="12" w:space="0" w:color="auto"/>
              <w:bottom w:val="single" w:sz="12" w:space="0" w:color="auto"/>
            </w:tcBorders>
          </w:tcPr>
          <w:p w14:paraId="1F6EDE36" w14:textId="77777777" w:rsidR="00E12F9F" w:rsidRPr="00E12F9F" w:rsidRDefault="00E12F9F" w:rsidP="00674F82">
            <w:pPr>
              <w:spacing w:after="0" w:line="240" w:lineRule="auto"/>
              <w:jc w:val="center"/>
            </w:pPr>
            <w:r w:rsidRPr="00E12F9F">
              <w:t>2</w:t>
            </w:r>
          </w:p>
        </w:tc>
        <w:tc>
          <w:tcPr>
            <w:tcW w:w="2041" w:type="dxa"/>
            <w:tcBorders>
              <w:top w:val="single" w:sz="12" w:space="0" w:color="auto"/>
              <w:bottom w:val="single" w:sz="12" w:space="0" w:color="auto"/>
              <w:right w:val="single" w:sz="12" w:space="0" w:color="auto"/>
            </w:tcBorders>
          </w:tcPr>
          <w:p w14:paraId="7B4F6D91" w14:textId="77777777" w:rsidR="00E12F9F" w:rsidRPr="00E12F9F" w:rsidRDefault="00E12F9F" w:rsidP="00674F82">
            <w:pPr>
              <w:spacing w:after="0" w:line="240" w:lineRule="auto"/>
              <w:jc w:val="center"/>
            </w:pPr>
            <w:r w:rsidRPr="00E12F9F">
              <w:t>100%</w:t>
            </w:r>
          </w:p>
        </w:tc>
      </w:tr>
    </w:tbl>
    <w:p w14:paraId="67AD9FEE" w14:textId="77777777" w:rsidR="00E12F9F" w:rsidRDefault="00E12F9F" w:rsidP="00E12F9F">
      <w:pPr>
        <w:jc w:val="center"/>
      </w:pPr>
    </w:p>
    <w:p w14:paraId="54FC7F39" w14:textId="77777777" w:rsidR="00674F82" w:rsidRDefault="00674F82" w:rsidP="00E12F9F">
      <w:pPr>
        <w:jc w:val="center"/>
      </w:pPr>
    </w:p>
    <w:p w14:paraId="07624DC3" w14:textId="77777777" w:rsidR="00674F82" w:rsidRDefault="00674F82" w:rsidP="00E12F9F">
      <w:pPr>
        <w:jc w:val="center"/>
      </w:pPr>
    </w:p>
    <w:p w14:paraId="061252B4" w14:textId="77777777" w:rsidR="00674F82" w:rsidRDefault="00674F82" w:rsidP="00E12F9F">
      <w:pPr>
        <w:jc w:val="center"/>
      </w:pPr>
    </w:p>
    <w:p w14:paraId="5453FC99" w14:textId="77777777" w:rsidR="00674F82" w:rsidRPr="00E12F9F" w:rsidRDefault="00674F82" w:rsidP="00E12F9F">
      <w:pPr>
        <w:jc w:val="center"/>
      </w:pPr>
    </w:p>
    <w:p w14:paraId="0ADD576A" w14:textId="77777777" w:rsidR="00E12F9F" w:rsidRPr="00E12F9F" w:rsidRDefault="00E12F9F" w:rsidP="00E12F9F">
      <w:pPr>
        <w:jc w:val="center"/>
      </w:pPr>
      <w:r w:rsidRPr="00E12F9F">
        <w:t>Table 17 – Number and proportion of livestock farmers within different ownership categories in Bolton-le-Sands and Prestbury, based on wills and inventories belonging to core sample inscribers.</w:t>
      </w:r>
    </w:p>
    <w:p w14:paraId="686F2AD6" w14:textId="77777777" w:rsidR="00E12F9F" w:rsidRPr="00E12F9F" w:rsidRDefault="00E12F9F" w:rsidP="00E12F9F"/>
    <w:p w14:paraId="0BCB4FD4" w14:textId="77777777" w:rsidR="00E12F9F" w:rsidRPr="00E12F9F" w:rsidRDefault="00E12F9F" w:rsidP="00E12F9F">
      <w:r w:rsidRPr="00E12F9F">
        <w:br w:type="page"/>
      </w:r>
    </w:p>
    <w:tbl>
      <w:tblPr>
        <w:tblStyle w:val="TableGrid8"/>
        <w:tblpPr w:leftFromText="180" w:rightFromText="180" w:vertAnchor="page" w:horzAnchor="margin" w:tblpY="3466"/>
        <w:tblW w:w="0" w:type="auto"/>
        <w:tblLook w:val="04A0" w:firstRow="1" w:lastRow="0" w:firstColumn="1" w:lastColumn="0" w:noHBand="0" w:noVBand="1"/>
      </w:tblPr>
      <w:tblGrid>
        <w:gridCol w:w="2400"/>
        <w:gridCol w:w="1554"/>
        <w:gridCol w:w="1840"/>
        <w:gridCol w:w="1554"/>
        <w:gridCol w:w="1648"/>
      </w:tblGrid>
      <w:tr w:rsidR="00E12F9F" w:rsidRPr="00E12F9F" w14:paraId="4ACBEFF9" w14:textId="77777777" w:rsidTr="00674F82">
        <w:tc>
          <w:tcPr>
            <w:tcW w:w="2400" w:type="dxa"/>
            <w:vMerge w:val="restart"/>
            <w:tcBorders>
              <w:top w:val="single" w:sz="12" w:space="0" w:color="auto"/>
              <w:left w:val="single" w:sz="12" w:space="0" w:color="auto"/>
              <w:right w:val="single" w:sz="12" w:space="0" w:color="auto"/>
            </w:tcBorders>
          </w:tcPr>
          <w:p w14:paraId="11C223B4" w14:textId="77777777" w:rsidR="00E12F9F" w:rsidRPr="00E12F9F" w:rsidRDefault="00E12F9F" w:rsidP="00674F82">
            <w:pPr>
              <w:spacing w:after="0" w:line="240" w:lineRule="auto"/>
            </w:pPr>
          </w:p>
        </w:tc>
        <w:tc>
          <w:tcPr>
            <w:tcW w:w="3394" w:type="dxa"/>
            <w:gridSpan w:val="2"/>
            <w:tcBorders>
              <w:top w:val="single" w:sz="12" w:space="0" w:color="auto"/>
              <w:left w:val="single" w:sz="12" w:space="0" w:color="auto"/>
              <w:bottom w:val="single" w:sz="12" w:space="0" w:color="auto"/>
              <w:right w:val="single" w:sz="12" w:space="0" w:color="auto"/>
            </w:tcBorders>
          </w:tcPr>
          <w:p w14:paraId="5FE05FE5" w14:textId="77777777" w:rsidR="00E12F9F" w:rsidRPr="00E12F9F" w:rsidRDefault="00E12F9F" w:rsidP="00674F82">
            <w:pPr>
              <w:spacing w:after="0" w:line="240" w:lineRule="auto"/>
              <w:jc w:val="center"/>
              <w:rPr>
                <w:b/>
                <w:bCs/>
              </w:rPr>
            </w:pPr>
            <w:r w:rsidRPr="00E12F9F">
              <w:rPr>
                <w:b/>
                <w:bCs/>
              </w:rPr>
              <w:t>Bolton-le-Sands</w:t>
            </w:r>
          </w:p>
        </w:tc>
        <w:tc>
          <w:tcPr>
            <w:tcW w:w="3202" w:type="dxa"/>
            <w:gridSpan w:val="2"/>
            <w:tcBorders>
              <w:top w:val="single" w:sz="12" w:space="0" w:color="auto"/>
              <w:left w:val="single" w:sz="12" w:space="0" w:color="auto"/>
              <w:bottom w:val="single" w:sz="12" w:space="0" w:color="auto"/>
              <w:right w:val="single" w:sz="12" w:space="0" w:color="auto"/>
            </w:tcBorders>
          </w:tcPr>
          <w:p w14:paraId="3DCBB42D" w14:textId="77777777" w:rsidR="00E12F9F" w:rsidRPr="00E12F9F" w:rsidRDefault="00E12F9F" w:rsidP="00674F82">
            <w:pPr>
              <w:spacing w:after="0" w:line="240" w:lineRule="auto"/>
              <w:jc w:val="center"/>
              <w:rPr>
                <w:b/>
                <w:bCs/>
              </w:rPr>
            </w:pPr>
            <w:r w:rsidRPr="00E12F9F">
              <w:rPr>
                <w:b/>
                <w:bCs/>
              </w:rPr>
              <w:t>Prestbury</w:t>
            </w:r>
          </w:p>
        </w:tc>
      </w:tr>
      <w:tr w:rsidR="00E12F9F" w:rsidRPr="00E12F9F" w14:paraId="1D5F4FC2" w14:textId="77777777" w:rsidTr="00674F82">
        <w:tc>
          <w:tcPr>
            <w:tcW w:w="2400" w:type="dxa"/>
            <w:vMerge/>
            <w:tcBorders>
              <w:left w:val="single" w:sz="12" w:space="0" w:color="auto"/>
              <w:bottom w:val="single" w:sz="12" w:space="0" w:color="auto"/>
              <w:right w:val="single" w:sz="12" w:space="0" w:color="auto"/>
            </w:tcBorders>
          </w:tcPr>
          <w:p w14:paraId="0CC20431" w14:textId="77777777" w:rsidR="00E12F9F" w:rsidRPr="00E12F9F" w:rsidRDefault="00E12F9F" w:rsidP="00674F82">
            <w:pPr>
              <w:spacing w:after="0" w:line="240" w:lineRule="auto"/>
            </w:pPr>
          </w:p>
        </w:tc>
        <w:tc>
          <w:tcPr>
            <w:tcW w:w="1554" w:type="dxa"/>
            <w:tcBorders>
              <w:top w:val="single" w:sz="12" w:space="0" w:color="auto"/>
              <w:left w:val="single" w:sz="12" w:space="0" w:color="auto"/>
              <w:bottom w:val="single" w:sz="12" w:space="0" w:color="auto"/>
            </w:tcBorders>
          </w:tcPr>
          <w:p w14:paraId="0A279263" w14:textId="77777777" w:rsidR="00E12F9F" w:rsidRPr="00E12F9F" w:rsidRDefault="00E12F9F" w:rsidP="00674F82">
            <w:pPr>
              <w:spacing w:after="0" w:line="240" w:lineRule="auto"/>
              <w:jc w:val="center"/>
              <w:rPr>
                <w:b/>
                <w:bCs/>
              </w:rPr>
            </w:pPr>
            <w:r w:rsidRPr="00E12F9F">
              <w:rPr>
                <w:b/>
                <w:bCs/>
              </w:rPr>
              <w:t>Wills</w:t>
            </w:r>
          </w:p>
        </w:tc>
        <w:tc>
          <w:tcPr>
            <w:tcW w:w="1840" w:type="dxa"/>
            <w:tcBorders>
              <w:top w:val="single" w:sz="12" w:space="0" w:color="auto"/>
              <w:bottom w:val="single" w:sz="12" w:space="0" w:color="auto"/>
              <w:right w:val="single" w:sz="12" w:space="0" w:color="auto"/>
            </w:tcBorders>
          </w:tcPr>
          <w:p w14:paraId="2B27977D" w14:textId="77777777" w:rsidR="00E12F9F" w:rsidRPr="00E12F9F" w:rsidRDefault="00E12F9F" w:rsidP="00674F82">
            <w:pPr>
              <w:spacing w:after="0" w:line="240" w:lineRule="auto"/>
              <w:jc w:val="center"/>
              <w:rPr>
                <w:b/>
                <w:bCs/>
              </w:rPr>
            </w:pPr>
            <w:r w:rsidRPr="00E12F9F">
              <w:rPr>
                <w:b/>
                <w:bCs/>
              </w:rPr>
              <w:t>Inventories</w:t>
            </w:r>
          </w:p>
        </w:tc>
        <w:tc>
          <w:tcPr>
            <w:tcW w:w="1554" w:type="dxa"/>
            <w:tcBorders>
              <w:left w:val="single" w:sz="12" w:space="0" w:color="auto"/>
              <w:bottom w:val="single" w:sz="12" w:space="0" w:color="auto"/>
            </w:tcBorders>
          </w:tcPr>
          <w:p w14:paraId="28EB60BE" w14:textId="77777777" w:rsidR="00E12F9F" w:rsidRPr="00E12F9F" w:rsidRDefault="00E12F9F" w:rsidP="00674F82">
            <w:pPr>
              <w:spacing w:after="0" w:line="240" w:lineRule="auto"/>
              <w:jc w:val="center"/>
              <w:rPr>
                <w:b/>
                <w:bCs/>
              </w:rPr>
            </w:pPr>
            <w:r w:rsidRPr="00E12F9F">
              <w:rPr>
                <w:b/>
                <w:bCs/>
              </w:rPr>
              <w:t>Wills</w:t>
            </w:r>
          </w:p>
        </w:tc>
        <w:tc>
          <w:tcPr>
            <w:tcW w:w="1648" w:type="dxa"/>
            <w:tcBorders>
              <w:bottom w:val="single" w:sz="12" w:space="0" w:color="auto"/>
              <w:right w:val="single" w:sz="12" w:space="0" w:color="auto"/>
            </w:tcBorders>
          </w:tcPr>
          <w:p w14:paraId="68EB13B1" w14:textId="77777777" w:rsidR="00E12F9F" w:rsidRPr="00E12F9F" w:rsidRDefault="00E12F9F" w:rsidP="00674F82">
            <w:pPr>
              <w:spacing w:after="0" w:line="240" w:lineRule="auto"/>
              <w:jc w:val="center"/>
              <w:rPr>
                <w:b/>
                <w:bCs/>
              </w:rPr>
            </w:pPr>
            <w:r w:rsidRPr="00E12F9F">
              <w:rPr>
                <w:b/>
                <w:bCs/>
              </w:rPr>
              <w:t>Inventories</w:t>
            </w:r>
          </w:p>
        </w:tc>
      </w:tr>
      <w:tr w:rsidR="00E12F9F" w:rsidRPr="00E12F9F" w14:paraId="63F48C86" w14:textId="77777777" w:rsidTr="00674F82">
        <w:tc>
          <w:tcPr>
            <w:tcW w:w="2400" w:type="dxa"/>
            <w:tcBorders>
              <w:top w:val="single" w:sz="12" w:space="0" w:color="auto"/>
              <w:left w:val="single" w:sz="12" w:space="0" w:color="auto"/>
              <w:right w:val="single" w:sz="12" w:space="0" w:color="auto"/>
            </w:tcBorders>
          </w:tcPr>
          <w:p w14:paraId="6C8392E0" w14:textId="77777777" w:rsidR="00E12F9F" w:rsidRPr="00E12F9F" w:rsidRDefault="00E12F9F" w:rsidP="00674F82">
            <w:pPr>
              <w:spacing w:after="0" w:line="240" w:lineRule="auto"/>
              <w:rPr>
                <w:b/>
                <w:bCs/>
              </w:rPr>
            </w:pPr>
            <w:r w:rsidRPr="00E12F9F">
              <w:rPr>
                <w:b/>
                <w:bCs/>
              </w:rPr>
              <w:t>Equipment</w:t>
            </w:r>
          </w:p>
        </w:tc>
        <w:tc>
          <w:tcPr>
            <w:tcW w:w="1554" w:type="dxa"/>
            <w:tcBorders>
              <w:top w:val="single" w:sz="12" w:space="0" w:color="auto"/>
              <w:left w:val="single" w:sz="12" w:space="0" w:color="auto"/>
            </w:tcBorders>
          </w:tcPr>
          <w:p w14:paraId="0EA68D92" w14:textId="77777777" w:rsidR="00E12F9F" w:rsidRPr="00E12F9F" w:rsidRDefault="00E12F9F" w:rsidP="00674F82">
            <w:pPr>
              <w:spacing w:after="0" w:line="240" w:lineRule="auto"/>
              <w:jc w:val="center"/>
              <w:rPr>
                <w:b/>
                <w:bCs/>
              </w:rPr>
            </w:pPr>
            <w:r w:rsidRPr="00E12F9F">
              <w:rPr>
                <w:b/>
                <w:bCs/>
              </w:rPr>
              <w:t>0</w:t>
            </w:r>
          </w:p>
        </w:tc>
        <w:tc>
          <w:tcPr>
            <w:tcW w:w="1840" w:type="dxa"/>
            <w:tcBorders>
              <w:top w:val="single" w:sz="12" w:space="0" w:color="auto"/>
              <w:right w:val="single" w:sz="12" w:space="0" w:color="auto"/>
            </w:tcBorders>
          </w:tcPr>
          <w:p w14:paraId="2691C6A0" w14:textId="77777777" w:rsidR="00E12F9F" w:rsidRPr="00E12F9F" w:rsidRDefault="00E12F9F" w:rsidP="00674F82">
            <w:pPr>
              <w:spacing w:after="0" w:line="240" w:lineRule="auto"/>
              <w:jc w:val="center"/>
              <w:rPr>
                <w:b/>
                <w:bCs/>
              </w:rPr>
            </w:pPr>
            <w:r w:rsidRPr="00E12F9F">
              <w:rPr>
                <w:b/>
                <w:bCs/>
              </w:rPr>
              <w:t>17</w:t>
            </w:r>
          </w:p>
        </w:tc>
        <w:tc>
          <w:tcPr>
            <w:tcW w:w="1554" w:type="dxa"/>
            <w:tcBorders>
              <w:top w:val="single" w:sz="12" w:space="0" w:color="auto"/>
              <w:left w:val="single" w:sz="12" w:space="0" w:color="auto"/>
            </w:tcBorders>
          </w:tcPr>
          <w:p w14:paraId="417D9E86" w14:textId="77777777" w:rsidR="00E12F9F" w:rsidRPr="00E12F9F" w:rsidRDefault="00E12F9F" w:rsidP="00674F82">
            <w:pPr>
              <w:spacing w:after="0" w:line="240" w:lineRule="auto"/>
              <w:jc w:val="center"/>
              <w:rPr>
                <w:b/>
                <w:bCs/>
              </w:rPr>
            </w:pPr>
            <w:r w:rsidRPr="00E12F9F">
              <w:rPr>
                <w:b/>
                <w:bCs/>
              </w:rPr>
              <w:t>2</w:t>
            </w:r>
          </w:p>
        </w:tc>
        <w:tc>
          <w:tcPr>
            <w:tcW w:w="1648" w:type="dxa"/>
            <w:tcBorders>
              <w:top w:val="single" w:sz="12" w:space="0" w:color="auto"/>
              <w:right w:val="single" w:sz="12" w:space="0" w:color="auto"/>
            </w:tcBorders>
          </w:tcPr>
          <w:p w14:paraId="0B374F94" w14:textId="77777777" w:rsidR="00E12F9F" w:rsidRPr="00E12F9F" w:rsidRDefault="00E12F9F" w:rsidP="00674F82">
            <w:pPr>
              <w:spacing w:after="0" w:line="240" w:lineRule="auto"/>
              <w:jc w:val="center"/>
              <w:rPr>
                <w:b/>
                <w:bCs/>
              </w:rPr>
            </w:pPr>
            <w:r w:rsidRPr="00E12F9F">
              <w:rPr>
                <w:b/>
                <w:bCs/>
              </w:rPr>
              <w:t>17</w:t>
            </w:r>
          </w:p>
        </w:tc>
      </w:tr>
      <w:tr w:rsidR="00E12F9F" w:rsidRPr="00E12F9F" w14:paraId="0E049278" w14:textId="77777777" w:rsidTr="00674F82">
        <w:tc>
          <w:tcPr>
            <w:tcW w:w="2400" w:type="dxa"/>
            <w:tcBorders>
              <w:left w:val="single" w:sz="12" w:space="0" w:color="auto"/>
              <w:right w:val="single" w:sz="12" w:space="0" w:color="auto"/>
            </w:tcBorders>
          </w:tcPr>
          <w:p w14:paraId="37BFCD84" w14:textId="77777777" w:rsidR="00E12F9F" w:rsidRPr="00E12F9F" w:rsidRDefault="00E12F9F" w:rsidP="00674F82">
            <w:pPr>
              <w:spacing w:after="0" w:line="240" w:lineRule="auto"/>
            </w:pPr>
            <w:r w:rsidRPr="00E12F9F">
              <w:t xml:space="preserve">     Loom</w:t>
            </w:r>
          </w:p>
        </w:tc>
        <w:tc>
          <w:tcPr>
            <w:tcW w:w="1554" w:type="dxa"/>
            <w:tcBorders>
              <w:left w:val="single" w:sz="12" w:space="0" w:color="auto"/>
            </w:tcBorders>
          </w:tcPr>
          <w:p w14:paraId="543C1CD0" w14:textId="77777777" w:rsidR="00E12F9F" w:rsidRPr="00E12F9F" w:rsidRDefault="00E12F9F" w:rsidP="00674F82">
            <w:pPr>
              <w:spacing w:after="0" w:line="240" w:lineRule="auto"/>
              <w:jc w:val="center"/>
            </w:pPr>
            <w:r w:rsidRPr="00E12F9F">
              <w:t>0</w:t>
            </w:r>
          </w:p>
        </w:tc>
        <w:tc>
          <w:tcPr>
            <w:tcW w:w="1840" w:type="dxa"/>
            <w:tcBorders>
              <w:right w:val="single" w:sz="12" w:space="0" w:color="auto"/>
            </w:tcBorders>
          </w:tcPr>
          <w:p w14:paraId="212A4BEE" w14:textId="77777777" w:rsidR="00E12F9F" w:rsidRPr="00E12F9F" w:rsidRDefault="00E12F9F" w:rsidP="00674F82">
            <w:pPr>
              <w:spacing w:after="0" w:line="240" w:lineRule="auto"/>
              <w:jc w:val="center"/>
            </w:pPr>
            <w:r w:rsidRPr="00E12F9F">
              <w:t>1</w:t>
            </w:r>
          </w:p>
        </w:tc>
        <w:tc>
          <w:tcPr>
            <w:tcW w:w="1554" w:type="dxa"/>
            <w:tcBorders>
              <w:left w:val="single" w:sz="12" w:space="0" w:color="auto"/>
            </w:tcBorders>
          </w:tcPr>
          <w:p w14:paraId="6EAFA04E" w14:textId="77777777" w:rsidR="00E12F9F" w:rsidRPr="00E12F9F" w:rsidRDefault="00E12F9F" w:rsidP="00674F82">
            <w:pPr>
              <w:spacing w:after="0" w:line="240" w:lineRule="auto"/>
              <w:jc w:val="center"/>
            </w:pPr>
            <w:r w:rsidRPr="00E12F9F">
              <w:t>2</w:t>
            </w:r>
          </w:p>
        </w:tc>
        <w:tc>
          <w:tcPr>
            <w:tcW w:w="1648" w:type="dxa"/>
            <w:tcBorders>
              <w:right w:val="single" w:sz="12" w:space="0" w:color="auto"/>
            </w:tcBorders>
          </w:tcPr>
          <w:p w14:paraId="62A5CF0A" w14:textId="77777777" w:rsidR="00E12F9F" w:rsidRPr="00E12F9F" w:rsidRDefault="00E12F9F" w:rsidP="00674F82">
            <w:pPr>
              <w:spacing w:after="0" w:line="240" w:lineRule="auto"/>
              <w:jc w:val="center"/>
            </w:pPr>
            <w:r w:rsidRPr="00E12F9F">
              <w:t>4</w:t>
            </w:r>
          </w:p>
        </w:tc>
      </w:tr>
      <w:tr w:rsidR="00E12F9F" w:rsidRPr="00E12F9F" w14:paraId="19C01C6C" w14:textId="77777777" w:rsidTr="00674F82">
        <w:tc>
          <w:tcPr>
            <w:tcW w:w="2400" w:type="dxa"/>
            <w:tcBorders>
              <w:left w:val="single" w:sz="12" w:space="0" w:color="auto"/>
              <w:right w:val="single" w:sz="12" w:space="0" w:color="auto"/>
            </w:tcBorders>
          </w:tcPr>
          <w:p w14:paraId="6073C548" w14:textId="77777777" w:rsidR="00E12F9F" w:rsidRPr="00E12F9F" w:rsidRDefault="00E12F9F" w:rsidP="00674F82">
            <w:pPr>
              <w:spacing w:after="0" w:line="240" w:lineRule="auto"/>
            </w:pPr>
            <w:r w:rsidRPr="00E12F9F">
              <w:t xml:space="preserve">     Spinning Wheel</w:t>
            </w:r>
          </w:p>
        </w:tc>
        <w:tc>
          <w:tcPr>
            <w:tcW w:w="1554" w:type="dxa"/>
            <w:tcBorders>
              <w:left w:val="single" w:sz="12" w:space="0" w:color="auto"/>
            </w:tcBorders>
          </w:tcPr>
          <w:p w14:paraId="54644421" w14:textId="77777777" w:rsidR="00E12F9F" w:rsidRPr="00E12F9F" w:rsidRDefault="00E12F9F" w:rsidP="00674F82">
            <w:pPr>
              <w:spacing w:after="0" w:line="240" w:lineRule="auto"/>
              <w:jc w:val="center"/>
            </w:pPr>
            <w:r w:rsidRPr="00E12F9F">
              <w:t>0</w:t>
            </w:r>
          </w:p>
        </w:tc>
        <w:tc>
          <w:tcPr>
            <w:tcW w:w="1840" w:type="dxa"/>
            <w:tcBorders>
              <w:right w:val="single" w:sz="12" w:space="0" w:color="auto"/>
            </w:tcBorders>
          </w:tcPr>
          <w:p w14:paraId="25969230" w14:textId="77777777" w:rsidR="00E12F9F" w:rsidRPr="00E12F9F" w:rsidRDefault="00E12F9F" w:rsidP="00674F82">
            <w:pPr>
              <w:spacing w:after="0" w:line="240" w:lineRule="auto"/>
              <w:jc w:val="center"/>
            </w:pPr>
            <w:r w:rsidRPr="00E12F9F">
              <w:t>14</w:t>
            </w:r>
          </w:p>
        </w:tc>
        <w:tc>
          <w:tcPr>
            <w:tcW w:w="1554" w:type="dxa"/>
            <w:tcBorders>
              <w:left w:val="single" w:sz="12" w:space="0" w:color="auto"/>
            </w:tcBorders>
          </w:tcPr>
          <w:p w14:paraId="1C72FA01" w14:textId="77777777" w:rsidR="00E12F9F" w:rsidRPr="00E12F9F" w:rsidRDefault="00E12F9F" w:rsidP="00674F82">
            <w:pPr>
              <w:spacing w:after="0" w:line="240" w:lineRule="auto"/>
              <w:jc w:val="center"/>
            </w:pPr>
            <w:r w:rsidRPr="00E12F9F">
              <w:t>0</w:t>
            </w:r>
          </w:p>
        </w:tc>
        <w:tc>
          <w:tcPr>
            <w:tcW w:w="1648" w:type="dxa"/>
            <w:tcBorders>
              <w:right w:val="single" w:sz="12" w:space="0" w:color="auto"/>
            </w:tcBorders>
          </w:tcPr>
          <w:p w14:paraId="01EDC58B" w14:textId="77777777" w:rsidR="00E12F9F" w:rsidRPr="00E12F9F" w:rsidRDefault="00E12F9F" w:rsidP="00674F82">
            <w:pPr>
              <w:spacing w:after="0" w:line="240" w:lineRule="auto"/>
              <w:jc w:val="center"/>
            </w:pPr>
            <w:r w:rsidRPr="00E12F9F">
              <w:t>14</w:t>
            </w:r>
          </w:p>
        </w:tc>
      </w:tr>
      <w:tr w:rsidR="00E12F9F" w:rsidRPr="00E12F9F" w14:paraId="4072365B" w14:textId="77777777" w:rsidTr="00674F82">
        <w:tc>
          <w:tcPr>
            <w:tcW w:w="2400" w:type="dxa"/>
            <w:tcBorders>
              <w:left w:val="single" w:sz="12" w:space="0" w:color="auto"/>
              <w:right w:val="single" w:sz="12" w:space="0" w:color="auto"/>
            </w:tcBorders>
          </w:tcPr>
          <w:p w14:paraId="7A0F142E" w14:textId="77777777" w:rsidR="00E12F9F" w:rsidRPr="00E12F9F" w:rsidRDefault="00E12F9F" w:rsidP="00674F82">
            <w:pPr>
              <w:spacing w:after="0" w:line="240" w:lineRule="auto"/>
            </w:pPr>
            <w:r w:rsidRPr="00E12F9F">
              <w:t xml:space="preserve">     Heckle</w:t>
            </w:r>
          </w:p>
        </w:tc>
        <w:tc>
          <w:tcPr>
            <w:tcW w:w="1554" w:type="dxa"/>
            <w:tcBorders>
              <w:left w:val="single" w:sz="12" w:space="0" w:color="auto"/>
            </w:tcBorders>
          </w:tcPr>
          <w:p w14:paraId="2F861B5A" w14:textId="77777777" w:rsidR="00E12F9F" w:rsidRPr="00E12F9F" w:rsidRDefault="00E12F9F" w:rsidP="00674F82">
            <w:pPr>
              <w:spacing w:after="0" w:line="240" w:lineRule="auto"/>
              <w:jc w:val="center"/>
            </w:pPr>
            <w:r w:rsidRPr="00E12F9F">
              <w:t>0</w:t>
            </w:r>
          </w:p>
        </w:tc>
        <w:tc>
          <w:tcPr>
            <w:tcW w:w="1840" w:type="dxa"/>
            <w:tcBorders>
              <w:right w:val="single" w:sz="12" w:space="0" w:color="auto"/>
            </w:tcBorders>
          </w:tcPr>
          <w:p w14:paraId="46D4223D" w14:textId="77777777" w:rsidR="00E12F9F" w:rsidRPr="00E12F9F" w:rsidRDefault="00E12F9F" w:rsidP="00674F82">
            <w:pPr>
              <w:spacing w:after="0" w:line="240" w:lineRule="auto"/>
              <w:jc w:val="center"/>
            </w:pPr>
            <w:r w:rsidRPr="00E12F9F">
              <w:t>2</w:t>
            </w:r>
          </w:p>
        </w:tc>
        <w:tc>
          <w:tcPr>
            <w:tcW w:w="1554" w:type="dxa"/>
            <w:tcBorders>
              <w:left w:val="single" w:sz="12" w:space="0" w:color="auto"/>
            </w:tcBorders>
          </w:tcPr>
          <w:p w14:paraId="53325022" w14:textId="77777777" w:rsidR="00E12F9F" w:rsidRPr="00E12F9F" w:rsidRDefault="00E12F9F" w:rsidP="00674F82">
            <w:pPr>
              <w:spacing w:after="0" w:line="240" w:lineRule="auto"/>
              <w:jc w:val="center"/>
            </w:pPr>
            <w:r w:rsidRPr="00E12F9F">
              <w:t>0</w:t>
            </w:r>
          </w:p>
        </w:tc>
        <w:tc>
          <w:tcPr>
            <w:tcW w:w="1648" w:type="dxa"/>
            <w:tcBorders>
              <w:right w:val="single" w:sz="12" w:space="0" w:color="auto"/>
            </w:tcBorders>
          </w:tcPr>
          <w:p w14:paraId="4C38F740" w14:textId="77777777" w:rsidR="00E12F9F" w:rsidRPr="00E12F9F" w:rsidRDefault="00E12F9F" w:rsidP="00674F82">
            <w:pPr>
              <w:spacing w:after="0" w:line="240" w:lineRule="auto"/>
              <w:jc w:val="center"/>
            </w:pPr>
            <w:r w:rsidRPr="00E12F9F">
              <w:t>0</w:t>
            </w:r>
          </w:p>
        </w:tc>
      </w:tr>
      <w:tr w:rsidR="00E12F9F" w:rsidRPr="00E12F9F" w14:paraId="5B783BDF" w14:textId="77777777" w:rsidTr="00674F82">
        <w:tc>
          <w:tcPr>
            <w:tcW w:w="2400" w:type="dxa"/>
            <w:tcBorders>
              <w:left w:val="single" w:sz="12" w:space="0" w:color="auto"/>
              <w:bottom w:val="single" w:sz="12" w:space="0" w:color="auto"/>
              <w:right w:val="single" w:sz="12" w:space="0" w:color="auto"/>
            </w:tcBorders>
          </w:tcPr>
          <w:p w14:paraId="789C0E4E" w14:textId="77777777" w:rsidR="00E12F9F" w:rsidRPr="00E12F9F" w:rsidRDefault="00E12F9F" w:rsidP="00674F82">
            <w:pPr>
              <w:spacing w:after="0" w:line="240" w:lineRule="auto"/>
            </w:pPr>
            <w:r w:rsidRPr="00E12F9F">
              <w:t xml:space="preserve">     Wool Cards</w:t>
            </w:r>
          </w:p>
        </w:tc>
        <w:tc>
          <w:tcPr>
            <w:tcW w:w="1554" w:type="dxa"/>
            <w:tcBorders>
              <w:left w:val="single" w:sz="12" w:space="0" w:color="auto"/>
              <w:bottom w:val="single" w:sz="12" w:space="0" w:color="auto"/>
            </w:tcBorders>
          </w:tcPr>
          <w:p w14:paraId="15DDD0F5" w14:textId="77777777" w:rsidR="00E12F9F" w:rsidRPr="00E12F9F" w:rsidRDefault="00E12F9F" w:rsidP="00674F82">
            <w:pPr>
              <w:spacing w:after="0" w:line="240" w:lineRule="auto"/>
              <w:jc w:val="center"/>
            </w:pPr>
            <w:r w:rsidRPr="00E12F9F">
              <w:t>0</w:t>
            </w:r>
          </w:p>
        </w:tc>
        <w:tc>
          <w:tcPr>
            <w:tcW w:w="1840" w:type="dxa"/>
            <w:tcBorders>
              <w:bottom w:val="single" w:sz="12" w:space="0" w:color="auto"/>
              <w:right w:val="single" w:sz="12" w:space="0" w:color="auto"/>
            </w:tcBorders>
          </w:tcPr>
          <w:p w14:paraId="79A5FBFA" w14:textId="77777777" w:rsidR="00E12F9F" w:rsidRPr="00E12F9F" w:rsidRDefault="00E12F9F" w:rsidP="00674F82">
            <w:pPr>
              <w:spacing w:after="0" w:line="240" w:lineRule="auto"/>
              <w:jc w:val="center"/>
            </w:pPr>
            <w:r w:rsidRPr="00E12F9F">
              <w:t>3</w:t>
            </w:r>
          </w:p>
        </w:tc>
        <w:tc>
          <w:tcPr>
            <w:tcW w:w="1554" w:type="dxa"/>
            <w:tcBorders>
              <w:left w:val="single" w:sz="12" w:space="0" w:color="auto"/>
              <w:bottom w:val="single" w:sz="12" w:space="0" w:color="auto"/>
            </w:tcBorders>
          </w:tcPr>
          <w:p w14:paraId="6FC08FC4" w14:textId="77777777" w:rsidR="00E12F9F" w:rsidRPr="00E12F9F" w:rsidRDefault="00E12F9F" w:rsidP="00674F82">
            <w:pPr>
              <w:spacing w:after="0" w:line="240" w:lineRule="auto"/>
              <w:jc w:val="center"/>
            </w:pPr>
            <w:r w:rsidRPr="00E12F9F">
              <w:t>0</w:t>
            </w:r>
          </w:p>
        </w:tc>
        <w:tc>
          <w:tcPr>
            <w:tcW w:w="1648" w:type="dxa"/>
            <w:tcBorders>
              <w:bottom w:val="single" w:sz="12" w:space="0" w:color="auto"/>
              <w:right w:val="single" w:sz="12" w:space="0" w:color="auto"/>
            </w:tcBorders>
          </w:tcPr>
          <w:p w14:paraId="49584C69" w14:textId="77777777" w:rsidR="00E12F9F" w:rsidRPr="00E12F9F" w:rsidRDefault="00E12F9F" w:rsidP="00674F82">
            <w:pPr>
              <w:spacing w:after="0" w:line="240" w:lineRule="auto"/>
              <w:jc w:val="center"/>
            </w:pPr>
            <w:r w:rsidRPr="00E12F9F">
              <w:t>1</w:t>
            </w:r>
          </w:p>
        </w:tc>
      </w:tr>
      <w:tr w:rsidR="00E12F9F" w:rsidRPr="00E12F9F" w14:paraId="01CBBE66" w14:textId="77777777" w:rsidTr="00674F82">
        <w:tc>
          <w:tcPr>
            <w:tcW w:w="2400" w:type="dxa"/>
            <w:tcBorders>
              <w:top w:val="single" w:sz="12" w:space="0" w:color="auto"/>
              <w:left w:val="single" w:sz="12" w:space="0" w:color="auto"/>
              <w:right w:val="single" w:sz="12" w:space="0" w:color="auto"/>
            </w:tcBorders>
          </w:tcPr>
          <w:p w14:paraId="2E9DD126" w14:textId="77777777" w:rsidR="00E12F9F" w:rsidRPr="00E12F9F" w:rsidRDefault="00E12F9F" w:rsidP="00674F82">
            <w:pPr>
              <w:spacing w:after="0" w:line="240" w:lineRule="auto"/>
              <w:rPr>
                <w:b/>
                <w:bCs/>
              </w:rPr>
            </w:pPr>
            <w:r w:rsidRPr="00E12F9F">
              <w:rPr>
                <w:b/>
                <w:bCs/>
              </w:rPr>
              <w:t>Yarn</w:t>
            </w:r>
          </w:p>
        </w:tc>
        <w:tc>
          <w:tcPr>
            <w:tcW w:w="1554" w:type="dxa"/>
            <w:tcBorders>
              <w:top w:val="single" w:sz="12" w:space="0" w:color="auto"/>
              <w:left w:val="single" w:sz="12" w:space="0" w:color="auto"/>
            </w:tcBorders>
          </w:tcPr>
          <w:p w14:paraId="776D714C" w14:textId="77777777" w:rsidR="00E12F9F" w:rsidRPr="00E12F9F" w:rsidRDefault="00E12F9F" w:rsidP="00674F82">
            <w:pPr>
              <w:spacing w:after="0" w:line="240" w:lineRule="auto"/>
              <w:jc w:val="center"/>
              <w:rPr>
                <w:b/>
                <w:bCs/>
              </w:rPr>
            </w:pPr>
            <w:r w:rsidRPr="00E12F9F">
              <w:rPr>
                <w:b/>
                <w:bCs/>
              </w:rPr>
              <w:t>0</w:t>
            </w:r>
          </w:p>
        </w:tc>
        <w:tc>
          <w:tcPr>
            <w:tcW w:w="1840" w:type="dxa"/>
            <w:tcBorders>
              <w:top w:val="single" w:sz="12" w:space="0" w:color="auto"/>
              <w:right w:val="single" w:sz="12" w:space="0" w:color="auto"/>
            </w:tcBorders>
          </w:tcPr>
          <w:p w14:paraId="3CA0704A" w14:textId="77777777" w:rsidR="00E12F9F" w:rsidRPr="00E12F9F" w:rsidRDefault="00E12F9F" w:rsidP="00674F82">
            <w:pPr>
              <w:spacing w:after="0" w:line="240" w:lineRule="auto"/>
              <w:jc w:val="center"/>
              <w:rPr>
                <w:b/>
                <w:bCs/>
              </w:rPr>
            </w:pPr>
            <w:r w:rsidRPr="00E12F9F">
              <w:rPr>
                <w:b/>
                <w:bCs/>
              </w:rPr>
              <w:t>24</w:t>
            </w:r>
          </w:p>
        </w:tc>
        <w:tc>
          <w:tcPr>
            <w:tcW w:w="1554" w:type="dxa"/>
            <w:tcBorders>
              <w:top w:val="single" w:sz="12" w:space="0" w:color="auto"/>
              <w:left w:val="single" w:sz="12" w:space="0" w:color="auto"/>
            </w:tcBorders>
          </w:tcPr>
          <w:p w14:paraId="72008E23" w14:textId="77777777" w:rsidR="00E12F9F" w:rsidRPr="00E12F9F" w:rsidRDefault="00E12F9F" w:rsidP="00674F82">
            <w:pPr>
              <w:spacing w:after="0" w:line="240" w:lineRule="auto"/>
              <w:jc w:val="center"/>
              <w:rPr>
                <w:b/>
                <w:bCs/>
              </w:rPr>
            </w:pPr>
            <w:r w:rsidRPr="00E12F9F">
              <w:rPr>
                <w:b/>
                <w:bCs/>
              </w:rPr>
              <w:t>0</w:t>
            </w:r>
          </w:p>
        </w:tc>
        <w:tc>
          <w:tcPr>
            <w:tcW w:w="1648" w:type="dxa"/>
            <w:tcBorders>
              <w:top w:val="single" w:sz="12" w:space="0" w:color="auto"/>
              <w:right w:val="single" w:sz="12" w:space="0" w:color="auto"/>
            </w:tcBorders>
          </w:tcPr>
          <w:p w14:paraId="1A59CAF4" w14:textId="77777777" w:rsidR="00E12F9F" w:rsidRPr="00E12F9F" w:rsidRDefault="00E12F9F" w:rsidP="00674F82">
            <w:pPr>
              <w:spacing w:after="0" w:line="240" w:lineRule="auto"/>
              <w:jc w:val="center"/>
              <w:rPr>
                <w:b/>
                <w:bCs/>
              </w:rPr>
            </w:pPr>
            <w:r w:rsidRPr="00E12F9F">
              <w:rPr>
                <w:b/>
                <w:bCs/>
              </w:rPr>
              <w:t>12</w:t>
            </w:r>
          </w:p>
        </w:tc>
      </w:tr>
      <w:tr w:rsidR="00E12F9F" w:rsidRPr="00E12F9F" w14:paraId="398B570C" w14:textId="77777777" w:rsidTr="00674F82">
        <w:tc>
          <w:tcPr>
            <w:tcW w:w="2400" w:type="dxa"/>
            <w:tcBorders>
              <w:left w:val="single" w:sz="12" w:space="0" w:color="auto"/>
              <w:right w:val="single" w:sz="12" w:space="0" w:color="auto"/>
            </w:tcBorders>
          </w:tcPr>
          <w:p w14:paraId="0053F4AC" w14:textId="77777777" w:rsidR="00E12F9F" w:rsidRPr="00E12F9F" w:rsidRDefault="00E12F9F" w:rsidP="00674F82">
            <w:pPr>
              <w:spacing w:after="0" w:line="240" w:lineRule="auto"/>
            </w:pPr>
            <w:r w:rsidRPr="00E12F9F">
              <w:t xml:space="preserve">     Woollen</w:t>
            </w:r>
          </w:p>
        </w:tc>
        <w:tc>
          <w:tcPr>
            <w:tcW w:w="1554" w:type="dxa"/>
            <w:tcBorders>
              <w:left w:val="single" w:sz="12" w:space="0" w:color="auto"/>
            </w:tcBorders>
          </w:tcPr>
          <w:p w14:paraId="2FDE2502" w14:textId="77777777" w:rsidR="00E12F9F" w:rsidRPr="00E12F9F" w:rsidRDefault="00E12F9F" w:rsidP="00674F82">
            <w:pPr>
              <w:spacing w:after="0" w:line="240" w:lineRule="auto"/>
              <w:jc w:val="center"/>
            </w:pPr>
            <w:r w:rsidRPr="00E12F9F">
              <w:t>0</w:t>
            </w:r>
          </w:p>
        </w:tc>
        <w:tc>
          <w:tcPr>
            <w:tcW w:w="1840" w:type="dxa"/>
            <w:tcBorders>
              <w:right w:val="single" w:sz="12" w:space="0" w:color="auto"/>
            </w:tcBorders>
          </w:tcPr>
          <w:p w14:paraId="783E82E0" w14:textId="77777777" w:rsidR="00E12F9F" w:rsidRPr="00E12F9F" w:rsidRDefault="00E12F9F" w:rsidP="00674F82">
            <w:pPr>
              <w:spacing w:after="0" w:line="240" w:lineRule="auto"/>
              <w:jc w:val="center"/>
            </w:pPr>
            <w:r w:rsidRPr="00E12F9F">
              <w:t>2</w:t>
            </w:r>
          </w:p>
        </w:tc>
        <w:tc>
          <w:tcPr>
            <w:tcW w:w="1554" w:type="dxa"/>
            <w:tcBorders>
              <w:left w:val="single" w:sz="12" w:space="0" w:color="auto"/>
            </w:tcBorders>
          </w:tcPr>
          <w:p w14:paraId="112FD46C" w14:textId="77777777" w:rsidR="00E12F9F" w:rsidRPr="00E12F9F" w:rsidRDefault="00E12F9F" w:rsidP="00674F82">
            <w:pPr>
              <w:spacing w:after="0" w:line="240" w:lineRule="auto"/>
              <w:jc w:val="center"/>
            </w:pPr>
            <w:r w:rsidRPr="00E12F9F">
              <w:t>0</w:t>
            </w:r>
          </w:p>
        </w:tc>
        <w:tc>
          <w:tcPr>
            <w:tcW w:w="1648" w:type="dxa"/>
            <w:tcBorders>
              <w:right w:val="single" w:sz="12" w:space="0" w:color="auto"/>
            </w:tcBorders>
          </w:tcPr>
          <w:p w14:paraId="72F4EF40" w14:textId="77777777" w:rsidR="00E12F9F" w:rsidRPr="00E12F9F" w:rsidRDefault="00E12F9F" w:rsidP="00674F82">
            <w:pPr>
              <w:spacing w:after="0" w:line="240" w:lineRule="auto"/>
              <w:jc w:val="center"/>
            </w:pPr>
            <w:r w:rsidRPr="00E12F9F">
              <w:t>0</w:t>
            </w:r>
          </w:p>
        </w:tc>
      </w:tr>
      <w:tr w:rsidR="00E12F9F" w:rsidRPr="00E12F9F" w14:paraId="49344592" w14:textId="77777777" w:rsidTr="00674F82">
        <w:tc>
          <w:tcPr>
            <w:tcW w:w="2400" w:type="dxa"/>
            <w:tcBorders>
              <w:left w:val="single" w:sz="12" w:space="0" w:color="auto"/>
              <w:right w:val="single" w:sz="12" w:space="0" w:color="auto"/>
            </w:tcBorders>
          </w:tcPr>
          <w:p w14:paraId="3197374F" w14:textId="77777777" w:rsidR="00E12F9F" w:rsidRPr="00E12F9F" w:rsidRDefault="00E12F9F" w:rsidP="00674F82">
            <w:pPr>
              <w:spacing w:after="0" w:line="240" w:lineRule="auto"/>
            </w:pPr>
            <w:r w:rsidRPr="00E12F9F">
              <w:t xml:space="preserve">     Linen / flax</w:t>
            </w:r>
          </w:p>
        </w:tc>
        <w:tc>
          <w:tcPr>
            <w:tcW w:w="1554" w:type="dxa"/>
            <w:tcBorders>
              <w:left w:val="single" w:sz="12" w:space="0" w:color="auto"/>
            </w:tcBorders>
          </w:tcPr>
          <w:p w14:paraId="1131A446" w14:textId="77777777" w:rsidR="00E12F9F" w:rsidRPr="00E12F9F" w:rsidRDefault="00E12F9F" w:rsidP="00674F82">
            <w:pPr>
              <w:spacing w:after="0" w:line="240" w:lineRule="auto"/>
              <w:jc w:val="center"/>
            </w:pPr>
            <w:r w:rsidRPr="00E12F9F">
              <w:t>0</w:t>
            </w:r>
          </w:p>
        </w:tc>
        <w:tc>
          <w:tcPr>
            <w:tcW w:w="1840" w:type="dxa"/>
            <w:tcBorders>
              <w:right w:val="single" w:sz="12" w:space="0" w:color="auto"/>
            </w:tcBorders>
          </w:tcPr>
          <w:p w14:paraId="3877CB5A" w14:textId="77777777" w:rsidR="00E12F9F" w:rsidRPr="00E12F9F" w:rsidRDefault="00E12F9F" w:rsidP="00674F82">
            <w:pPr>
              <w:spacing w:after="0" w:line="240" w:lineRule="auto"/>
              <w:jc w:val="center"/>
            </w:pPr>
            <w:r w:rsidRPr="00E12F9F">
              <w:t>2</w:t>
            </w:r>
          </w:p>
        </w:tc>
        <w:tc>
          <w:tcPr>
            <w:tcW w:w="1554" w:type="dxa"/>
            <w:tcBorders>
              <w:left w:val="single" w:sz="12" w:space="0" w:color="auto"/>
            </w:tcBorders>
          </w:tcPr>
          <w:p w14:paraId="66C0FED4" w14:textId="77777777" w:rsidR="00E12F9F" w:rsidRPr="00E12F9F" w:rsidRDefault="00E12F9F" w:rsidP="00674F82">
            <w:pPr>
              <w:spacing w:after="0" w:line="240" w:lineRule="auto"/>
              <w:jc w:val="center"/>
            </w:pPr>
            <w:r w:rsidRPr="00E12F9F">
              <w:t>0</w:t>
            </w:r>
          </w:p>
        </w:tc>
        <w:tc>
          <w:tcPr>
            <w:tcW w:w="1648" w:type="dxa"/>
            <w:tcBorders>
              <w:right w:val="single" w:sz="12" w:space="0" w:color="auto"/>
            </w:tcBorders>
          </w:tcPr>
          <w:p w14:paraId="14FD01A1" w14:textId="77777777" w:rsidR="00E12F9F" w:rsidRPr="00E12F9F" w:rsidRDefault="00E12F9F" w:rsidP="00674F82">
            <w:pPr>
              <w:spacing w:after="0" w:line="240" w:lineRule="auto"/>
              <w:jc w:val="center"/>
            </w:pPr>
            <w:r w:rsidRPr="00E12F9F">
              <w:t>6</w:t>
            </w:r>
          </w:p>
        </w:tc>
      </w:tr>
      <w:tr w:rsidR="00E12F9F" w:rsidRPr="00E12F9F" w14:paraId="3551EAD8" w14:textId="77777777" w:rsidTr="00674F82">
        <w:tc>
          <w:tcPr>
            <w:tcW w:w="2400" w:type="dxa"/>
            <w:tcBorders>
              <w:left w:val="single" w:sz="12" w:space="0" w:color="auto"/>
              <w:bottom w:val="single" w:sz="12" w:space="0" w:color="auto"/>
              <w:right w:val="single" w:sz="12" w:space="0" w:color="auto"/>
            </w:tcBorders>
          </w:tcPr>
          <w:p w14:paraId="755DC1D6" w14:textId="77777777" w:rsidR="00E12F9F" w:rsidRPr="00E12F9F" w:rsidRDefault="00E12F9F" w:rsidP="00674F82">
            <w:pPr>
              <w:spacing w:after="0" w:line="240" w:lineRule="auto"/>
            </w:pPr>
            <w:r w:rsidRPr="00E12F9F">
              <w:t xml:space="preserve">     Hemp</w:t>
            </w:r>
          </w:p>
        </w:tc>
        <w:tc>
          <w:tcPr>
            <w:tcW w:w="1554" w:type="dxa"/>
            <w:tcBorders>
              <w:left w:val="single" w:sz="12" w:space="0" w:color="auto"/>
              <w:bottom w:val="single" w:sz="12" w:space="0" w:color="auto"/>
            </w:tcBorders>
          </w:tcPr>
          <w:p w14:paraId="28E219BE" w14:textId="77777777" w:rsidR="00E12F9F" w:rsidRPr="00E12F9F" w:rsidRDefault="00E12F9F" w:rsidP="00674F82">
            <w:pPr>
              <w:spacing w:after="0" w:line="240" w:lineRule="auto"/>
              <w:jc w:val="center"/>
            </w:pPr>
            <w:r w:rsidRPr="00E12F9F">
              <w:t>0</w:t>
            </w:r>
          </w:p>
        </w:tc>
        <w:tc>
          <w:tcPr>
            <w:tcW w:w="1840" w:type="dxa"/>
            <w:tcBorders>
              <w:bottom w:val="single" w:sz="12" w:space="0" w:color="auto"/>
              <w:right w:val="single" w:sz="12" w:space="0" w:color="auto"/>
            </w:tcBorders>
          </w:tcPr>
          <w:p w14:paraId="05025030" w14:textId="77777777" w:rsidR="00E12F9F" w:rsidRPr="00E12F9F" w:rsidRDefault="00E12F9F" w:rsidP="00674F82">
            <w:pPr>
              <w:spacing w:after="0" w:line="240" w:lineRule="auto"/>
              <w:jc w:val="center"/>
            </w:pPr>
            <w:r w:rsidRPr="00E12F9F">
              <w:t>9</w:t>
            </w:r>
          </w:p>
        </w:tc>
        <w:tc>
          <w:tcPr>
            <w:tcW w:w="1554" w:type="dxa"/>
            <w:tcBorders>
              <w:left w:val="single" w:sz="12" w:space="0" w:color="auto"/>
              <w:bottom w:val="single" w:sz="12" w:space="0" w:color="auto"/>
            </w:tcBorders>
          </w:tcPr>
          <w:p w14:paraId="44CB03D3" w14:textId="77777777" w:rsidR="00E12F9F" w:rsidRPr="00E12F9F" w:rsidRDefault="00E12F9F" w:rsidP="00674F82">
            <w:pPr>
              <w:spacing w:after="0" w:line="240" w:lineRule="auto"/>
              <w:jc w:val="center"/>
            </w:pPr>
            <w:r w:rsidRPr="00E12F9F">
              <w:t>0</w:t>
            </w:r>
          </w:p>
        </w:tc>
        <w:tc>
          <w:tcPr>
            <w:tcW w:w="1648" w:type="dxa"/>
            <w:tcBorders>
              <w:bottom w:val="single" w:sz="12" w:space="0" w:color="auto"/>
              <w:right w:val="single" w:sz="12" w:space="0" w:color="auto"/>
            </w:tcBorders>
          </w:tcPr>
          <w:p w14:paraId="3B5E8CF2" w14:textId="77777777" w:rsidR="00E12F9F" w:rsidRPr="00E12F9F" w:rsidRDefault="00E12F9F" w:rsidP="00674F82">
            <w:pPr>
              <w:spacing w:after="0" w:line="240" w:lineRule="auto"/>
              <w:jc w:val="center"/>
            </w:pPr>
            <w:r w:rsidRPr="00E12F9F">
              <w:t>0</w:t>
            </w:r>
          </w:p>
        </w:tc>
      </w:tr>
      <w:tr w:rsidR="00E12F9F" w:rsidRPr="00E12F9F" w14:paraId="5BE4DD5B" w14:textId="77777777" w:rsidTr="00674F82">
        <w:tc>
          <w:tcPr>
            <w:tcW w:w="2400" w:type="dxa"/>
            <w:tcBorders>
              <w:top w:val="single" w:sz="12" w:space="0" w:color="auto"/>
              <w:left w:val="single" w:sz="12" w:space="0" w:color="auto"/>
              <w:right w:val="single" w:sz="12" w:space="0" w:color="auto"/>
            </w:tcBorders>
          </w:tcPr>
          <w:p w14:paraId="22AB2C86" w14:textId="77777777" w:rsidR="00E12F9F" w:rsidRPr="00E12F9F" w:rsidRDefault="00E12F9F" w:rsidP="00674F82">
            <w:pPr>
              <w:spacing w:after="0" w:line="240" w:lineRule="auto"/>
              <w:rPr>
                <w:b/>
                <w:bCs/>
              </w:rPr>
            </w:pPr>
            <w:r w:rsidRPr="00E12F9F">
              <w:rPr>
                <w:b/>
                <w:bCs/>
              </w:rPr>
              <w:t>Cloth</w:t>
            </w:r>
          </w:p>
        </w:tc>
        <w:tc>
          <w:tcPr>
            <w:tcW w:w="1554" w:type="dxa"/>
            <w:tcBorders>
              <w:top w:val="single" w:sz="12" w:space="0" w:color="auto"/>
              <w:left w:val="single" w:sz="12" w:space="0" w:color="auto"/>
            </w:tcBorders>
          </w:tcPr>
          <w:p w14:paraId="1BD7D22B" w14:textId="77777777" w:rsidR="00E12F9F" w:rsidRPr="00E12F9F" w:rsidRDefault="00E12F9F" w:rsidP="00674F82">
            <w:pPr>
              <w:spacing w:after="0" w:line="240" w:lineRule="auto"/>
              <w:jc w:val="center"/>
              <w:rPr>
                <w:b/>
                <w:bCs/>
              </w:rPr>
            </w:pPr>
            <w:r w:rsidRPr="00E12F9F">
              <w:rPr>
                <w:b/>
                <w:bCs/>
              </w:rPr>
              <w:t>1</w:t>
            </w:r>
          </w:p>
        </w:tc>
        <w:tc>
          <w:tcPr>
            <w:tcW w:w="1840" w:type="dxa"/>
            <w:tcBorders>
              <w:top w:val="single" w:sz="12" w:space="0" w:color="auto"/>
              <w:right w:val="single" w:sz="12" w:space="0" w:color="auto"/>
            </w:tcBorders>
          </w:tcPr>
          <w:p w14:paraId="41A68C05" w14:textId="77777777" w:rsidR="00E12F9F" w:rsidRPr="00E12F9F" w:rsidRDefault="00E12F9F" w:rsidP="00674F82">
            <w:pPr>
              <w:spacing w:after="0" w:line="240" w:lineRule="auto"/>
              <w:jc w:val="center"/>
              <w:rPr>
                <w:b/>
                <w:bCs/>
              </w:rPr>
            </w:pPr>
            <w:r w:rsidRPr="00E12F9F">
              <w:rPr>
                <w:b/>
                <w:bCs/>
              </w:rPr>
              <w:t>10</w:t>
            </w:r>
          </w:p>
        </w:tc>
        <w:tc>
          <w:tcPr>
            <w:tcW w:w="1554" w:type="dxa"/>
            <w:tcBorders>
              <w:top w:val="single" w:sz="12" w:space="0" w:color="auto"/>
              <w:left w:val="single" w:sz="12" w:space="0" w:color="auto"/>
            </w:tcBorders>
          </w:tcPr>
          <w:p w14:paraId="2D5671D6" w14:textId="77777777" w:rsidR="00E12F9F" w:rsidRPr="00E12F9F" w:rsidRDefault="00E12F9F" w:rsidP="00674F82">
            <w:pPr>
              <w:spacing w:after="0" w:line="240" w:lineRule="auto"/>
              <w:jc w:val="center"/>
              <w:rPr>
                <w:b/>
                <w:bCs/>
              </w:rPr>
            </w:pPr>
            <w:r w:rsidRPr="00E12F9F">
              <w:rPr>
                <w:b/>
                <w:bCs/>
              </w:rPr>
              <w:t>1</w:t>
            </w:r>
          </w:p>
        </w:tc>
        <w:tc>
          <w:tcPr>
            <w:tcW w:w="1648" w:type="dxa"/>
            <w:tcBorders>
              <w:top w:val="single" w:sz="12" w:space="0" w:color="auto"/>
              <w:right w:val="single" w:sz="12" w:space="0" w:color="auto"/>
            </w:tcBorders>
          </w:tcPr>
          <w:p w14:paraId="6859E64C" w14:textId="77777777" w:rsidR="00E12F9F" w:rsidRPr="00E12F9F" w:rsidRDefault="00E12F9F" w:rsidP="00674F82">
            <w:pPr>
              <w:spacing w:after="0" w:line="240" w:lineRule="auto"/>
              <w:jc w:val="center"/>
              <w:rPr>
                <w:b/>
                <w:bCs/>
              </w:rPr>
            </w:pPr>
            <w:r w:rsidRPr="00E12F9F">
              <w:rPr>
                <w:b/>
                <w:bCs/>
              </w:rPr>
              <w:t>14</w:t>
            </w:r>
          </w:p>
        </w:tc>
      </w:tr>
      <w:tr w:rsidR="00E12F9F" w:rsidRPr="00E12F9F" w14:paraId="4996BB64" w14:textId="77777777" w:rsidTr="00674F82">
        <w:tc>
          <w:tcPr>
            <w:tcW w:w="2400" w:type="dxa"/>
            <w:tcBorders>
              <w:left w:val="single" w:sz="12" w:space="0" w:color="auto"/>
              <w:right w:val="single" w:sz="12" w:space="0" w:color="auto"/>
            </w:tcBorders>
          </w:tcPr>
          <w:p w14:paraId="760CCD8A" w14:textId="77777777" w:rsidR="00E12F9F" w:rsidRPr="00E12F9F" w:rsidRDefault="00E12F9F" w:rsidP="00674F82">
            <w:pPr>
              <w:spacing w:after="0" w:line="240" w:lineRule="auto"/>
            </w:pPr>
            <w:r w:rsidRPr="00E12F9F">
              <w:t xml:space="preserve">     Woollen</w:t>
            </w:r>
          </w:p>
        </w:tc>
        <w:tc>
          <w:tcPr>
            <w:tcW w:w="1554" w:type="dxa"/>
            <w:tcBorders>
              <w:left w:val="single" w:sz="12" w:space="0" w:color="auto"/>
            </w:tcBorders>
          </w:tcPr>
          <w:p w14:paraId="64360D09" w14:textId="77777777" w:rsidR="00E12F9F" w:rsidRPr="00E12F9F" w:rsidRDefault="00E12F9F" w:rsidP="00674F82">
            <w:pPr>
              <w:spacing w:after="0" w:line="240" w:lineRule="auto"/>
              <w:jc w:val="center"/>
            </w:pPr>
            <w:r w:rsidRPr="00E12F9F">
              <w:t>0</w:t>
            </w:r>
          </w:p>
        </w:tc>
        <w:tc>
          <w:tcPr>
            <w:tcW w:w="1840" w:type="dxa"/>
            <w:tcBorders>
              <w:right w:val="single" w:sz="12" w:space="0" w:color="auto"/>
            </w:tcBorders>
          </w:tcPr>
          <w:p w14:paraId="089EED50" w14:textId="77777777" w:rsidR="00E12F9F" w:rsidRPr="00E12F9F" w:rsidRDefault="00E12F9F" w:rsidP="00674F82">
            <w:pPr>
              <w:spacing w:after="0" w:line="240" w:lineRule="auto"/>
              <w:jc w:val="center"/>
            </w:pPr>
            <w:r w:rsidRPr="00E12F9F">
              <w:t>4</w:t>
            </w:r>
          </w:p>
        </w:tc>
        <w:tc>
          <w:tcPr>
            <w:tcW w:w="1554" w:type="dxa"/>
            <w:tcBorders>
              <w:left w:val="single" w:sz="12" w:space="0" w:color="auto"/>
            </w:tcBorders>
          </w:tcPr>
          <w:p w14:paraId="5402BDC6" w14:textId="77777777" w:rsidR="00E12F9F" w:rsidRPr="00E12F9F" w:rsidRDefault="00E12F9F" w:rsidP="00674F82">
            <w:pPr>
              <w:spacing w:after="0" w:line="240" w:lineRule="auto"/>
              <w:jc w:val="center"/>
            </w:pPr>
            <w:r w:rsidRPr="00E12F9F">
              <w:t>0</w:t>
            </w:r>
          </w:p>
        </w:tc>
        <w:tc>
          <w:tcPr>
            <w:tcW w:w="1648" w:type="dxa"/>
            <w:tcBorders>
              <w:right w:val="single" w:sz="12" w:space="0" w:color="auto"/>
            </w:tcBorders>
          </w:tcPr>
          <w:p w14:paraId="0837391D" w14:textId="77777777" w:rsidR="00E12F9F" w:rsidRPr="00E12F9F" w:rsidRDefault="00E12F9F" w:rsidP="00674F82">
            <w:pPr>
              <w:spacing w:after="0" w:line="240" w:lineRule="auto"/>
              <w:jc w:val="center"/>
            </w:pPr>
            <w:r w:rsidRPr="00E12F9F">
              <w:t>8</w:t>
            </w:r>
          </w:p>
        </w:tc>
      </w:tr>
      <w:tr w:rsidR="00E12F9F" w:rsidRPr="00E12F9F" w14:paraId="73D905F4" w14:textId="77777777" w:rsidTr="00674F82">
        <w:tc>
          <w:tcPr>
            <w:tcW w:w="2400" w:type="dxa"/>
            <w:tcBorders>
              <w:left w:val="single" w:sz="12" w:space="0" w:color="auto"/>
              <w:right w:val="single" w:sz="12" w:space="0" w:color="auto"/>
            </w:tcBorders>
          </w:tcPr>
          <w:p w14:paraId="369FCB76" w14:textId="77777777" w:rsidR="00E12F9F" w:rsidRPr="00E12F9F" w:rsidRDefault="00E12F9F" w:rsidP="00674F82">
            <w:pPr>
              <w:spacing w:after="0" w:line="240" w:lineRule="auto"/>
            </w:pPr>
            <w:r w:rsidRPr="00E12F9F">
              <w:t xml:space="preserve">     Linen / flax</w:t>
            </w:r>
          </w:p>
        </w:tc>
        <w:tc>
          <w:tcPr>
            <w:tcW w:w="1554" w:type="dxa"/>
            <w:tcBorders>
              <w:left w:val="single" w:sz="12" w:space="0" w:color="auto"/>
            </w:tcBorders>
          </w:tcPr>
          <w:p w14:paraId="2B4D496E" w14:textId="77777777" w:rsidR="00E12F9F" w:rsidRPr="00E12F9F" w:rsidRDefault="00E12F9F" w:rsidP="00674F82">
            <w:pPr>
              <w:spacing w:after="0" w:line="240" w:lineRule="auto"/>
              <w:jc w:val="center"/>
            </w:pPr>
            <w:r w:rsidRPr="00E12F9F">
              <w:t>0</w:t>
            </w:r>
          </w:p>
        </w:tc>
        <w:tc>
          <w:tcPr>
            <w:tcW w:w="1840" w:type="dxa"/>
            <w:tcBorders>
              <w:right w:val="single" w:sz="12" w:space="0" w:color="auto"/>
            </w:tcBorders>
          </w:tcPr>
          <w:p w14:paraId="4F06D973" w14:textId="77777777" w:rsidR="00E12F9F" w:rsidRPr="00E12F9F" w:rsidRDefault="00E12F9F" w:rsidP="00674F82">
            <w:pPr>
              <w:spacing w:after="0" w:line="240" w:lineRule="auto"/>
              <w:jc w:val="center"/>
            </w:pPr>
            <w:r w:rsidRPr="00E12F9F">
              <w:t>4</w:t>
            </w:r>
          </w:p>
        </w:tc>
        <w:tc>
          <w:tcPr>
            <w:tcW w:w="1554" w:type="dxa"/>
            <w:tcBorders>
              <w:left w:val="single" w:sz="12" w:space="0" w:color="auto"/>
            </w:tcBorders>
          </w:tcPr>
          <w:p w14:paraId="54D0FE79" w14:textId="77777777" w:rsidR="00E12F9F" w:rsidRPr="00E12F9F" w:rsidRDefault="00E12F9F" w:rsidP="00674F82">
            <w:pPr>
              <w:spacing w:after="0" w:line="240" w:lineRule="auto"/>
              <w:jc w:val="center"/>
            </w:pPr>
            <w:r w:rsidRPr="00E12F9F">
              <w:t>0</w:t>
            </w:r>
          </w:p>
        </w:tc>
        <w:tc>
          <w:tcPr>
            <w:tcW w:w="1648" w:type="dxa"/>
            <w:tcBorders>
              <w:right w:val="single" w:sz="12" w:space="0" w:color="auto"/>
            </w:tcBorders>
          </w:tcPr>
          <w:p w14:paraId="70BF3ECC" w14:textId="77777777" w:rsidR="00E12F9F" w:rsidRPr="00E12F9F" w:rsidRDefault="00E12F9F" w:rsidP="00674F82">
            <w:pPr>
              <w:spacing w:after="0" w:line="240" w:lineRule="auto"/>
              <w:jc w:val="center"/>
            </w:pPr>
            <w:r w:rsidRPr="00E12F9F">
              <w:t>0</w:t>
            </w:r>
          </w:p>
        </w:tc>
      </w:tr>
      <w:tr w:rsidR="00E12F9F" w:rsidRPr="00E12F9F" w14:paraId="0DE8DF67" w14:textId="77777777" w:rsidTr="00674F82">
        <w:tc>
          <w:tcPr>
            <w:tcW w:w="2400" w:type="dxa"/>
            <w:tcBorders>
              <w:left w:val="single" w:sz="12" w:space="0" w:color="auto"/>
              <w:right w:val="single" w:sz="12" w:space="0" w:color="auto"/>
            </w:tcBorders>
          </w:tcPr>
          <w:p w14:paraId="67C64691" w14:textId="77777777" w:rsidR="00E12F9F" w:rsidRPr="00E12F9F" w:rsidRDefault="00E12F9F" w:rsidP="00674F82">
            <w:pPr>
              <w:spacing w:after="0" w:line="240" w:lineRule="auto"/>
            </w:pPr>
            <w:r w:rsidRPr="00E12F9F">
              <w:t xml:space="preserve">     Hemp</w:t>
            </w:r>
          </w:p>
        </w:tc>
        <w:tc>
          <w:tcPr>
            <w:tcW w:w="1554" w:type="dxa"/>
            <w:tcBorders>
              <w:left w:val="single" w:sz="12" w:space="0" w:color="auto"/>
            </w:tcBorders>
          </w:tcPr>
          <w:p w14:paraId="3C8E1C4A" w14:textId="77777777" w:rsidR="00E12F9F" w:rsidRPr="00E12F9F" w:rsidRDefault="00E12F9F" w:rsidP="00674F82">
            <w:pPr>
              <w:spacing w:after="0" w:line="240" w:lineRule="auto"/>
              <w:jc w:val="center"/>
            </w:pPr>
            <w:r w:rsidRPr="00E12F9F">
              <w:t>0</w:t>
            </w:r>
          </w:p>
        </w:tc>
        <w:tc>
          <w:tcPr>
            <w:tcW w:w="1840" w:type="dxa"/>
            <w:tcBorders>
              <w:right w:val="single" w:sz="12" w:space="0" w:color="auto"/>
            </w:tcBorders>
          </w:tcPr>
          <w:p w14:paraId="32E02723" w14:textId="77777777" w:rsidR="00E12F9F" w:rsidRPr="00E12F9F" w:rsidRDefault="00E12F9F" w:rsidP="00674F82">
            <w:pPr>
              <w:spacing w:after="0" w:line="240" w:lineRule="auto"/>
              <w:jc w:val="center"/>
            </w:pPr>
            <w:r w:rsidRPr="00E12F9F">
              <w:t>4</w:t>
            </w:r>
          </w:p>
        </w:tc>
        <w:tc>
          <w:tcPr>
            <w:tcW w:w="1554" w:type="dxa"/>
            <w:tcBorders>
              <w:left w:val="single" w:sz="12" w:space="0" w:color="auto"/>
            </w:tcBorders>
          </w:tcPr>
          <w:p w14:paraId="5C4A44E7" w14:textId="77777777" w:rsidR="00E12F9F" w:rsidRPr="00E12F9F" w:rsidRDefault="00E12F9F" w:rsidP="00674F82">
            <w:pPr>
              <w:spacing w:after="0" w:line="240" w:lineRule="auto"/>
              <w:jc w:val="center"/>
            </w:pPr>
            <w:r w:rsidRPr="00E12F9F">
              <w:t>0</w:t>
            </w:r>
          </w:p>
        </w:tc>
        <w:tc>
          <w:tcPr>
            <w:tcW w:w="1648" w:type="dxa"/>
            <w:tcBorders>
              <w:right w:val="single" w:sz="12" w:space="0" w:color="auto"/>
            </w:tcBorders>
          </w:tcPr>
          <w:p w14:paraId="28422DEF" w14:textId="77777777" w:rsidR="00E12F9F" w:rsidRPr="00E12F9F" w:rsidRDefault="00E12F9F" w:rsidP="00674F82">
            <w:pPr>
              <w:spacing w:after="0" w:line="240" w:lineRule="auto"/>
              <w:jc w:val="center"/>
            </w:pPr>
            <w:r w:rsidRPr="00E12F9F">
              <w:t>5</w:t>
            </w:r>
          </w:p>
        </w:tc>
      </w:tr>
      <w:tr w:rsidR="00E12F9F" w:rsidRPr="00E12F9F" w14:paraId="06A5393E" w14:textId="77777777" w:rsidTr="00674F82">
        <w:tc>
          <w:tcPr>
            <w:tcW w:w="2400" w:type="dxa"/>
            <w:tcBorders>
              <w:left w:val="single" w:sz="12" w:space="0" w:color="auto"/>
              <w:right w:val="single" w:sz="12" w:space="0" w:color="auto"/>
            </w:tcBorders>
          </w:tcPr>
          <w:p w14:paraId="39CF2106" w14:textId="77777777" w:rsidR="00E12F9F" w:rsidRPr="00E12F9F" w:rsidRDefault="00E12F9F" w:rsidP="00674F82">
            <w:pPr>
              <w:spacing w:after="0" w:line="240" w:lineRule="auto"/>
            </w:pPr>
            <w:r w:rsidRPr="00E12F9F">
              <w:t xml:space="preserve">     Broadcloth</w:t>
            </w:r>
          </w:p>
        </w:tc>
        <w:tc>
          <w:tcPr>
            <w:tcW w:w="1554" w:type="dxa"/>
            <w:tcBorders>
              <w:left w:val="single" w:sz="12" w:space="0" w:color="auto"/>
            </w:tcBorders>
          </w:tcPr>
          <w:p w14:paraId="5A32BC45" w14:textId="77777777" w:rsidR="00E12F9F" w:rsidRPr="00E12F9F" w:rsidRDefault="00E12F9F" w:rsidP="00674F82">
            <w:pPr>
              <w:spacing w:after="0" w:line="240" w:lineRule="auto"/>
              <w:jc w:val="center"/>
            </w:pPr>
            <w:r w:rsidRPr="00E12F9F">
              <w:t>0</w:t>
            </w:r>
          </w:p>
        </w:tc>
        <w:tc>
          <w:tcPr>
            <w:tcW w:w="1840" w:type="dxa"/>
            <w:tcBorders>
              <w:right w:val="single" w:sz="12" w:space="0" w:color="auto"/>
            </w:tcBorders>
          </w:tcPr>
          <w:p w14:paraId="676D7BC8" w14:textId="77777777" w:rsidR="00E12F9F" w:rsidRPr="00E12F9F" w:rsidRDefault="00E12F9F" w:rsidP="00674F82">
            <w:pPr>
              <w:spacing w:after="0" w:line="240" w:lineRule="auto"/>
              <w:jc w:val="center"/>
            </w:pPr>
            <w:r w:rsidRPr="00E12F9F">
              <w:t>0</w:t>
            </w:r>
          </w:p>
        </w:tc>
        <w:tc>
          <w:tcPr>
            <w:tcW w:w="1554" w:type="dxa"/>
            <w:tcBorders>
              <w:left w:val="single" w:sz="12" w:space="0" w:color="auto"/>
            </w:tcBorders>
          </w:tcPr>
          <w:p w14:paraId="6E3283E4" w14:textId="77777777" w:rsidR="00E12F9F" w:rsidRPr="00E12F9F" w:rsidRDefault="00E12F9F" w:rsidP="00674F82">
            <w:pPr>
              <w:spacing w:after="0" w:line="240" w:lineRule="auto"/>
              <w:jc w:val="center"/>
            </w:pPr>
            <w:r w:rsidRPr="00E12F9F">
              <w:t>0</w:t>
            </w:r>
          </w:p>
        </w:tc>
        <w:tc>
          <w:tcPr>
            <w:tcW w:w="1648" w:type="dxa"/>
            <w:tcBorders>
              <w:right w:val="single" w:sz="12" w:space="0" w:color="auto"/>
            </w:tcBorders>
          </w:tcPr>
          <w:p w14:paraId="22FAB2AC" w14:textId="77777777" w:rsidR="00E12F9F" w:rsidRPr="00E12F9F" w:rsidRDefault="00E12F9F" w:rsidP="00674F82">
            <w:pPr>
              <w:spacing w:after="0" w:line="240" w:lineRule="auto"/>
              <w:jc w:val="center"/>
            </w:pPr>
            <w:r w:rsidRPr="00E12F9F">
              <w:t>1</w:t>
            </w:r>
          </w:p>
        </w:tc>
      </w:tr>
      <w:tr w:rsidR="00E12F9F" w:rsidRPr="00E12F9F" w14:paraId="40FE9723" w14:textId="77777777" w:rsidTr="00674F82">
        <w:tc>
          <w:tcPr>
            <w:tcW w:w="2400" w:type="dxa"/>
            <w:tcBorders>
              <w:left w:val="single" w:sz="12" w:space="0" w:color="auto"/>
              <w:bottom w:val="single" w:sz="12" w:space="0" w:color="auto"/>
              <w:right w:val="single" w:sz="12" w:space="0" w:color="auto"/>
            </w:tcBorders>
          </w:tcPr>
          <w:p w14:paraId="0B91C150" w14:textId="77777777" w:rsidR="00E12F9F" w:rsidRPr="00E12F9F" w:rsidRDefault="00E12F9F" w:rsidP="00674F82">
            <w:pPr>
              <w:spacing w:after="0" w:line="240" w:lineRule="auto"/>
            </w:pPr>
            <w:r w:rsidRPr="00E12F9F">
              <w:t xml:space="preserve">     </w:t>
            </w:r>
            <w:proofErr w:type="spellStart"/>
            <w:r w:rsidRPr="00E12F9F">
              <w:t>Huckleback</w:t>
            </w:r>
            <w:proofErr w:type="spellEnd"/>
          </w:p>
        </w:tc>
        <w:tc>
          <w:tcPr>
            <w:tcW w:w="1554" w:type="dxa"/>
            <w:tcBorders>
              <w:left w:val="single" w:sz="12" w:space="0" w:color="auto"/>
              <w:bottom w:val="single" w:sz="12" w:space="0" w:color="auto"/>
            </w:tcBorders>
          </w:tcPr>
          <w:p w14:paraId="71B1DFF8" w14:textId="77777777" w:rsidR="00E12F9F" w:rsidRPr="00E12F9F" w:rsidRDefault="00E12F9F" w:rsidP="00674F82">
            <w:pPr>
              <w:spacing w:after="0" w:line="240" w:lineRule="auto"/>
              <w:jc w:val="center"/>
            </w:pPr>
            <w:r w:rsidRPr="00E12F9F">
              <w:t>0</w:t>
            </w:r>
          </w:p>
        </w:tc>
        <w:tc>
          <w:tcPr>
            <w:tcW w:w="1840" w:type="dxa"/>
            <w:tcBorders>
              <w:bottom w:val="single" w:sz="12" w:space="0" w:color="auto"/>
              <w:right w:val="single" w:sz="12" w:space="0" w:color="auto"/>
            </w:tcBorders>
          </w:tcPr>
          <w:p w14:paraId="4FEA18FD" w14:textId="77777777" w:rsidR="00E12F9F" w:rsidRPr="00E12F9F" w:rsidRDefault="00E12F9F" w:rsidP="00674F82">
            <w:pPr>
              <w:spacing w:after="0" w:line="240" w:lineRule="auto"/>
              <w:jc w:val="center"/>
            </w:pPr>
            <w:r w:rsidRPr="00E12F9F">
              <w:t>0</w:t>
            </w:r>
          </w:p>
        </w:tc>
        <w:tc>
          <w:tcPr>
            <w:tcW w:w="1554" w:type="dxa"/>
            <w:tcBorders>
              <w:left w:val="single" w:sz="12" w:space="0" w:color="auto"/>
              <w:bottom w:val="single" w:sz="12" w:space="0" w:color="auto"/>
            </w:tcBorders>
          </w:tcPr>
          <w:p w14:paraId="62CD9154" w14:textId="77777777" w:rsidR="00E12F9F" w:rsidRPr="00E12F9F" w:rsidRDefault="00E12F9F" w:rsidP="00674F82">
            <w:pPr>
              <w:spacing w:after="0" w:line="240" w:lineRule="auto"/>
              <w:jc w:val="center"/>
            </w:pPr>
            <w:r w:rsidRPr="00E12F9F">
              <w:t>0</w:t>
            </w:r>
          </w:p>
        </w:tc>
        <w:tc>
          <w:tcPr>
            <w:tcW w:w="1648" w:type="dxa"/>
            <w:tcBorders>
              <w:bottom w:val="single" w:sz="12" w:space="0" w:color="auto"/>
              <w:right w:val="single" w:sz="12" w:space="0" w:color="auto"/>
            </w:tcBorders>
          </w:tcPr>
          <w:p w14:paraId="034D212E" w14:textId="77777777" w:rsidR="00E12F9F" w:rsidRPr="00E12F9F" w:rsidRDefault="00E12F9F" w:rsidP="00674F82">
            <w:pPr>
              <w:spacing w:after="0" w:line="240" w:lineRule="auto"/>
              <w:jc w:val="center"/>
            </w:pPr>
            <w:r w:rsidRPr="00E12F9F">
              <w:t>1</w:t>
            </w:r>
          </w:p>
        </w:tc>
      </w:tr>
      <w:tr w:rsidR="00E12F9F" w:rsidRPr="00E12F9F" w14:paraId="514560AA" w14:textId="77777777" w:rsidTr="00674F82">
        <w:tc>
          <w:tcPr>
            <w:tcW w:w="2400" w:type="dxa"/>
            <w:tcBorders>
              <w:top w:val="single" w:sz="12" w:space="0" w:color="auto"/>
              <w:left w:val="single" w:sz="12" w:space="0" w:color="auto"/>
              <w:bottom w:val="single" w:sz="12" w:space="0" w:color="auto"/>
              <w:right w:val="single" w:sz="12" w:space="0" w:color="auto"/>
            </w:tcBorders>
          </w:tcPr>
          <w:p w14:paraId="01F8E0C1" w14:textId="77777777" w:rsidR="00E12F9F" w:rsidRPr="00E12F9F" w:rsidRDefault="00E12F9F" w:rsidP="00674F82">
            <w:pPr>
              <w:spacing w:after="0" w:line="240" w:lineRule="auto"/>
            </w:pPr>
            <w:r w:rsidRPr="00E12F9F">
              <w:rPr>
                <w:b/>
                <w:bCs/>
              </w:rPr>
              <w:t xml:space="preserve">Wool </w:t>
            </w:r>
            <w:r w:rsidRPr="00E12F9F">
              <w:t>(without sheep)</w:t>
            </w:r>
          </w:p>
        </w:tc>
        <w:tc>
          <w:tcPr>
            <w:tcW w:w="1554" w:type="dxa"/>
            <w:tcBorders>
              <w:top w:val="single" w:sz="12" w:space="0" w:color="auto"/>
              <w:left w:val="single" w:sz="12" w:space="0" w:color="auto"/>
              <w:bottom w:val="single" w:sz="12" w:space="0" w:color="auto"/>
            </w:tcBorders>
          </w:tcPr>
          <w:p w14:paraId="43D2F7B9" w14:textId="77777777" w:rsidR="00E12F9F" w:rsidRPr="00E12F9F" w:rsidRDefault="00E12F9F" w:rsidP="00674F82">
            <w:pPr>
              <w:spacing w:after="0" w:line="240" w:lineRule="auto"/>
              <w:jc w:val="center"/>
              <w:rPr>
                <w:b/>
                <w:bCs/>
              </w:rPr>
            </w:pPr>
            <w:r w:rsidRPr="00E12F9F">
              <w:rPr>
                <w:b/>
                <w:bCs/>
              </w:rPr>
              <w:t>0</w:t>
            </w:r>
          </w:p>
        </w:tc>
        <w:tc>
          <w:tcPr>
            <w:tcW w:w="1840" w:type="dxa"/>
            <w:tcBorders>
              <w:top w:val="single" w:sz="12" w:space="0" w:color="auto"/>
              <w:bottom w:val="single" w:sz="12" w:space="0" w:color="auto"/>
              <w:right w:val="single" w:sz="12" w:space="0" w:color="auto"/>
            </w:tcBorders>
          </w:tcPr>
          <w:p w14:paraId="0F76431D" w14:textId="77777777" w:rsidR="00E12F9F" w:rsidRPr="00E12F9F" w:rsidRDefault="00E12F9F" w:rsidP="00674F82">
            <w:pPr>
              <w:spacing w:after="0" w:line="240" w:lineRule="auto"/>
              <w:jc w:val="center"/>
              <w:rPr>
                <w:b/>
                <w:bCs/>
              </w:rPr>
            </w:pPr>
            <w:r w:rsidRPr="00E12F9F">
              <w:rPr>
                <w:b/>
                <w:bCs/>
              </w:rPr>
              <w:t>1</w:t>
            </w:r>
          </w:p>
        </w:tc>
        <w:tc>
          <w:tcPr>
            <w:tcW w:w="1554" w:type="dxa"/>
            <w:tcBorders>
              <w:top w:val="single" w:sz="12" w:space="0" w:color="auto"/>
              <w:left w:val="single" w:sz="12" w:space="0" w:color="auto"/>
              <w:bottom w:val="single" w:sz="12" w:space="0" w:color="auto"/>
            </w:tcBorders>
          </w:tcPr>
          <w:p w14:paraId="46F95DEA" w14:textId="77777777" w:rsidR="00E12F9F" w:rsidRPr="00E12F9F" w:rsidRDefault="00E12F9F" w:rsidP="00674F82">
            <w:pPr>
              <w:spacing w:after="0" w:line="240" w:lineRule="auto"/>
              <w:jc w:val="center"/>
              <w:rPr>
                <w:b/>
                <w:bCs/>
              </w:rPr>
            </w:pPr>
            <w:r w:rsidRPr="00E12F9F">
              <w:rPr>
                <w:b/>
                <w:bCs/>
              </w:rPr>
              <w:t>0</w:t>
            </w:r>
          </w:p>
        </w:tc>
        <w:tc>
          <w:tcPr>
            <w:tcW w:w="1648" w:type="dxa"/>
            <w:tcBorders>
              <w:top w:val="single" w:sz="12" w:space="0" w:color="auto"/>
              <w:bottom w:val="single" w:sz="12" w:space="0" w:color="auto"/>
              <w:right w:val="single" w:sz="12" w:space="0" w:color="auto"/>
            </w:tcBorders>
          </w:tcPr>
          <w:p w14:paraId="6794C48E" w14:textId="77777777" w:rsidR="00E12F9F" w:rsidRPr="00E12F9F" w:rsidRDefault="00E12F9F" w:rsidP="00674F82">
            <w:pPr>
              <w:spacing w:after="0" w:line="240" w:lineRule="auto"/>
              <w:jc w:val="center"/>
              <w:rPr>
                <w:b/>
                <w:bCs/>
              </w:rPr>
            </w:pPr>
            <w:r w:rsidRPr="00E12F9F">
              <w:rPr>
                <w:b/>
                <w:bCs/>
              </w:rPr>
              <w:t>4</w:t>
            </w:r>
          </w:p>
        </w:tc>
      </w:tr>
      <w:tr w:rsidR="00E12F9F" w:rsidRPr="00E12F9F" w14:paraId="5016D743" w14:textId="77777777" w:rsidTr="00674F82">
        <w:tc>
          <w:tcPr>
            <w:tcW w:w="2400" w:type="dxa"/>
            <w:tcBorders>
              <w:top w:val="single" w:sz="12" w:space="0" w:color="auto"/>
              <w:left w:val="single" w:sz="12" w:space="0" w:color="auto"/>
              <w:bottom w:val="single" w:sz="12" w:space="0" w:color="auto"/>
              <w:right w:val="single" w:sz="12" w:space="0" w:color="auto"/>
            </w:tcBorders>
          </w:tcPr>
          <w:p w14:paraId="6D9A34DE" w14:textId="77777777" w:rsidR="00E12F9F" w:rsidRPr="00E12F9F" w:rsidRDefault="00E12F9F" w:rsidP="00674F82">
            <w:pPr>
              <w:spacing w:after="0" w:line="240" w:lineRule="auto"/>
              <w:rPr>
                <w:b/>
                <w:bCs/>
              </w:rPr>
            </w:pPr>
            <w:r w:rsidRPr="00E12F9F">
              <w:rPr>
                <w:b/>
                <w:bCs/>
              </w:rPr>
              <w:t>Leather</w:t>
            </w:r>
          </w:p>
        </w:tc>
        <w:tc>
          <w:tcPr>
            <w:tcW w:w="1554" w:type="dxa"/>
            <w:tcBorders>
              <w:top w:val="single" w:sz="12" w:space="0" w:color="auto"/>
              <w:left w:val="single" w:sz="12" w:space="0" w:color="auto"/>
              <w:bottom w:val="single" w:sz="12" w:space="0" w:color="auto"/>
            </w:tcBorders>
          </w:tcPr>
          <w:p w14:paraId="4FEB240E" w14:textId="77777777" w:rsidR="00E12F9F" w:rsidRPr="00E12F9F" w:rsidRDefault="00E12F9F" w:rsidP="00674F82">
            <w:pPr>
              <w:spacing w:after="0" w:line="240" w:lineRule="auto"/>
              <w:jc w:val="center"/>
              <w:rPr>
                <w:b/>
                <w:bCs/>
              </w:rPr>
            </w:pPr>
            <w:r w:rsidRPr="00E12F9F">
              <w:rPr>
                <w:b/>
                <w:bCs/>
              </w:rPr>
              <w:t>1</w:t>
            </w:r>
          </w:p>
        </w:tc>
        <w:tc>
          <w:tcPr>
            <w:tcW w:w="1840" w:type="dxa"/>
            <w:tcBorders>
              <w:top w:val="single" w:sz="12" w:space="0" w:color="auto"/>
              <w:bottom w:val="single" w:sz="12" w:space="0" w:color="auto"/>
              <w:right w:val="single" w:sz="12" w:space="0" w:color="auto"/>
            </w:tcBorders>
          </w:tcPr>
          <w:p w14:paraId="0AD30D39" w14:textId="77777777" w:rsidR="00E12F9F" w:rsidRPr="00E12F9F" w:rsidRDefault="00E12F9F" w:rsidP="00674F82">
            <w:pPr>
              <w:spacing w:after="0" w:line="240" w:lineRule="auto"/>
              <w:jc w:val="center"/>
              <w:rPr>
                <w:b/>
                <w:bCs/>
              </w:rPr>
            </w:pPr>
            <w:r w:rsidRPr="00E12F9F">
              <w:rPr>
                <w:b/>
                <w:bCs/>
              </w:rPr>
              <w:t>6</w:t>
            </w:r>
          </w:p>
        </w:tc>
        <w:tc>
          <w:tcPr>
            <w:tcW w:w="1554" w:type="dxa"/>
            <w:tcBorders>
              <w:top w:val="single" w:sz="12" w:space="0" w:color="auto"/>
              <w:left w:val="single" w:sz="12" w:space="0" w:color="auto"/>
              <w:bottom w:val="single" w:sz="12" w:space="0" w:color="auto"/>
            </w:tcBorders>
          </w:tcPr>
          <w:p w14:paraId="5DAEF8E8" w14:textId="77777777" w:rsidR="00E12F9F" w:rsidRPr="00E12F9F" w:rsidRDefault="00E12F9F" w:rsidP="00674F82">
            <w:pPr>
              <w:spacing w:after="0" w:line="240" w:lineRule="auto"/>
              <w:jc w:val="center"/>
              <w:rPr>
                <w:b/>
                <w:bCs/>
              </w:rPr>
            </w:pPr>
            <w:r w:rsidRPr="00E12F9F">
              <w:rPr>
                <w:b/>
                <w:bCs/>
              </w:rPr>
              <w:t>0</w:t>
            </w:r>
          </w:p>
        </w:tc>
        <w:tc>
          <w:tcPr>
            <w:tcW w:w="1648" w:type="dxa"/>
            <w:tcBorders>
              <w:top w:val="single" w:sz="12" w:space="0" w:color="auto"/>
              <w:bottom w:val="single" w:sz="12" w:space="0" w:color="auto"/>
              <w:right w:val="single" w:sz="12" w:space="0" w:color="auto"/>
            </w:tcBorders>
          </w:tcPr>
          <w:p w14:paraId="1C8FB4C6" w14:textId="77777777" w:rsidR="00E12F9F" w:rsidRPr="00E12F9F" w:rsidRDefault="00E12F9F" w:rsidP="00674F82">
            <w:pPr>
              <w:spacing w:after="0" w:line="240" w:lineRule="auto"/>
              <w:jc w:val="center"/>
              <w:rPr>
                <w:b/>
                <w:bCs/>
              </w:rPr>
            </w:pPr>
            <w:r w:rsidRPr="00E12F9F">
              <w:rPr>
                <w:b/>
                <w:bCs/>
              </w:rPr>
              <w:t>3</w:t>
            </w:r>
          </w:p>
        </w:tc>
      </w:tr>
    </w:tbl>
    <w:p w14:paraId="174CFC2F" w14:textId="77777777" w:rsidR="00E12F9F" w:rsidRPr="00E12F9F" w:rsidRDefault="00E12F9F" w:rsidP="00E12F9F"/>
    <w:p w14:paraId="2BC6BF5A" w14:textId="77777777" w:rsidR="00674F82" w:rsidRDefault="00674F82" w:rsidP="00E12F9F">
      <w:pPr>
        <w:jc w:val="center"/>
      </w:pPr>
    </w:p>
    <w:p w14:paraId="73F9374E" w14:textId="77777777" w:rsidR="00674F82" w:rsidRDefault="00674F82" w:rsidP="00E12F9F">
      <w:pPr>
        <w:jc w:val="center"/>
      </w:pPr>
    </w:p>
    <w:p w14:paraId="321EFA35" w14:textId="77777777" w:rsidR="00674F82" w:rsidRDefault="00674F82" w:rsidP="00E12F9F">
      <w:pPr>
        <w:jc w:val="center"/>
      </w:pPr>
    </w:p>
    <w:p w14:paraId="4337BAD6" w14:textId="77777777" w:rsidR="00674F82" w:rsidRDefault="00674F82" w:rsidP="00E12F9F">
      <w:pPr>
        <w:jc w:val="center"/>
      </w:pPr>
    </w:p>
    <w:p w14:paraId="7F735E8D" w14:textId="65418F5C" w:rsidR="00E12F9F" w:rsidRPr="00E12F9F" w:rsidRDefault="00E12F9F" w:rsidP="00E12F9F">
      <w:pPr>
        <w:jc w:val="center"/>
      </w:pPr>
      <w:r w:rsidRPr="00E12F9F">
        <w:t xml:space="preserve">Table 18 – </w:t>
      </w:r>
      <w:r w:rsidR="00C24E8A" w:rsidRPr="00C24E8A">
        <w:t xml:space="preserve">Prevalence of different textiles and textile production equipment in inventories within the </w:t>
      </w:r>
      <w:r w:rsidR="00C24E8A" w:rsidRPr="00E12F9F">
        <w:t>Bolton-le-Sands and Prestbury wider survey</w:t>
      </w:r>
      <w:r w:rsidRPr="00E12F9F">
        <w:t>.</w:t>
      </w:r>
    </w:p>
    <w:p w14:paraId="07FF525E" w14:textId="77777777" w:rsidR="00E12F9F" w:rsidRPr="00E12F9F" w:rsidRDefault="00E12F9F" w:rsidP="00E12F9F">
      <w:r w:rsidRPr="00E12F9F">
        <w:br w:type="page"/>
      </w:r>
    </w:p>
    <w:tbl>
      <w:tblPr>
        <w:tblStyle w:val="TableGrid8"/>
        <w:tblpPr w:leftFromText="180" w:rightFromText="180" w:horzAnchor="margin" w:tblpY="2970"/>
        <w:tblW w:w="0" w:type="auto"/>
        <w:tblLook w:val="04A0" w:firstRow="1" w:lastRow="0" w:firstColumn="1" w:lastColumn="0" w:noHBand="0" w:noVBand="1"/>
      </w:tblPr>
      <w:tblGrid>
        <w:gridCol w:w="3000"/>
        <w:gridCol w:w="2997"/>
        <w:gridCol w:w="2999"/>
      </w:tblGrid>
      <w:tr w:rsidR="00E12F9F" w:rsidRPr="00E12F9F" w14:paraId="3899F039" w14:textId="77777777" w:rsidTr="00674F82">
        <w:tc>
          <w:tcPr>
            <w:tcW w:w="3000" w:type="dxa"/>
            <w:vMerge w:val="restart"/>
            <w:tcBorders>
              <w:top w:val="single" w:sz="12" w:space="0" w:color="auto"/>
              <w:left w:val="single" w:sz="12" w:space="0" w:color="auto"/>
              <w:right w:val="single" w:sz="12" w:space="0" w:color="auto"/>
            </w:tcBorders>
          </w:tcPr>
          <w:p w14:paraId="69079F76" w14:textId="5D19112D" w:rsidR="00E12F9F" w:rsidRPr="00E12F9F" w:rsidRDefault="00E12F9F" w:rsidP="00674F82">
            <w:pPr>
              <w:spacing w:after="0" w:line="240" w:lineRule="auto"/>
              <w:rPr>
                <w:b/>
                <w:bCs/>
              </w:rPr>
            </w:pPr>
            <w:r w:rsidRPr="00E12F9F">
              <w:rPr>
                <w:b/>
                <w:bCs/>
              </w:rPr>
              <w:lastRenderedPageBreak/>
              <w:t>Type of Money</w:t>
            </w:r>
            <w:r w:rsidR="00195012">
              <w:rPr>
                <w:b/>
                <w:bCs/>
              </w:rPr>
              <w:t>l</w:t>
            </w:r>
            <w:r w:rsidRPr="00E12F9F">
              <w:rPr>
                <w:b/>
                <w:bCs/>
              </w:rPr>
              <w:t>ending</w:t>
            </w:r>
          </w:p>
        </w:tc>
        <w:tc>
          <w:tcPr>
            <w:tcW w:w="5996" w:type="dxa"/>
            <w:gridSpan w:val="2"/>
            <w:tcBorders>
              <w:top w:val="single" w:sz="12" w:space="0" w:color="auto"/>
              <w:left w:val="single" w:sz="12" w:space="0" w:color="auto"/>
              <w:bottom w:val="single" w:sz="12" w:space="0" w:color="auto"/>
              <w:right w:val="single" w:sz="12" w:space="0" w:color="auto"/>
            </w:tcBorders>
          </w:tcPr>
          <w:p w14:paraId="647D5E5D" w14:textId="6ACB8F7E" w:rsidR="00E12F9F" w:rsidRPr="00E12F9F" w:rsidRDefault="00E12F9F" w:rsidP="00674F82">
            <w:pPr>
              <w:spacing w:after="0" w:line="240" w:lineRule="auto"/>
              <w:jc w:val="center"/>
              <w:rPr>
                <w:b/>
                <w:bCs/>
              </w:rPr>
            </w:pPr>
            <w:r w:rsidRPr="00E12F9F">
              <w:rPr>
                <w:b/>
                <w:bCs/>
              </w:rPr>
              <w:t>Numbers of Inventories Referencing Money</w:t>
            </w:r>
            <w:r w:rsidR="00195012">
              <w:rPr>
                <w:b/>
                <w:bCs/>
              </w:rPr>
              <w:t>l</w:t>
            </w:r>
            <w:r w:rsidRPr="00E12F9F">
              <w:rPr>
                <w:b/>
                <w:bCs/>
              </w:rPr>
              <w:t>ending</w:t>
            </w:r>
          </w:p>
        </w:tc>
      </w:tr>
      <w:tr w:rsidR="00E12F9F" w:rsidRPr="00E12F9F" w14:paraId="3E710B46" w14:textId="77777777" w:rsidTr="00674F82">
        <w:tc>
          <w:tcPr>
            <w:tcW w:w="3000" w:type="dxa"/>
            <w:vMerge/>
            <w:tcBorders>
              <w:left w:val="single" w:sz="12" w:space="0" w:color="auto"/>
              <w:bottom w:val="single" w:sz="12" w:space="0" w:color="auto"/>
              <w:right w:val="single" w:sz="12" w:space="0" w:color="auto"/>
            </w:tcBorders>
          </w:tcPr>
          <w:p w14:paraId="04A19DC4" w14:textId="77777777" w:rsidR="00E12F9F" w:rsidRPr="00E12F9F" w:rsidRDefault="00E12F9F" w:rsidP="00674F82">
            <w:pPr>
              <w:spacing w:after="0" w:line="240" w:lineRule="auto"/>
              <w:rPr>
                <w:b/>
                <w:bCs/>
              </w:rPr>
            </w:pPr>
          </w:p>
        </w:tc>
        <w:tc>
          <w:tcPr>
            <w:tcW w:w="2997" w:type="dxa"/>
            <w:tcBorders>
              <w:top w:val="single" w:sz="12" w:space="0" w:color="auto"/>
              <w:left w:val="single" w:sz="12" w:space="0" w:color="auto"/>
              <w:bottom w:val="single" w:sz="12" w:space="0" w:color="auto"/>
              <w:right w:val="single" w:sz="12" w:space="0" w:color="auto"/>
            </w:tcBorders>
          </w:tcPr>
          <w:p w14:paraId="472E20A0" w14:textId="77777777" w:rsidR="00E12F9F" w:rsidRPr="00E12F9F" w:rsidRDefault="00E12F9F" w:rsidP="00674F82">
            <w:pPr>
              <w:spacing w:after="0" w:line="240" w:lineRule="auto"/>
              <w:jc w:val="center"/>
              <w:rPr>
                <w:b/>
                <w:bCs/>
              </w:rPr>
            </w:pPr>
            <w:r w:rsidRPr="00E12F9F">
              <w:rPr>
                <w:b/>
                <w:bCs/>
              </w:rPr>
              <w:t>Bolton-le-Sands</w:t>
            </w:r>
          </w:p>
        </w:tc>
        <w:tc>
          <w:tcPr>
            <w:tcW w:w="2999" w:type="dxa"/>
            <w:tcBorders>
              <w:top w:val="single" w:sz="12" w:space="0" w:color="auto"/>
              <w:left w:val="single" w:sz="12" w:space="0" w:color="auto"/>
              <w:bottom w:val="single" w:sz="12" w:space="0" w:color="auto"/>
              <w:right w:val="single" w:sz="12" w:space="0" w:color="auto"/>
            </w:tcBorders>
          </w:tcPr>
          <w:p w14:paraId="4FA66B59" w14:textId="77777777" w:rsidR="00E12F9F" w:rsidRPr="00E12F9F" w:rsidRDefault="00E12F9F" w:rsidP="00674F82">
            <w:pPr>
              <w:spacing w:after="0" w:line="240" w:lineRule="auto"/>
              <w:jc w:val="center"/>
              <w:rPr>
                <w:b/>
                <w:bCs/>
              </w:rPr>
            </w:pPr>
            <w:r w:rsidRPr="00E12F9F">
              <w:rPr>
                <w:b/>
                <w:bCs/>
              </w:rPr>
              <w:t>Prestbury</w:t>
            </w:r>
          </w:p>
        </w:tc>
      </w:tr>
      <w:tr w:rsidR="00E12F9F" w:rsidRPr="00E12F9F" w14:paraId="5A90A66E" w14:textId="77777777" w:rsidTr="00674F82">
        <w:tc>
          <w:tcPr>
            <w:tcW w:w="3000" w:type="dxa"/>
            <w:tcBorders>
              <w:top w:val="single" w:sz="12" w:space="0" w:color="auto"/>
              <w:left w:val="single" w:sz="12" w:space="0" w:color="auto"/>
              <w:right w:val="single" w:sz="12" w:space="0" w:color="auto"/>
            </w:tcBorders>
          </w:tcPr>
          <w:p w14:paraId="11CA6362" w14:textId="77777777" w:rsidR="00E12F9F" w:rsidRPr="00E12F9F" w:rsidRDefault="00E12F9F" w:rsidP="00674F82">
            <w:pPr>
              <w:spacing w:after="0" w:line="240" w:lineRule="auto"/>
            </w:pPr>
            <w:r w:rsidRPr="00E12F9F">
              <w:t>Any lending</w:t>
            </w:r>
          </w:p>
        </w:tc>
        <w:tc>
          <w:tcPr>
            <w:tcW w:w="2997" w:type="dxa"/>
            <w:tcBorders>
              <w:top w:val="single" w:sz="12" w:space="0" w:color="auto"/>
              <w:left w:val="single" w:sz="12" w:space="0" w:color="auto"/>
              <w:right w:val="single" w:sz="12" w:space="0" w:color="auto"/>
            </w:tcBorders>
          </w:tcPr>
          <w:p w14:paraId="1C53701C" w14:textId="77777777" w:rsidR="00E12F9F" w:rsidRPr="00E12F9F" w:rsidRDefault="00E12F9F" w:rsidP="00674F82">
            <w:pPr>
              <w:spacing w:after="0" w:line="240" w:lineRule="auto"/>
              <w:jc w:val="center"/>
            </w:pPr>
            <w:r w:rsidRPr="00E12F9F">
              <w:t>59</w:t>
            </w:r>
          </w:p>
        </w:tc>
        <w:tc>
          <w:tcPr>
            <w:tcW w:w="2999" w:type="dxa"/>
            <w:tcBorders>
              <w:top w:val="single" w:sz="12" w:space="0" w:color="auto"/>
              <w:left w:val="single" w:sz="12" w:space="0" w:color="auto"/>
              <w:right w:val="single" w:sz="12" w:space="0" w:color="auto"/>
            </w:tcBorders>
          </w:tcPr>
          <w:p w14:paraId="48009CEA" w14:textId="77777777" w:rsidR="00E12F9F" w:rsidRPr="00E12F9F" w:rsidRDefault="00E12F9F" w:rsidP="00674F82">
            <w:pPr>
              <w:spacing w:after="0" w:line="240" w:lineRule="auto"/>
              <w:jc w:val="center"/>
            </w:pPr>
            <w:r w:rsidRPr="00E12F9F">
              <w:t>50</w:t>
            </w:r>
          </w:p>
        </w:tc>
      </w:tr>
      <w:tr w:rsidR="00E12F9F" w:rsidRPr="00E12F9F" w14:paraId="3F62A17B" w14:textId="77777777" w:rsidTr="00674F82">
        <w:tc>
          <w:tcPr>
            <w:tcW w:w="3000" w:type="dxa"/>
            <w:tcBorders>
              <w:top w:val="single" w:sz="4" w:space="0" w:color="auto"/>
              <w:left w:val="single" w:sz="12" w:space="0" w:color="auto"/>
              <w:right w:val="single" w:sz="12" w:space="0" w:color="auto"/>
            </w:tcBorders>
          </w:tcPr>
          <w:p w14:paraId="7A4DB99A" w14:textId="77777777" w:rsidR="00E12F9F" w:rsidRPr="00E12F9F" w:rsidRDefault="00E12F9F" w:rsidP="00674F82">
            <w:pPr>
              <w:spacing w:after="0" w:line="240" w:lineRule="auto"/>
            </w:pPr>
            <w:r w:rsidRPr="00E12F9F">
              <w:t>Formalised lending:</w:t>
            </w:r>
          </w:p>
        </w:tc>
        <w:tc>
          <w:tcPr>
            <w:tcW w:w="2997" w:type="dxa"/>
            <w:tcBorders>
              <w:top w:val="single" w:sz="4" w:space="0" w:color="auto"/>
              <w:left w:val="single" w:sz="12" w:space="0" w:color="auto"/>
              <w:right w:val="single" w:sz="12" w:space="0" w:color="auto"/>
            </w:tcBorders>
          </w:tcPr>
          <w:p w14:paraId="12D63B84" w14:textId="77777777" w:rsidR="00E12F9F" w:rsidRPr="00E12F9F" w:rsidRDefault="00E12F9F" w:rsidP="00674F82">
            <w:pPr>
              <w:spacing w:after="0" w:line="240" w:lineRule="auto"/>
              <w:jc w:val="center"/>
            </w:pPr>
            <w:r w:rsidRPr="00E12F9F">
              <w:t>32</w:t>
            </w:r>
          </w:p>
        </w:tc>
        <w:tc>
          <w:tcPr>
            <w:tcW w:w="2999" w:type="dxa"/>
            <w:tcBorders>
              <w:top w:val="single" w:sz="4" w:space="0" w:color="auto"/>
              <w:left w:val="single" w:sz="12" w:space="0" w:color="auto"/>
              <w:right w:val="single" w:sz="12" w:space="0" w:color="auto"/>
            </w:tcBorders>
          </w:tcPr>
          <w:p w14:paraId="3FB5E017" w14:textId="77777777" w:rsidR="00E12F9F" w:rsidRPr="00E12F9F" w:rsidRDefault="00E12F9F" w:rsidP="00674F82">
            <w:pPr>
              <w:spacing w:after="0" w:line="240" w:lineRule="auto"/>
              <w:jc w:val="center"/>
            </w:pPr>
            <w:r w:rsidRPr="00E12F9F">
              <w:t>38</w:t>
            </w:r>
          </w:p>
        </w:tc>
      </w:tr>
      <w:tr w:rsidR="00E12F9F" w:rsidRPr="00E12F9F" w14:paraId="2E92B3C1" w14:textId="77777777" w:rsidTr="00674F82">
        <w:tc>
          <w:tcPr>
            <w:tcW w:w="3000" w:type="dxa"/>
            <w:tcBorders>
              <w:left w:val="single" w:sz="12" w:space="0" w:color="auto"/>
              <w:right w:val="single" w:sz="12" w:space="0" w:color="auto"/>
            </w:tcBorders>
          </w:tcPr>
          <w:p w14:paraId="45D9BE54" w14:textId="77777777" w:rsidR="00E12F9F" w:rsidRPr="00E12F9F" w:rsidRDefault="00E12F9F" w:rsidP="00674F82">
            <w:pPr>
              <w:spacing w:after="0" w:line="240" w:lineRule="auto"/>
            </w:pPr>
            <w:r w:rsidRPr="00E12F9F">
              <w:t xml:space="preserve">     Bonds</w:t>
            </w:r>
          </w:p>
        </w:tc>
        <w:tc>
          <w:tcPr>
            <w:tcW w:w="2997" w:type="dxa"/>
            <w:tcBorders>
              <w:left w:val="single" w:sz="12" w:space="0" w:color="auto"/>
              <w:right w:val="single" w:sz="12" w:space="0" w:color="auto"/>
            </w:tcBorders>
          </w:tcPr>
          <w:p w14:paraId="4D6783C4" w14:textId="77777777" w:rsidR="00E12F9F" w:rsidRPr="00E12F9F" w:rsidRDefault="00E12F9F" w:rsidP="00674F82">
            <w:pPr>
              <w:spacing w:after="0" w:line="240" w:lineRule="auto"/>
              <w:jc w:val="center"/>
            </w:pPr>
            <w:r w:rsidRPr="00E12F9F">
              <w:t>23</w:t>
            </w:r>
          </w:p>
        </w:tc>
        <w:tc>
          <w:tcPr>
            <w:tcW w:w="2999" w:type="dxa"/>
            <w:tcBorders>
              <w:left w:val="single" w:sz="12" w:space="0" w:color="auto"/>
              <w:right w:val="single" w:sz="12" w:space="0" w:color="auto"/>
            </w:tcBorders>
          </w:tcPr>
          <w:p w14:paraId="1736DB95" w14:textId="77777777" w:rsidR="00E12F9F" w:rsidRPr="00E12F9F" w:rsidRDefault="00E12F9F" w:rsidP="00674F82">
            <w:pPr>
              <w:spacing w:after="0" w:line="240" w:lineRule="auto"/>
              <w:jc w:val="center"/>
            </w:pPr>
            <w:r w:rsidRPr="00E12F9F">
              <w:t>27</w:t>
            </w:r>
          </w:p>
        </w:tc>
      </w:tr>
      <w:tr w:rsidR="00E12F9F" w:rsidRPr="00E12F9F" w14:paraId="5BE0E2C7" w14:textId="77777777" w:rsidTr="00674F82">
        <w:tc>
          <w:tcPr>
            <w:tcW w:w="3000" w:type="dxa"/>
            <w:tcBorders>
              <w:left w:val="single" w:sz="12" w:space="0" w:color="auto"/>
              <w:right w:val="single" w:sz="12" w:space="0" w:color="auto"/>
            </w:tcBorders>
          </w:tcPr>
          <w:p w14:paraId="4D06B7AC" w14:textId="77777777" w:rsidR="00E12F9F" w:rsidRPr="00E12F9F" w:rsidRDefault="00E12F9F" w:rsidP="00674F82">
            <w:pPr>
              <w:spacing w:after="0" w:line="240" w:lineRule="auto"/>
            </w:pPr>
            <w:r w:rsidRPr="00E12F9F">
              <w:t xml:space="preserve">     Bills</w:t>
            </w:r>
          </w:p>
        </w:tc>
        <w:tc>
          <w:tcPr>
            <w:tcW w:w="2997" w:type="dxa"/>
            <w:tcBorders>
              <w:left w:val="single" w:sz="12" w:space="0" w:color="auto"/>
              <w:right w:val="single" w:sz="12" w:space="0" w:color="auto"/>
            </w:tcBorders>
          </w:tcPr>
          <w:p w14:paraId="15C1230B" w14:textId="77777777" w:rsidR="00E12F9F" w:rsidRPr="00E12F9F" w:rsidRDefault="00E12F9F" w:rsidP="00674F82">
            <w:pPr>
              <w:spacing w:after="0" w:line="240" w:lineRule="auto"/>
              <w:jc w:val="center"/>
            </w:pPr>
            <w:r w:rsidRPr="00E12F9F">
              <w:t>12</w:t>
            </w:r>
          </w:p>
        </w:tc>
        <w:tc>
          <w:tcPr>
            <w:tcW w:w="2999" w:type="dxa"/>
            <w:tcBorders>
              <w:left w:val="single" w:sz="12" w:space="0" w:color="auto"/>
              <w:right w:val="single" w:sz="12" w:space="0" w:color="auto"/>
            </w:tcBorders>
          </w:tcPr>
          <w:p w14:paraId="2D6A2381" w14:textId="77777777" w:rsidR="00E12F9F" w:rsidRPr="00E12F9F" w:rsidRDefault="00E12F9F" w:rsidP="00674F82">
            <w:pPr>
              <w:spacing w:after="0" w:line="240" w:lineRule="auto"/>
              <w:jc w:val="center"/>
            </w:pPr>
            <w:r w:rsidRPr="00E12F9F">
              <w:t>12</w:t>
            </w:r>
          </w:p>
        </w:tc>
      </w:tr>
      <w:tr w:rsidR="00E12F9F" w:rsidRPr="00E12F9F" w14:paraId="0D5A7343" w14:textId="77777777" w:rsidTr="00674F82">
        <w:tc>
          <w:tcPr>
            <w:tcW w:w="3000" w:type="dxa"/>
            <w:tcBorders>
              <w:left w:val="single" w:sz="12" w:space="0" w:color="auto"/>
              <w:right w:val="single" w:sz="12" w:space="0" w:color="auto"/>
            </w:tcBorders>
          </w:tcPr>
          <w:p w14:paraId="5D68E11B" w14:textId="77777777" w:rsidR="00E12F9F" w:rsidRPr="00E12F9F" w:rsidRDefault="00E12F9F" w:rsidP="00674F82">
            <w:pPr>
              <w:spacing w:after="0" w:line="240" w:lineRule="auto"/>
            </w:pPr>
            <w:r w:rsidRPr="00E12F9F">
              <w:t xml:space="preserve">     With specialties</w:t>
            </w:r>
          </w:p>
        </w:tc>
        <w:tc>
          <w:tcPr>
            <w:tcW w:w="2997" w:type="dxa"/>
            <w:tcBorders>
              <w:left w:val="single" w:sz="12" w:space="0" w:color="auto"/>
              <w:right w:val="single" w:sz="12" w:space="0" w:color="auto"/>
            </w:tcBorders>
          </w:tcPr>
          <w:p w14:paraId="1B90A978" w14:textId="77777777" w:rsidR="00E12F9F" w:rsidRPr="00E12F9F" w:rsidRDefault="00E12F9F" w:rsidP="00674F82">
            <w:pPr>
              <w:spacing w:after="0" w:line="240" w:lineRule="auto"/>
              <w:jc w:val="center"/>
            </w:pPr>
            <w:r w:rsidRPr="00E12F9F">
              <w:t>6</w:t>
            </w:r>
          </w:p>
        </w:tc>
        <w:tc>
          <w:tcPr>
            <w:tcW w:w="2999" w:type="dxa"/>
            <w:tcBorders>
              <w:left w:val="single" w:sz="12" w:space="0" w:color="auto"/>
              <w:right w:val="single" w:sz="12" w:space="0" w:color="auto"/>
            </w:tcBorders>
          </w:tcPr>
          <w:p w14:paraId="17C22036" w14:textId="77777777" w:rsidR="00E12F9F" w:rsidRPr="00E12F9F" w:rsidRDefault="00E12F9F" w:rsidP="00674F82">
            <w:pPr>
              <w:spacing w:after="0" w:line="240" w:lineRule="auto"/>
              <w:jc w:val="center"/>
            </w:pPr>
            <w:r w:rsidRPr="00E12F9F">
              <w:t>8</w:t>
            </w:r>
          </w:p>
        </w:tc>
      </w:tr>
      <w:tr w:rsidR="00E12F9F" w:rsidRPr="00E12F9F" w14:paraId="69B81883" w14:textId="77777777" w:rsidTr="00674F82">
        <w:tc>
          <w:tcPr>
            <w:tcW w:w="3000" w:type="dxa"/>
            <w:tcBorders>
              <w:left w:val="single" w:sz="12" w:space="0" w:color="auto"/>
              <w:right w:val="single" w:sz="12" w:space="0" w:color="auto"/>
            </w:tcBorders>
          </w:tcPr>
          <w:p w14:paraId="62049B4B" w14:textId="77777777" w:rsidR="00E12F9F" w:rsidRPr="00E12F9F" w:rsidRDefault="00E12F9F" w:rsidP="00674F82">
            <w:pPr>
              <w:spacing w:after="0" w:line="240" w:lineRule="auto"/>
            </w:pPr>
            <w:r w:rsidRPr="00E12F9F">
              <w:t xml:space="preserve">     Securities</w:t>
            </w:r>
          </w:p>
        </w:tc>
        <w:tc>
          <w:tcPr>
            <w:tcW w:w="2997" w:type="dxa"/>
            <w:tcBorders>
              <w:left w:val="single" w:sz="12" w:space="0" w:color="auto"/>
              <w:right w:val="single" w:sz="12" w:space="0" w:color="auto"/>
            </w:tcBorders>
          </w:tcPr>
          <w:p w14:paraId="65C670CC" w14:textId="77777777" w:rsidR="00E12F9F" w:rsidRPr="00E12F9F" w:rsidRDefault="00E12F9F" w:rsidP="00674F82">
            <w:pPr>
              <w:spacing w:after="0" w:line="240" w:lineRule="auto"/>
              <w:jc w:val="center"/>
            </w:pPr>
            <w:r w:rsidRPr="00E12F9F">
              <w:t>0</w:t>
            </w:r>
          </w:p>
        </w:tc>
        <w:tc>
          <w:tcPr>
            <w:tcW w:w="2999" w:type="dxa"/>
            <w:tcBorders>
              <w:left w:val="single" w:sz="12" w:space="0" w:color="auto"/>
              <w:right w:val="single" w:sz="12" w:space="0" w:color="auto"/>
            </w:tcBorders>
          </w:tcPr>
          <w:p w14:paraId="08E2392D" w14:textId="77777777" w:rsidR="00E12F9F" w:rsidRPr="00E12F9F" w:rsidRDefault="00E12F9F" w:rsidP="00674F82">
            <w:pPr>
              <w:spacing w:after="0" w:line="240" w:lineRule="auto"/>
              <w:jc w:val="center"/>
            </w:pPr>
            <w:r w:rsidRPr="00E12F9F">
              <w:t>1</w:t>
            </w:r>
          </w:p>
        </w:tc>
      </w:tr>
      <w:tr w:rsidR="00E12F9F" w:rsidRPr="00E12F9F" w14:paraId="212A367C" w14:textId="77777777" w:rsidTr="00674F82">
        <w:tc>
          <w:tcPr>
            <w:tcW w:w="3000" w:type="dxa"/>
            <w:tcBorders>
              <w:left w:val="single" w:sz="12" w:space="0" w:color="auto"/>
              <w:right w:val="single" w:sz="12" w:space="0" w:color="auto"/>
            </w:tcBorders>
          </w:tcPr>
          <w:p w14:paraId="56913706" w14:textId="77777777" w:rsidR="00E12F9F" w:rsidRPr="00E12F9F" w:rsidRDefault="00E12F9F" w:rsidP="00674F82">
            <w:pPr>
              <w:spacing w:after="0" w:line="240" w:lineRule="auto"/>
            </w:pPr>
            <w:r w:rsidRPr="00E12F9F">
              <w:t xml:space="preserve">     Credits</w:t>
            </w:r>
          </w:p>
        </w:tc>
        <w:tc>
          <w:tcPr>
            <w:tcW w:w="2997" w:type="dxa"/>
            <w:tcBorders>
              <w:left w:val="single" w:sz="12" w:space="0" w:color="auto"/>
              <w:right w:val="single" w:sz="12" w:space="0" w:color="auto"/>
            </w:tcBorders>
          </w:tcPr>
          <w:p w14:paraId="1BF8CE6D" w14:textId="77777777" w:rsidR="00E12F9F" w:rsidRPr="00E12F9F" w:rsidRDefault="00E12F9F" w:rsidP="00674F82">
            <w:pPr>
              <w:spacing w:after="0" w:line="240" w:lineRule="auto"/>
              <w:jc w:val="center"/>
            </w:pPr>
            <w:r w:rsidRPr="00E12F9F">
              <w:t>4</w:t>
            </w:r>
          </w:p>
        </w:tc>
        <w:tc>
          <w:tcPr>
            <w:tcW w:w="2999" w:type="dxa"/>
            <w:tcBorders>
              <w:left w:val="single" w:sz="12" w:space="0" w:color="auto"/>
              <w:right w:val="single" w:sz="12" w:space="0" w:color="auto"/>
            </w:tcBorders>
          </w:tcPr>
          <w:p w14:paraId="3313FEFE" w14:textId="77777777" w:rsidR="00E12F9F" w:rsidRPr="00E12F9F" w:rsidRDefault="00E12F9F" w:rsidP="00674F82">
            <w:pPr>
              <w:spacing w:after="0" w:line="240" w:lineRule="auto"/>
              <w:jc w:val="center"/>
            </w:pPr>
            <w:r w:rsidRPr="00E12F9F">
              <w:t>0</w:t>
            </w:r>
          </w:p>
        </w:tc>
      </w:tr>
      <w:tr w:rsidR="00E12F9F" w:rsidRPr="00E12F9F" w14:paraId="2AAE837B" w14:textId="77777777" w:rsidTr="00674F82">
        <w:tc>
          <w:tcPr>
            <w:tcW w:w="3000" w:type="dxa"/>
            <w:tcBorders>
              <w:left w:val="single" w:sz="12" w:space="0" w:color="auto"/>
              <w:right w:val="single" w:sz="12" w:space="0" w:color="auto"/>
            </w:tcBorders>
          </w:tcPr>
          <w:p w14:paraId="6B78EF36" w14:textId="77777777" w:rsidR="00E12F9F" w:rsidRPr="00E12F9F" w:rsidRDefault="00E12F9F" w:rsidP="00674F82">
            <w:pPr>
              <w:spacing w:after="0" w:line="240" w:lineRule="auto"/>
            </w:pPr>
            <w:r w:rsidRPr="00E12F9F">
              <w:t xml:space="preserve">     Mortgages</w:t>
            </w:r>
          </w:p>
        </w:tc>
        <w:tc>
          <w:tcPr>
            <w:tcW w:w="2997" w:type="dxa"/>
            <w:tcBorders>
              <w:left w:val="single" w:sz="12" w:space="0" w:color="auto"/>
              <w:right w:val="single" w:sz="12" w:space="0" w:color="auto"/>
            </w:tcBorders>
          </w:tcPr>
          <w:p w14:paraId="197DE55A" w14:textId="77777777" w:rsidR="00E12F9F" w:rsidRPr="00E12F9F" w:rsidRDefault="00E12F9F" w:rsidP="00674F82">
            <w:pPr>
              <w:spacing w:after="0" w:line="240" w:lineRule="auto"/>
              <w:jc w:val="center"/>
            </w:pPr>
            <w:r w:rsidRPr="00E12F9F">
              <w:t>4</w:t>
            </w:r>
          </w:p>
        </w:tc>
        <w:tc>
          <w:tcPr>
            <w:tcW w:w="2999" w:type="dxa"/>
            <w:tcBorders>
              <w:left w:val="single" w:sz="12" w:space="0" w:color="auto"/>
              <w:right w:val="single" w:sz="12" w:space="0" w:color="auto"/>
            </w:tcBorders>
          </w:tcPr>
          <w:p w14:paraId="0DD4758E" w14:textId="77777777" w:rsidR="00E12F9F" w:rsidRPr="00E12F9F" w:rsidRDefault="00E12F9F" w:rsidP="00674F82">
            <w:pPr>
              <w:spacing w:after="0" w:line="240" w:lineRule="auto"/>
              <w:jc w:val="center"/>
            </w:pPr>
            <w:r w:rsidRPr="00E12F9F">
              <w:t>0</w:t>
            </w:r>
          </w:p>
        </w:tc>
      </w:tr>
      <w:tr w:rsidR="00E12F9F" w:rsidRPr="00E12F9F" w14:paraId="46E5514A" w14:textId="77777777" w:rsidTr="00674F82">
        <w:tc>
          <w:tcPr>
            <w:tcW w:w="3000" w:type="dxa"/>
            <w:tcBorders>
              <w:left w:val="single" w:sz="12" w:space="0" w:color="auto"/>
              <w:right w:val="single" w:sz="12" w:space="0" w:color="auto"/>
            </w:tcBorders>
          </w:tcPr>
          <w:p w14:paraId="03F6D6AF" w14:textId="77777777" w:rsidR="00E12F9F" w:rsidRPr="00E12F9F" w:rsidRDefault="00E12F9F" w:rsidP="00674F82">
            <w:pPr>
              <w:spacing w:after="0" w:line="240" w:lineRule="auto"/>
            </w:pPr>
            <w:r w:rsidRPr="00E12F9F">
              <w:t xml:space="preserve">     Obligations</w:t>
            </w:r>
          </w:p>
        </w:tc>
        <w:tc>
          <w:tcPr>
            <w:tcW w:w="2997" w:type="dxa"/>
            <w:tcBorders>
              <w:left w:val="single" w:sz="12" w:space="0" w:color="auto"/>
              <w:right w:val="single" w:sz="12" w:space="0" w:color="auto"/>
            </w:tcBorders>
          </w:tcPr>
          <w:p w14:paraId="2F96B89D" w14:textId="77777777" w:rsidR="00E12F9F" w:rsidRPr="00E12F9F" w:rsidRDefault="00E12F9F" w:rsidP="00674F82">
            <w:pPr>
              <w:spacing w:after="0" w:line="240" w:lineRule="auto"/>
              <w:jc w:val="center"/>
            </w:pPr>
            <w:r w:rsidRPr="00E12F9F">
              <w:t>0</w:t>
            </w:r>
          </w:p>
        </w:tc>
        <w:tc>
          <w:tcPr>
            <w:tcW w:w="2999" w:type="dxa"/>
            <w:tcBorders>
              <w:left w:val="single" w:sz="12" w:space="0" w:color="auto"/>
              <w:right w:val="single" w:sz="12" w:space="0" w:color="auto"/>
            </w:tcBorders>
          </w:tcPr>
          <w:p w14:paraId="44352BFD" w14:textId="77777777" w:rsidR="00E12F9F" w:rsidRPr="00E12F9F" w:rsidRDefault="00E12F9F" w:rsidP="00674F82">
            <w:pPr>
              <w:spacing w:after="0" w:line="240" w:lineRule="auto"/>
              <w:jc w:val="center"/>
            </w:pPr>
            <w:r w:rsidRPr="00E12F9F">
              <w:t>2</w:t>
            </w:r>
          </w:p>
        </w:tc>
      </w:tr>
      <w:tr w:rsidR="00E12F9F" w:rsidRPr="00E12F9F" w14:paraId="7BF12878" w14:textId="77777777" w:rsidTr="00674F82">
        <w:tc>
          <w:tcPr>
            <w:tcW w:w="3000" w:type="dxa"/>
            <w:tcBorders>
              <w:left w:val="single" w:sz="12" w:space="0" w:color="auto"/>
              <w:right w:val="single" w:sz="12" w:space="0" w:color="auto"/>
            </w:tcBorders>
          </w:tcPr>
          <w:p w14:paraId="666C6F8E" w14:textId="77777777" w:rsidR="00E12F9F" w:rsidRPr="00E12F9F" w:rsidRDefault="00E12F9F" w:rsidP="00674F82">
            <w:pPr>
              <w:spacing w:after="0" w:line="240" w:lineRule="auto"/>
            </w:pPr>
            <w:r w:rsidRPr="00E12F9F">
              <w:t xml:space="preserve">     Articles of agreement</w:t>
            </w:r>
          </w:p>
        </w:tc>
        <w:tc>
          <w:tcPr>
            <w:tcW w:w="2997" w:type="dxa"/>
            <w:tcBorders>
              <w:left w:val="single" w:sz="12" w:space="0" w:color="auto"/>
              <w:right w:val="single" w:sz="12" w:space="0" w:color="auto"/>
            </w:tcBorders>
          </w:tcPr>
          <w:p w14:paraId="69007519" w14:textId="77777777" w:rsidR="00E12F9F" w:rsidRPr="00E12F9F" w:rsidRDefault="00E12F9F" w:rsidP="00674F82">
            <w:pPr>
              <w:spacing w:after="0" w:line="240" w:lineRule="auto"/>
              <w:jc w:val="center"/>
            </w:pPr>
            <w:r w:rsidRPr="00E12F9F">
              <w:t>0</w:t>
            </w:r>
          </w:p>
        </w:tc>
        <w:tc>
          <w:tcPr>
            <w:tcW w:w="2999" w:type="dxa"/>
            <w:tcBorders>
              <w:left w:val="single" w:sz="12" w:space="0" w:color="auto"/>
              <w:right w:val="single" w:sz="12" w:space="0" w:color="auto"/>
            </w:tcBorders>
          </w:tcPr>
          <w:p w14:paraId="51992A1B" w14:textId="77777777" w:rsidR="00E12F9F" w:rsidRPr="00E12F9F" w:rsidRDefault="00E12F9F" w:rsidP="00674F82">
            <w:pPr>
              <w:spacing w:after="0" w:line="240" w:lineRule="auto"/>
              <w:jc w:val="center"/>
            </w:pPr>
            <w:r w:rsidRPr="00E12F9F">
              <w:t>1</w:t>
            </w:r>
          </w:p>
        </w:tc>
      </w:tr>
      <w:tr w:rsidR="00E12F9F" w:rsidRPr="00E12F9F" w14:paraId="661C020A" w14:textId="77777777" w:rsidTr="00674F82">
        <w:tc>
          <w:tcPr>
            <w:tcW w:w="3000" w:type="dxa"/>
            <w:tcBorders>
              <w:top w:val="single" w:sz="4" w:space="0" w:color="auto"/>
              <w:left w:val="single" w:sz="12" w:space="0" w:color="auto"/>
              <w:bottom w:val="single" w:sz="12" w:space="0" w:color="auto"/>
              <w:right w:val="single" w:sz="12" w:space="0" w:color="auto"/>
            </w:tcBorders>
          </w:tcPr>
          <w:p w14:paraId="6DAA7B8D" w14:textId="77777777" w:rsidR="00E12F9F" w:rsidRPr="00E12F9F" w:rsidRDefault="00E12F9F" w:rsidP="00674F82">
            <w:pPr>
              <w:spacing w:after="0" w:line="240" w:lineRule="auto"/>
            </w:pPr>
            <w:r w:rsidRPr="00E12F9F">
              <w:t>Unspecified debts due</w:t>
            </w:r>
          </w:p>
        </w:tc>
        <w:tc>
          <w:tcPr>
            <w:tcW w:w="2997" w:type="dxa"/>
            <w:tcBorders>
              <w:top w:val="single" w:sz="4" w:space="0" w:color="auto"/>
              <w:left w:val="single" w:sz="12" w:space="0" w:color="auto"/>
              <w:bottom w:val="single" w:sz="12" w:space="0" w:color="auto"/>
              <w:right w:val="single" w:sz="12" w:space="0" w:color="auto"/>
            </w:tcBorders>
          </w:tcPr>
          <w:p w14:paraId="4052C915" w14:textId="77777777" w:rsidR="00E12F9F" w:rsidRPr="00E12F9F" w:rsidRDefault="00E12F9F" w:rsidP="00674F82">
            <w:pPr>
              <w:spacing w:after="0" w:line="240" w:lineRule="auto"/>
              <w:jc w:val="center"/>
            </w:pPr>
            <w:r w:rsidRPr="00E12F9F">
              <w:t>29</w:t>
            </w:r>
          </w:p>
        </w:tc>
        <w:tc>
          <w:tcPr>
            <w:tcW w:w="2999" w:type="dxa"/>
            <w:tcBorders>
              <w:top w:val="single" w:sz="4" w:space="0" w:color="auto"/>
              <w:left w:val="single" w:sz="12" w:space="0" w:color="auto"/>
              <w:bottom w:val="single" w:sz="12" w:space="0" w:color="auto"/>
              <w:right w:val="single" w:sz="12" w:space="0" w:color="auto"/>
            </w:tcBorders>
          </w:tcPr>
          <w:p w14:paraId="42F90405" w14:textId="77777777" w:rsidR="00E12F9F" w:rsidRPr="00E12F9F" w:rsidRDefault="00E12F9F" w:rsidP="00674F82">
            <w:pPr>
              <w:spacing w:after="0" w:line="240" w:lineRule="auto"/>
              <w:jc w:val="center"/>
            </w:pPr>
            <w:r w:rsidRPr="00E12F9F">
              <w:t>15</w:t>
            </w:r>
          </w:p>
        </w:tc>
      </w:tr>
    </w:tbl>
    <w:p w14:paraId="5B872BBF" w14:textId="77777777" w:rsidR="00E12F9F" w:rsidRPr="00E12F9F" w:rsidRDefault="00E12F9F" w:rsidP="00E12F9F"/>
    <w:p w14:paraId="1BFE21D7" w14:textId="77777777" w:rsidR="00674F82" w:rsidRDefault="00674F82" w:rsidP="00E12F9F">
      <w:pPr>
        <w:jc w:val="center"/>
      </w:pPr>
    </w:p>
    <w:p w14:paraId="5DF085A7" w14:textId="77777777" w:rsidR="00674F82" w:rsidRDefault="00674F82" w:rsidP="00E12F9F">
      <w:pPr>
        <w:jc w:val="center"/>
      </w:pPr>
    </w:p>
    <w:p w14:paraId="2773CB28" w14:textId="77777777" w:rsidR="00674F82" w:rsidRDefault="00674F82" w:rsidP="00E12F9F">
      <w:pPr>
        <w:jc w:val="center"/>
      </w:pPr>
    </w:p>
    <w:p w14:paraId="27517A42" w14:textId="77777777" w:rsidR="00674F82" w:rsidRDefault="00674F82" w:rsidP="00E12F9F">
      <w:pPr>
        <w:jc w:val="center"/>
      </w:pPr>
    </w:p>
    <w:p w14:paraId="59BF0DB0" w14:textId="77777777" w:rsidR="00674F82" w:rsidRDefault="00674F82" w:rsidP="00E12F9F">
      <w:pPr>
        <w:jc w:val="center"/>
      </w:pPr>
    </w:p>
    <w:p w14:paraId="05CA5C4F" w14:textId="77777777" w:rsidR="00674F82" w:rsidRDefault="00674F82" w:rsidP="00E12F9F">
      <w:pPr>
        <w:jc w:val="center"/>
      </w:pPr>
    </w:p>
    <w:p w14:paraId="6BA630BA" w14:textId="49B00A3A" w:rsidR="00E12F9F" w:rsidRPr="00E12F9F" w:rsidRDefault="00E12F9F" w:rsidP="00E12F9F">
      <w:pPr>
        <w:jc w:val="center"/>
      </w:pPr>
      <w:r w:rsidRPr="00E12F9F">
        <w:t xml:space="preserve">Table 19 – </w:t>
      </w:r>
      <w:r w:rsidR="00D951C3" w:rsidRPr="00D951C3">
        <w:t>Prevalence of</w:t>
      </w:r>
      <w:r w:rsidR="00D951C3" w:rsidRPr="00E12F9F">
        <w:t xml:space="preserve"> different types of moneylending in </w:t>
      </w:r>
      <w:r w:rsidR="00D951C3" w:rsidRPr="00D951C3">
        <w:t xml:space="preserve">inventories within </w:t>
      </w:r>
      <w:r w:rsidR="00D951C3" w:rsidRPr="00E12F9F">
        <w:t>the Bolton-le-Sands and Prestbury wider survey</w:t>
      </w:r>
      <w:r w:rsidRPr="00E12F9F">
        <w:t>.</w:t>
      </w:r>
    </w:p>
    <w:p w14:paraId="61A83073" w14:textId="77777777" w:rsidR="00E12F9F" w:rsidRPr="00E12F9F" w:rsidRDefault="00E12F9F" w:rsidP="00E12F9F">
      <w:r w:rsidRPr="00E12F9F">
        <w:br w:type="page"/>
      </w:r>
    </w:p>
    <w:tbl>
      <w:tblPr>
        <w:tblStyle w:val="TableGrid8"/>
        <w:tblpPr w:leftFromText="180" w:rightFromText="180" w:horzAnchor="margin" w:tblpY="2670"/>
        <w:tblW w:w="0" w:type="auto"/>
        <w:tblLayout w:type="fixed"/>
        <w:tblLook w:val="04A0" w:firstRow="1" w:lastRow="0" w:firstColumn="1" w:lastColumn="0" w:noHBand="0" w:noVBand="1"/>
      </w:tblPr>
      <w:tblGrid>
        <w:gridCol w:w="1461"/>
        <w:gridCol w:w="1076"/>
        <w:gridCol w:w="1276"/>
        <w:gridCol w:w="1417"/>
        <w:gridCol w:w="1134"/>
        <w:gridCol w:w="1295"/>
        <w:gridCol w:w="1337"/>
      </w:tblGrid>
      <w:tr w:rsidR="00E12F9F" w:rsidRPr="00E12F9F" w14:paraId="2F42C14F" w14:textId="77777777" w:rsidTr="00674F82">
        <w:tc>
          <w:tcPr>
            <w:tcW w:w="1461" w:type="dxa"/>
            <w:vMerge w:val="restart"/>
            <w:tcBorders>
              <w:top w:val="single" w:sz="12" w:space="0" w:color="auto"/>
              <w:left w:val="single" w:sz="12" w:space="0" w:color="auto"/>
              <w:right w:val="single" w:sz="12" w:space="0" w:color="auto"/>
            </w:tcBorders>
          </w:tcPr>
          <w:p w14:paraId="0C57A6BD" w14:textId="77777777" w:rsidR="00E12F9F" w:rsidRPr="00E12F9F" w:rsidRDefault="00E12F9F" w:rsidP="00674F82">
            <w:pPr>
              <w:spacing w:after="0" w:line="240" w:lineRule="auto"/>
              <w:rPr>
                <w:b/>
                <w:bCs/>
              </w:rPr>
            </w:pPr>
          </w:p>
        </w:tc>
        <w:tc>
          <w:tcPr>
            <w:tcW w:w="3769" w:type="dxa"/>
            <w:gridSpan w:val="3"/>
            <w:tcBorders>
              <w:top w:val="single" w:sz="12" w:space="0" w:color="auto"/>
              <w:left w:val="single" w:sz="12" w:space="0" w:color="auto"/>
              <w:bottom w:val="single" w:sz="12" w:space="0" w:color="auto"/>
              <w:right w:val="single" w:sz="12" w:space="0" w:color="auto"/>
            </w:tcBorders>
          </w:tcPr>
          <w:p w14:paraId="19A456E9" w14:textId="77777777" w:rsidR="00E12F9F" w:rsidRPr="00E12F9F" w:rsidRDefault="00E12F9F" w:rsidP="00674F82">
            <w:pPr>
              <w:spacing w:after="0" w:line="240" w:lineRule="auto"/>
              <w:jc w:val="center"/>
              <w:rPr>
                <w:b/>
                <w:bCs/>
              </w:rPr>
            </w:pPr>
            <w:r w:rsidRPr="00E12F9F">
              <w:rPr>
                <w:b/>
                <w:bCs/>
              </w:rPr>
              <w:t>Bolton-le-Sands</w:t>
            </w:r>
          </w:p>
        </w:tc>
        <w:tc>
          <w:tcPr>
            <w:tcW w:w="3766" w:type="dxa"/>
            <w:gridSpan w:val="3"/>
            <w:tcBorders>
              <w:top w:val="single" w:sz="12" w:space="0" w:color="auto"/>
              <w:left w:val="single" w:sz="12" w:space="0" w:color="auto"/>
              <w:bottom w:val="single" w:sz="12" w:space="0" w:color="auto"/>
              <w:right w:val="single" w:sz="12" w:space="0" w:color="auto"/>
            </w:tcBorders>
          </w:tcPr>
          <w:p w14:paraId="50A6EF9A" w14:textId="77777777" w:rsidR="00E12F9F" w:rsidRPr="00E12F9F" w:rsidRDefault="00E12F9F" w:rsidP="00674F82">
            <w:pPr>
              <w:spacing w:after="0" w:line="240" w:lineRule="auto"/>
              <w:jc w:val="center"/>
              <w:rPr>
                <w:b/>
                <w:bCs/>
              </w:rPr>
            </w:pPr>
            <w:r w:rsidRPr="00E12F9F">
              <w:rPr>
                <w:b/>
                <w:bCs/>
              </w:rPr>
              <w:t>Prestbury</w:t>
            </w:r>
          </w:p>
        </w:tc>
      </w:tr>
      <w:tr w:rsidR="00E12F9F" w:rsidRPr="00E12F9F" w14:paraId="79B6D270" w14:textId="77777777" w:rsidTr="00674F82">
        <w:tc>
          <w:tcPr>
            <w:tcW w:w="1461" w:type="dxa"/>
            <w:vMerge/>
            <w:tcBorders>
              <w:left w:val="single" w:sz="12" w:space="0" w:color="auto"/>
              <w:bottom w:val="single" w:sz="12" w:space="0" w:color="auto"/>
              <w:right w:val="single" w:sz="12" w:space="0" w:color="auto"/>
            </w:tcBorders>
          </w:tcPr>
          <w:p w14:paraId="2EFECFCA" w14:textId="77777777" w:rsidR="00E12F9F" w:rsidRPr="00E12F9F" w:rsidRDefault="00E12F9F" w:rsidP="00674F82">
            <w:pPr>
              <w:spacing w:after="0" w:line="240" w:lineRule="auto"/>
            </w:pPr>
          </w:p>
        </w:tc>
        <w:tc>
          <w:tcPr>
            <w:tcW w:w="1076" w:type="dxa"/>
            <w:tcBorders>
              <w:top w:val="single" w:sz="12" w:space="0" w:color="auto"/>
              <w:left w:val="single" w:sz="12" w:space="0" w:color="auto"/>
              <w:bottom w:val="single" w:sz="12" w:space="0" w:color="auto"/>
              <w:right w:val="single" w:sz="12" w:space="0" w:color="auto"/>
            </w:tcBorders>
          </w:tcPr>
          <w:p w14:paraId="007634EE" w14:textId="77777777" w:rsidR="00E12F9F" w:rsidRPr="00E12F9F" w:rsidRDefault="00E12F9F" w:rsidP="00674F82">
            <w:pPr>
              <w:spacing w:after="0" w:line="240" w:lineRule="auto"/>
              <w:jc w:val="center"/>
              <w:rPr>
                <w:b/>
                <w:bCs/>
              </w:rPr>
            </w:pPr>
            <w:r w:rsidRPr="00E12F9F">
              <w:rPr>
                <w:b/>
                <w:bCs/>
              </w:rPr>
              <w:t xml:space="preserve">No. of </w:t>
            </w:r>
            <w:proofErr w:type="gramStart"/>
            <w:r w:rsidRPr="00E12F9F">
              <w:rPr>
                <w:b/>
                <w:bCs/>
              </w:rPr>
              <w:t>Money-lenders</w:t>
            </w:r>
            <w:proofErr w:type="gramEnd"/>
          </w:p>
        </w:tc>
        <w:tc>
          <w:tcPr>
            <w:tcW w:w="1276" w:type="dxa"/>
            <w:tcBorders>
              <w:top w:val="single" w:sz="12" w:space="0" w:color="auto"/>
              <w:left w:val="single" w:sz="12" w:space="0" w:color="auto"/>
              <w:bottom w:val="single" w:sz="12" w:space="0" w:color="auto"/>
              <w:right w:val="single" w:sz="12" w:space="0" w:color="auto"/>
            </w:tcBorders>
          </w:tcPr>
          <w:p w14:paraId="51D938F2" w14:textId="77777777" w:rsidR="00E12F9F" w:rsidRPr="00E12F9F" w:rsidRDefault="00E12F9F" w:rsidP="00674F82">
            <w:pPr>
              <w:spacing w:after="0" w:line="240" w:lineRule="auto"/>
              <w:jc w:val="center"/>
              <w:rPr>
                <w:b/>
                <w:bCs/>
              </w:rPr>
            </w:pPr>
            <w:r w:rsidRPr="00E12F9F">
              <w:rPr>
                <w:b/>
                <w:bCs/>
              </w:rPr>
              <w:t>Total No. of Testators</w:t>
            </w:r>
          </w:p>
        </w:tc>
        <w:tc>
          <w:tcPr>
            <w:tcW w:w="1417" w:type="dxa"/>
            <w:tcBorders>
              <w:top w:val="single" w:sz="12" w:space="0" w:color="auto"/>
              <w:left w:val="single" w:sz="12" w:space="0" w:color="auto"/>
              <w:bottom w:val="single" w:sz="12" w:space="0" w:color="auto"/>
              <w:right w:val="single" w:sz="12" w:space="0" w:color="auto"/>
            </w:tcBorders>
          </w:tcPr>
          <w:p w14:paraId="156A7562" w14:textId="77777777" w:rsidR="00E12F9F" w:rsidRPr="00E12F9F" w:rsidRDefault="00E12F9F" w:rsidP="00674F82">
            <w:pPr>
              <w:spacing w:after="0" w:line="240" w:lineRule="auto"/>
              <w:jc w:val="center"/>
              <w:rPr>
                <w:b/>
                <w:bCs/>
              </w:rPr>
            </w:pPr>
            <w:r w:rsidRPr="00E12F9F">
              <w:rPr>
                <w:b/>
                <w:bCs/>
              </w:rPr>
              <w:t xml:space="preserve">Percentage Engaging in </w:t>
            </w:r>
            <w:proofErr w:type="gramStart"/>
            <w:r w:rsidRPr="00E12F9F">
              <w:rPr>
                <w:b/>
                <w:bCs/>
              </w:rPr>
              <w:t>Money-lending</w:t>
            </w:r>
            <w:proofErr w:type="gramEnd"/>
            <w:r w:rsidRPr="00E12F9F">
              <w:rPr>
                <w:b/>
                <w:bCs/>
              </w:rPr>
              <w:t xml:space="preserve"> </w:t>
            </w:r>
          </w:p>
        </w:tc>
        <w:tc>
          <w:tcPr>
            <w:tcW w:w="1134" w:type="dxa"/>
            <w:tcBorders>
              <w:top w:val="single" w:sz="12" w:space="0" w:color="auto"/>
              <w:left w:val="single" w:sz="12" w:space="0" w:color="auto"/>
              <w:bottom w:val="single" w:sz="12" w:space="0" w:color="auto"/>
              <w:right w:val="single" w:sz="12" w:space="0" w:color="auto"/>
            </w:tcBorders>
          </w:tcPr>
          <w:p w14:paraId="3025EAE6" w14:textId="77777777" w:rsidR="00E12F9F" w:rsidRPr="00E12F9F" w:rsidRDefault="00E12F9F" w:rsidP="00674F82">
            <w:pPr>
              <w:spacing w:after="0" w:line="240" w:lineRule="auto"/>
              <w:jc w:val="center"/>
            </w:pPr>
            <w:r w:rsidRPr="00E12F9F">
              <w:rPr>
                <w:b/>
                <w:bCs/>
              </w:rPr>
              <w:t xml:space="preserve">No. of </w:t>
            </w:r>
            <w:proofErr w:type="gramStart"/>
            <w:r w:rsidRPr="00E12F9F">
              <w:rPr>
                <w:b/>
                <w:bCs/>
              </w:rPr>
              <w:t>Money-lenders</w:t>
            </w:r>
            <w:proofErr w:type="gramEnd"/>
          </w:p>
        </w:tc>
        <w:tc>
          <w:tcPr>
            <w:tcW w:w="1295" w:type="dxa"/>
            <w:tcBorders>
              <w:top w:val="single" w:sz="12" w:space="0" w:color="auto"/>
              <w:left w:val="single" w:sz="12" w:space="0" w:color="auto"/>
              <w:bottom w:val="single" w:sz="12" w:space="0" w:color="auto"/>
              <w:right w:val="single" w:sz="12" w:space="0" w:color="auto"/>
            </w:tcBorders>
          </w:tcPr>
          <w:p w14:paraId="39B1392B" w14:textId="77777777" w:rsidR="00E12F9F" w:rsidRPr="00E12F9F" w:rsidRDefault="00E12F9F" w:rsidP="00674F82">
            <w:pPr>
              <w:spacing w:after="0" w:line="240" w:lineRule="auto"/>
              <w:jc w:val="center"/>
              <w:rPr>
                <w:b/>
                <w:bCs/>
              </w:rPr>
            </w:pPr>
            <w:r w:rsidRPr="00E12F9F">
              <w:rPr>
                <w:b/>
                <w:bCs/>
              </w:rPr>
              <w:t>Total No. of Testators</w:t>
            </w:r>
          </w:p>
        </w:tc>
        <w:tc>
          <w:tcPr>
            <w:tcW w:w="1337" w:type="dxa"/>
            <w:tcBorders>
              <w:top w:val="single" w:sz="12" w:space="0" w:color="auto"/>
              <w:left w:val="single" w:sz="12" w:space="0" w:color="auto"/>
              <w:bottom w:val="single" w:sz="12" w:space="0" w:color="auto"/>
              <w:right w:val="single" w:sz="12" w:space="0" w:color="auto"/>
            </w:tcBorders>
          </w:tcPr>
          <w:p w14:paraId="5EEB08A0" w14:textId="77777777" w:rsidR="00E12F9F" w:rsidRPr="00E12F9F" w:rsidRDefault="00E12F9F" w:rsidP="00674F82">
            <w:pPr>
              <w:spacing w:after="0" w:line="240" w:lineRule="auto"/>
              <w:jc w:val="center"/>
              <w:rPr>
                <w:b/>
                <w:bCs/>
              </w:rPr>
            </w:pPr>
            <w:r w:rsidRPr="00E12F9F">
              <w:rPr>
                <w:b/>
                <w:bCs/>
              </w:rPr>
              <w:t xml:space="preserve">Percentage Engaging in </w:t>
            </w:r>
            <w:proofErr w:type="gramStart"/>
            <w:r w:rsidRPr="00E12F9F">
              <w:rPr>
                <w:b/>
                <w:bCs/>
              </w:rPr>
              <w:t>Money-lending</w:t>
            </w:r>
            <w:proofErr w:type="gramEnd"/>
            <w:r w:rsidRPr="00E12F9F">
              <w:rPr>
                <w:b/>
                <w:bCs/>
              </w:rPr>
              <w:t xml:space="preserve"> </w:t>
            </w:r>
          </w:p>
        </w:tc>
      </w:tr>
      <w:tr w:rsidR="00E12F9F" w:rsidRPr="00E12F9F" w14:paraId="35DB8855" w14:textId="77777777" w:rsidTr="00674F82">
        <w:tc>
          <w:tcPr>
            <w:tcW w:w="1461" w:type="dxa"/>
            <w:tcBorders>
              <w:top w:val="single" w:sz="12" w:space="0" w:color="auto"/>
              <w:left w:val="single" w:sz="12" w:space="0" w:color="auto"/>
              <w:right w:val="single" w:sz="12" w:space="0" w:color="auto"/>
            </w:tcBorders>
          </w:tcPr>
          <w:p w14:paraId="75B41D9A" w14:textId="77777777" w:rsidR="00E12F9F" w:rsidRPr="00E12F9F" w:rsidRDefault="00E12F9F" w:rsidP="00674F82">
            <w:pPr>
              <w:spacing w:after="0" w:line="240" w:lineRule="auto"/>
              <w:rPr>
                <w:b/>
                <w:bCs/>
              </w:rPr>
            </w:pPr>
            <w:r w:rsidRPr="00E12F9F">
              <w:rPr>
                <w:b/>
                <w:bCs/>
              </w:rPr>
              <w:t>Men</w:t>
            </w:r>
          </w:p>
        </w:tc>
        <w:tc>
          <w:tcPr>
            <w:tcW w:w="1076" w:type="dxa"/>
            <w:tcBorders>
              <w:top w:val="single" w:sz="12" w:space="0" w:color="auto"/>
              <w:left w:val="single" w:sz="12" w:space="0" w:color="auto"/>
              <w:right w:val="single" w:sz="12" w:space="0" w:color="auto"/>
            </w:tcBorders>
          </w:tcPr>
          <w:p w14:paraId="19E09429" w14:textId="77777777" w:rsidR="00E12F9F" w:rsidRPr="00E12F9F" w:rsidRDefault="00E12F9F" w:rsidP="00674F82">
            <w:pPr>
              <w:spacing w:after="0" w:line="240" w:lineRule="auto"/>
              <w:jc w:val="center"/>
              <w:rPr>
                <w:b/>
                <w:bCs/>
              </w:rPr>
            </w:pPr>
            <w:r w:rsidRPr="00E12F9F">
              <w:rPr>
                <w:b/>
                <w:bCs/>
              </w:rPr>
              <w:t>38</w:t>
            </w:r>
          </w:p>
        </w:tc>
        <w:tc>
          <w:tcPr>
            <w:tcW w:w="1276" w:type="dxa"/>
            <w:tcBorders>
              <w:top w:val="single" w:sz="12" w:space="0" w:color="auto"/>
              <w:left w:val="single" w:sz="12" w:space="0" w:color="auto"/>
              <w:right w:val="single" w:sz="12" w:space="0" w:color="auto"/>
            </w:tcBorders>
          </w:tcPr>
          <w:p w14:paraId="57A09C12" w14:textId="77777777" w:rsidR="00E12F9F" w:rsidRPr="00E12F9F" w:rsidRDefault="00E12F9F" w:rsidP="00674F82">
            <w:pPr>
              <w:spacing w:after="0" w:line="240" w:lineRule="auto"/>
              <w:jc w:val="center"/>
              <w:rPr>
                <w:b/>
                <w:bCs/>
              </w:rPr>
            </w:pPr>
            <w:r w:rsidRPr="00E12F9F">
              <w:rPr>
                <w:b/>
                <w:bCs/>
              </w:rPr>
              <w:t>72</w:t>
            </w:r>
          </w:p>
        </w:tc>
        <w:tc>
          <w:tcPr>
            <w:tcW w:w="1417" w:type="dxa"/>
            <w:tcBorders>
              <w:top w:val="single" w:sz="12" w:space="0" w:color="auto"/>
              <w:left w:val="single" w:sz="12" w:space="0" w:color="auto"/>
              <w:right w:val="single" w:sz="12" w:space="0" w:color="auto"/>
            </w:tcBorders>
          </w:tcPr>
          <w:p w14:paraId="47903AB3" w14:textId="77777777" w:rsidR="00E12F9F" w:rsidRPr="00E12F9F" w:rsidRDefault="00E12F9F" w:rsidP="00674F82">
            <w:pPr>
              <w:spacing w:after="0" w:line="240" w:lineRule="auto"/>
              <w:jc w:val="center"/>
              <w:rPr>
                <w:b/>
                <w:bCs/>
              </w:rPr>
            </w:pPr>
            <w:r w:rsidRPr="00E12F9F">
              <w:rPr>
                <w:b/>
                <w:bCs/>
              </w:rPr>
              <w:t>53%</w:t>
            </w:r>
          </w:p>
        </w:tc>
        <w:tc>
          <w:tcPr>
            <w:tcW w:w="1134" w:type="dxa"/>
            <w:tcBorders>
              <w:top w:val="single" w:sz="12" w:space="0" w:color="auto"/>
              <w:left w:val="single" w:sz="12" w:space="0" w:color="auto"/>
              <w:right w:val="single" w:sz="12" w:space="0" w:color="auto"/>
            </w:tcBorders>
          </w:tcPr>
          <w:p w14:paraId="0328CEE8" w14:textId="77777777" w:rsidR="00E12F9F" w:rsidRPr="00E12F9F" w:rsidRDefault="00E12F9F" w:rsidP="00674F82">
            <w:pPr>
              <w:spacing w:after="0" w:line="240" w:lineRule="auto"/>
              <w:jc w:val="center"/>
              <w:rPr>
                <w:b/>
                <w:bCs/>
              </w:rPr>
            </w:pPr>
            <w:r w:rsidRPr="00E12F9F">
              <w:rPr>
                <w:b/>
                <w:bCs/>
              </w:rPr>
              <w:t>41</w:t>
            </w:r>
          </w:p>
        </w:tc>
        <w:tc>
          <w:tcPr>
            <w:tcW w:w="1295" w:type="dxa"/>
            <w:tcBorders>
              <w:top w:val="single" w:sz="12" w:space="0" w:color="auto"/>
              <w:left w:val="single" w:sz="12" w:space="0" w:color="auto"/>
              <w:right w:val="single" w:sz="12" w:space="0" w:color="auto"/>
            </w:tcBorders>
          </w:tcPr>
          <w:p w14:paraId="4F9640A5" w14:textId="77777777" w:rsidR="00E12F9F" w:rsidRPr="00E12F9F" w:rsidRDefault="00E12F9F" w:rsidP="00674F82">
            <w:pPr>
              <w:spacing w:after="0" w:line="240" w:lineRule="auto"/>
              <w:jc w:val="center"/>
              <w:rPr>
                <w:b/>
                <w:bCs/>
              </w:rPr>
            </w:pPr>
            <w:r w:rsidRPr="00E12F9F">
              <w:rPr>
                <w:b/>
                <w:bCs/>
              </w:rPr>
              <w:t>76</w:t>
            </w:r>
          </w:p>
        </w:tc>
        <w:tc>
          <w:tcPr>
            <w:tcW w:w="1337" w:type="dxa"/>
            <w:tcBorders>
              <w:top w:val="single" w:sz="12" w:space="0" w:color="auto"/>
              <w:left w:val="single" w:sz="12" w:space="0" w:color="auto"/>
              <w:right w:val="single" w:sz="12" w:space="0" w:color="auto"/>
            </w:tcBorders>
          </w:tcPr>
          <w:p w14:paraId="523AD3C8" w14:textId="77777777" w:rsidR="00E12F9F" w:rsidRPr="00E12F9F" w:rsidRDefault="00E12F9F" w:rsidP="00674F82">
            <w:pPr>
              <w:spacing w:after="0" w:line="240" w:lineRule="auto"/>
              <w:jc w:val="center"/>
              <w:rPr>
                <w:b/>
                <w:bCs/>
              </w:rPr>
            </w:pPr>
            <w:r w:rsidRPr="00E12F9F">
              <w:rPr>
                <w:b/>
                <w:bCs/>
              </w:rPr>
              <w:t>54%</w:t>
            </w:r>
          </w:p>
        </w:tc>
      </w:tr>
      <w:tr w:rsidR="00E12F9F" w:rsidRPr="00E12F9F" w14:paraId="74E26177" w14:textId="77777777" w:rsidTr="00674F82">
        <w:tc>
          <w:tcPr>
            <w:tcW w:w="1461" w:type="dxa"/>
            <w:tcBorders>
              <w:left w:val="single" w:sz="12" w:space="0" w:color="auto"/>
              <w:right w:val="single" w:sz="12" w:space="0" w:color="auto"/>
            </w:tcBorders>
          </w:tcPr>
          <w:p w14:paraId="4209F534" w14:textId="77777777" w:rsidR="00E12F9F" w:rsidRPr="00E12F9F" w:rsidRDefault="00E12F9F" w:rsidP="00674F82">
            <w:pPr>
              <w:spacing w:after="0" w:line="240" w:lineRule="auto"/>
            </w:pPr>
            <w:r w:rsidRPr="00E12F9F">
              <w:t xml:space="preserve">     Bachelor</w:t>
            </w:r>
          </w:p>
        </w:tc>
        <w:tc>
          <w:tcPr>
            <w:tcW w:w="1076" w:type="dxa"/>
            <w:tcBorders>
              <w:left w:val="single" w:sz="12" w:space="0" w:color="auto"/>
              <w:right w:val="single" w:sz="12" w:space="0" w:color="auto"/>
            </w:tcBorders>
          </w:tcPr>
          <w:p w14:paraId="13109AF1" w14:textId="77777777" w:rsidR="00E12F9F" w:rsidRPr="00E12F9F" w:rsidRDefault="00E12F9F" w:rsidP="00674F82">
            <w:pPr>
              <w:spacing w:after="0" w:line="240" w:lineRule="auto"/>
              <w:jc w:val="center"/>
            </w:pPr>
            <w:r w:rsidRPr="00E12F9F">
              <w:t>4</w:t>
            </w:r>
          </w:p>
        </w:tc>
        <w:tc>
          <w:tcPr>
            <w:tcW w:w="1276" w:type="dxa"/>
            <w:tcBorders>
              <w:left w:val="single" w:sz="12" w:space="0" w:color="auto"/>
              <w:right w:val="single" w:sz="12" w:space="0" w:color="auto"/>
            </w:tcBorders>
          </w:tcPr>
          <w:p w14:paraId="7F14DB3A" w14:textId="77777777" w:rsidR="00E12F9F" w:rsidRPr="00E12F9F" w:rsidRDefault="00E12F9F" w:rsidP="00674F82">
            <w:pPr>
              <w:spacing w:after="0" w:line="240" w:lineRule="auto"/>
              <w:jc w:val="center"/>
            </w:pPr>
            <w:r w:rsidRPr="00E12F9F">
              <w:t>6</w:t>
            </w:r>
          </w:p>
        </w:tc>
        <w:tc>
          <w:tcPr>
            <w:tcW w:w="1417" w:type="dxa"/>
            <w:tcBorders>
              <w:left w:val="single" w:sz="12" w:space="0" w:color="auto"/>
              <w:right w:val="single" w:sz="12" w:space="0" w:color="auto"/>
            </w:tcBorders>
          </w:tcPr>
          <w:p w14:paraId="5E2B2B71" w14:textId="77777777" w:rsidR="00E12F9F" w:rsidRPr="00E12F9F" w:rsidRDefault="00E12F9F" w:rsidP="00674F82">
            <w:pPr>
              <w:spacing w:after="0" w:line="240" w:lineRule="auto"/>
              <w:jc w:val="center"/>
            </w:pPr>
            <w:r w:rsidRPr="00E12F9F">
              <w:t>67%</w:t>
            </w:r>
          </w:p>
        </w:tc>
        <w:tc>
          <w:tcPr>
            <w:tcW w:w="1134" w:type="dxa"/>
            <w:tcBorders>
              <w:left w:val="single" w:sz="12" w:space="0" w:color="auto"/>
              <w:right w:val="single" w:sz="12" w:space="0" w:color="auto"/>
            </w:tcBorders>
          </w:tcPr>
          <w:p w14:paraId="392E7321" w14:textId="77777777" w:rsidR="00E12F9F" w:rsidRPr="00E12F9F" w:rsidRDefault="00E12F9F" w:rsidP="00674F82">
            <w:pPr>
              <w:spacing w:after="0" w:line="240" w:lineRule="auto"/>
              <w:jc w:val="center"/>
            </w:pPr>
            <w:r w:rsidRPr="00E12F9F">
              <w:t>9</w:t>
            </w:r>
          </w:p>
        </w:tc>
        <w:tc>
          <w:tcPr>
            <w:tcW w:w="1295" w:type="dxa"/>
            <w:tcBorders>
              <w:left w:val="single" w:sz="12" w:space="0" w:color="auto"/>
              <w:right w:val="single" w:sz="12" w:space="0" w:color="auto"/>
            </w:tcBorders>
          </w:tcPr>
          <w:p w14:paraId="4603941A" w14:textId="77777777" w:rsidR="00E12F9F" w:rsidRPr="00E12F9F" w:rsidRDefault="00E12F9F" w:rsidP="00674F82">
            <w:pPr>
              <w:spacing w:after="0" w:line="240" w:lineRule="auto"/>
              <w:jc w:val="center"/>
            </w:pPr>
            <w:r w:rsidRPr="00E12F9F">
              <w:t>12</w:t>
            </w:r>
          </w:p>
        </w:tc>
        <w:tc>
          <w:tcPr>
            <w:tcW w:w="1337" w:type="dxa"/>
            <w:tcBorders>
              <w:left w:val="single" w:sz="12" w:space="0" w:color="auto"/>
              <w:right w:val="single" w:sz="12" w:space="0" w:color="auto"/>
            </w:tcBorders>
          </w:tcPr>
          <w:p w14:paraId="12557E7E" w14:textId="77777777" w:rsidR="00E12F9F" w:rsidRPr="00E12F9F" w:rsidRDefault="00E12F9F" w:rsidP="00674F82">
            <w:pPr>
              <w:spacing w:after="0" w:line="240" w:lineRule="auto"/>
              <w:jc w:val="center"/>
            </w:pPr>
            <w:r w:rsidRPr="00E12F9F">
              <w:t>75%</w:t>
            </w:r>
          </w:p>
        </w:tc>
      </w:tr>
      <w:tr w:rsidR="00E12F9F" w:rsidRPr="00E12F9F" w14:paraId="47D7690C" w14:textId="77777777" w:rsidTr="00674F82">
        <w:tc>
          <w:tcPr>
            <w:tcW w:w="1461" w:type="dxa"/>
            <w:tcBorders>
              <w:left w:val="single" w:sz="12" w:space="0" w:color="auto"/>
              <w:right w:val="single" w:sz="12" w:space="0" w:color="auto"/>
            </w:tcBorders>
          </w:tcPr>
          <w:p w14:paraId="2BC20D30" w14:textId="77777777" w:rsidR="00E12F9F" w:rsidRPr="00E12F9F" w:rsidRDefault="00E12F9F" w:rsidP="00674F82">
            <w:pPr>
              <w:spacing w:after="0" w:line="240" w:lineRule="auto"/>
            </w:pPr>
            <w:r w:rsidRPr="00E12F9F">
              <w:t xml:space="preserve">     Married</w:t>
            </w:r>
          </w:p>
        </w:tc>
        <w:tc>
          <w:tcPr>
            <w:tcW w:w="1076" w:type="dxa"/>
            <w:tcBorders>
              <w:left w:val="single" w:sz="12" w:space="0" w:color="auto"/>
              <w:right w:val="single" w:sz="12" w:space="0" w:color="auto"/>
            </w:tcBorders>
          </w:tcPr>
          <w:p w14:paraId="4E80C720" w14:textId="77777777" w:rsidR="00E12F9F" w:rsidRPr="00E12F9F" w:rsidRDefault="00E12F9F" w:rsidP="00674F82">
            <w:pPr>
              <w:spacing w:after="0" w:line="240" w:lineRule="auto"/>
              <w:jc w:val="center"/>
            </w:pPr>
            <w:r w:rsidRPr="00E12F9F">
              <w:t>31</w:t>
            </w:r>
          </w:p>
        </w:tc>
        <w:tc>
          <w:tcPr>
            <w:tcW w:w="1276" w:type="dxa"/>
            <w:tcBorders>
              <w:left w:val="single" w:sz="12" w:space="0" w:color="auto"/>
              <w:right w:val="single" w:sz="12" w:space="0" w:color="auto"/>
            </w:tcBorders>
          </w:tcPr>
          <w:p w14:paraId="3D63E48D" w14:textId="77777777" w:rsidR="00E12F9F" w:rsidRPr="00E12F9F" w:rsidRDefault="00E12F9F" w:rsidP="00674F82">
            <w:pPr>
              <w:spacing w:after="0" w:line="240" w:lineRule="auto"/>
              <w:jc w:val="center"/>
            </w:pPr>
            <w:r w:rsidRPr="00E12F9F">
              <w:t>56</w:t>
            </w:r>
          </w:p>
        </w:tc>
        <w:tc>
          <w:tcPr>
            <w:tcW w:w="1417" w:type="dxa"/>
            <w:tcBorders>
              <w:left w:val="single" w:sz="12" w:space="0" w:color="auto"/>
              <w:right w:val="single" w:sz="12" w:space="0" w:color="auto"/>
            </w:tcBorders>
          </w:tcPr>
          <w:p w14:paraId="3C43CB77" w14:textId="77777777" w:rsidR="00E12F9F" w:rsidRPr="00E12F9F" w:rsidRDefault="00E12F9F" w:rsidP="00674F82">
            <w:pPr>
              <w:spacing w:after="0" w:line="240" w:lineRule="auto"/>
              <w:jc w:val="center"/>
            </w:pPr>
            <w:r w:rsidRPr="00E12F9F">
              <w:t>55%</w:t>
            </w:r>
          </w:p>
        </w:tc>
        <w:tc>
          <w:tcPr>
            <w:tcW w:w="1134" w:type="dxa"/>
            <w:tcBorders>
              <w:left w:val="single" w:sz="12" w:space="0" w:color="auto"/>
              <w:right w:val="single" w:sz="12" w:space="0" w:color="auto"/>
            </w:tcBorders>
          </w:tcPr>
          <w:p w14:paraId="0FE170B2" w14:textId="77777777" w:rsidR="00E12F9F" w:rsidRPr="00E12F9F" w:rsidRDefault="00E12F9F" w:rsidP="00674F82">
            <w:pPr>
              <w:spacing w:after="0" w:line="240" w:lineRule="auto"/>
              <w:jc w:val="center"/>
            </w:pPr>
            <w:r w:rsidRPr="00E12F9F">
              <w:t>23</w:t>
            </w:r>
          </w:p>
        </w:tc>
        <w:tc>
          <w:tcPr>
            <w:tcW w:w="1295" w:type="dxa"/>
            <w:tcBorders>
              <w:left w:val="single" w:sz="12" w:space="0" w:color="auto"/>
              <w:right w:val="single" w:sz="12" w:space="0" w:color="auto"/>
            </w:tcBorders>
          </w:tcPr>
          <w:p w14:paraId="56AD15AF" w14:textId="77777777" w:rsidR="00E12F9F" w:rsidRPr="00E12F9F" w:rsidRDefault="00E12F9F" w:rsidP="00674F82">
            <w:pPr>
              <w:spacing w:after="0" w:line="240" w:lineRule="auto"/>
              <w:jc w:val="center"/>
            </w:pPr>
            <w:r w:rsidRPr="00E12F9F">
              <w:t>48</w:t>
            </w:r>
          </w:p>
        </w:tc>
        <w:tc>
          <w:tcPr>
            <w:tcW w:w="1337" w:type="dxa"/>
            <w:tcBorders>
              <w:left w:val="single" w:sz="12" w:space="0" w:color="auto"/>
              <w:right w:val="single" w:sz="12" w:space="0" w:color="auto"/>
            </w:tcBorders>
          </w:tcPr>
          <w:p w14:paraId="4925BD2E" w14:textId="77777777" w:rsidR="00E12F9F" w:rsidRPr="00E12F9F" w:rsidRDefault="00E12F9F" w:rsidP="00674F82">
            <w:pPr>
              <w:spacing w:after="0" w:line="240" w:lineRule="auto"/>
              <w:jc w:val="center"/>
            </w:pPr>
            <w:r w:rsidRPr="00E12F9F">
              <w:t>48%</w:t>
            </w:r>
          </w:p>
        </w:tc>
      </w:tr>
      <w:tr w:rsidR="00E12F9F" w:rsidRPr="00E12F9F" w14:paraId="5628D00E" w14:textId="77777777" w:rsidTr="00674F82">
        <w:tc>
          <w:tcPr>
            <w:tcW w:w="1461" w:type="dxa"/>
            <w:tcBorders>
              <w:left w:val="single" w:sz="12" w:space="0" w:color="auto"/>
              <w:bottom w:val="single" w:sz="12" w:space="0" w:color="auto"/>
              <w:right w:val="single" w:sz="12" w:space="0" w:color="auto"/>
            </w:tcBorders>
          </w:tcPr>
          <w:p w14:paraId="2DE5DB4F" w14:textId="77777777" w:rsidR="00E12F9F" w:rsidRPr="00E12F9F" w:rsidRDefault="00E12F9F" w:rsidP="00674F82">
            <w:pPr>
              <w:spacing w:after="0" w:line="240" w:lineRule="auto"/>
            </w:pPr>
            <w:r w:rsidRPr="00E12F9F">
              <w:t xml:space="preserve">     Widower</w:t>
            </w:r>
          </w:p>
        </w:tc>
        <w:tc>
          <w:tcPr>
            <w:tcW w:w="1076" w:type="dxa"/>
            <w:tcBorders>
              <w:left w:val="single" w:sz="12" w:space="0" w:color="auto"/>
              <w:bottom w:val="single" w:sz="12" w:space="0" w:color="auto"/>
              <w:right w:val="single" w:sz="12" w:space="0" w:color="auto"/>
            </w:tcBorders>
          </w:tcPr>
          <w:p w14:paraId="661B3964" w14:textId="77777777" w:rsidR="00E12F9F" w:rsidRPr="00E12F9F" w:rsidRDefault="00E12F9F" w:rsidP="00674F82">
            <w:pPr>
              <w:spacing w:after="0" w:line="240" w:lineRule="auto"/>
              <w:jc w:val="center"/>
            </w:pPr>
            <w:r w:rsidRPr="00E12F9F">
              <w:t>3</w:t>
            </w:r>
          </w:p>
        </w:tc>
        <w:tc>
          <w:tcPr>
            <w:tcW w:w="1276" w:type="dxa"/>
            <w:tcBorders>
              <w:left w:val="single" w:sz="12" w:space="0" w:color="auto"/>
              <w:bottom w:val="single" w:sz="12" w:space="0" w:color="auto"/>
              <w:right w:val="single" w:sz="12" w:space="0" w:color="auto"/>
            </w:tcBorders>
          </w:tcPr>
          <w:p w14:paraId="3D75AD69" w14:textId="77777777" w:rsidR="00E12F9F" w:rsidRPr="00E12F9F" w:rsidRDefault="00E12F9F" w:rsidP="00674F82">
            <w:pPr>
              <w:spacing w:after="0" w:line="240" w:lineRule="auto"/>
              <w:jc w:val="center"/>
            </w:pPr>
            <w:r w:rsidRPr="00E12F9F">
              <w:t>10</w:t>
            </w:r>
          </w:p>
        </w:tc>
        <w:tc>
          <w:tcPr>
            <w:tcW w:w="1417" w:type="dxa"/>
            <w:tcBorders>
              <w:left w:val="single" w:sz="12" w:space="0" w:color="auto"/>
              <w:bottom w:val="single" w:sz="12" w:space="0" w:color="auto"/>
              <w:right w:val="single" w:sz="12" w:space="0" w:color="auto"/>
            </w:tcBorders>
          </w:tcPr>
          <w:p w14:paraId="668A6730" w14:textId="77777777" w:rsidR="00E12F9F" w:rsidRPr="00E12F9F" w:rsidRDefault="00E12F9F" w:rsidP="00674F82">
            <w:pPr>
              <w:spacing w:after="0" w:line="240" w:lineRule="auto"/>
              <w:jc w:val="center"/>
            </w:pPr>
            <w:r w:rsidRPr="00E12F9F">
              <w:t>30%</w:t>
            </w:r>
          </w:p>
        </w:tc>
        <w:tc>
          <w:tcPr>
            <w:tcW w:w="1134" w:type="dxa"/>
            <w:tcBorders>
              <w:left w:val="single" w:sz="12" w:space="0" w:color="auto"/>
              <w:bottom w:val="single" w:sz="12" w:space="0" w:color="auto"/>
              <w:right w:val="single" w:sz="12" w:space="0" w:color="auto"/>
            </w:tcBorders>
          </w:tcPr>
          <w:p w14:paraId="66A598AB" w14:textId="77777777" w:rsidR="00E12F9F" w:rsidRPr="00E12F9F" w:rsidRDefault="00E12F9F" w:rsidP="00674F82">
            <w:pPr>
              <w:spacing w:after="0" w:line="240" w:lineRule="auto"/>
              <w:jc w:val="center"/>
            </w:pPr>
            <w:r w:rsidRPr="00E12F9F">
              <w:t>9</w:t>
            </w:r>
          </w:p>
        </w:tc>
        <w:tc>
          <w:tcPr>
            <w:tcW w:w="1295" w:type="dxa"/>
            <w:tcBorders>
              <w:left w:val="single" w:sz="12" w:space="0" w:color="auto"/>
              <w:bottom w:val="single" w:sz="12" w:space="0" w:color="auto"/>
              <w:right w:val="single" w:sz="12" w:space="0" w:color="auto"/>
            </w:tcBorders>
          </w:tcPr>
          <w:p w14:paraId="79DEB81A" w14:textId="77777777" w:rsidR="00E12F9F" w:rsidRPr="00E12F9F" w:rsidRDefault="00E12F9F" w:rsidP="00674F82">
            <w:pPr>
              <w:spacing w:after="0" w:line="240" w:lineRule="auto"/>
              <w:jc w:val="center"/>
            </w:pPr>
            <w:r w:rsidRPr="00E12F9F">
              <w:t>16</w:t>
            </w:r>
          </w:p>
        </w:tc>
        <w:tc>
          <w:tcPr>
            <w:tcW w:w="1337" w:type="dxa"/>
            <w:tcBorders>
              <w:left w:val="single" w:sz="12" w:space="0" w:color="auto"/>
              <w:bottom w:val="single" w:sz="12" w:space="0" w:color="auto"/>
              <w:right w:val="single" w:sz="12" w:space="0" w:color="auto"/>
            </w:tcBorders>
          </w:tcPr>
          <w:p w14:paraId="7049B16F" w14:textId="77777777" w:rsidR="00E12F9F" w:rsidRPr="00E12F9F" w:rsidRDefault="00E12F9F" w:rsidP="00674F82">
            <w:pPr>
              <w:spacing w:after="0" w:line="240" w:lineRule="auto"/>
              <w:jc w:val="center"/>
            </w:pPr>
            <w:r w:rsidRPr="00E12F9F">
              <w:t>56%</w:t>
            </w:r>
          </w:p>
        </w:tc>
      </w:tr>
      <w:tr w:rsidR="00E12F9F" w:rsidRPr="00E12F9F" w14:paraId="188BE9DE" w14:textId="77777777" w:rsidTr="00674F82">
        <w:tc>
          <w:tcPr>
            <w:tcW w:w="1461" w:type="dxa"/>
            <w:tcBorders>
              <w:top w:val="single" w:sz="12" w:space="0" w:color="auto"/>
              <w:left w:val="single" w:sz="12" w:space="0" w:color="auto"/>
              <w:right w:val="single" w:sz="12" w:space="0" w:color="auto"/>
            </w:tcBorders>
          </w:tcPr>
          <w:p w14:paraId="76C2961B" w14:textId="77777777" w:rsidR="00E12F9F" w:rsidRPr="00E12F9F" w:rsidRDefault="00E12F9F" w:rsidP="00674F82">
            <w:pPr>
              <w:spacing w:after="0" w:line="240" w:lineRule="auto"/>
              <w:rPr>
                <w:b/>
                <w:bCs/>
              </w:rPr>
            </w:pPr>
            <w:r w:rsidRPr="00E12F9F">
              <w:rPr>
                <w:b/>
                <w:bCs/>
              </w:rPr>
              <w:t>Women</w:t>
            </w:r>
          </w:p>
        </w:tc>
        <w:tc>
          <w:tcPr>
            <w:tcW w:w="1076" w:type="dxa"/>
            <w:tcBorders>
              <w:top w:val="single" w:sz="12" w:space="0" w:color="auto"/>
              <w:left w:val="single" w:sz="12" w:space="0" w:color="auto"/>
              <w:right w:val="single" w:sz="12" w:space="0" w:color="auto"/>
            </w:tcBorders>
          </w:tcPr>
          <w:p w14:paraId="22056EAA" w14:textId="77777777" w:rsidR="00E12F9F" w:rsidRPr="00E12F9F" w:rsidRDefault="00E12F9F" w:rsidP="00674F82">
            <w:pPr>
              <w:spacing w:after="0" w:line="240" w:lineRule="auto"/>
              <w:jc w:val="center"/>
              <w:rPr>
                <w:b/>
                <w:bCs/>
              </w:rPr>
            </w:pPr>
            <w:r w:rsidRPr="00E12F9F">
              <w:rPr>
                <w:b/>
                <w:bCs/>
              </w:rPr>
              <w:t>21</w:t>
            </w:r>
          </w:p>
        </w:tc>
        <w:tc>
          <w:tcPr>
            <w:tcW w:w="1276" w:type="dxa"/>
            <w:tcBorders>
              <w:top w:val="single" w:sz="12" w:space="0" w:color="auto"/>
              <w:left w:val="single" w:sz="12" w:space="0" w:color="auto"/>
              <w:right w:val="single" w:sz="12" w:space="0" w:color="auto"/>
            </w:tcBorders>
          </w:tcPr>
          <w:p w14:paraId="4573361E" w14:textId="77777777" w:rsidR="00E12F9F" w:rsidRPr="00E12F9F" w:rsidRDefault="00E12F9F" w:rsidP="00674F82">
            <w:pPr>
              <w:spacing w:after="0" w:line="240" w:lineRule="auto"/>
              <w:jc w:val="center"/>
              <w:rPr>
                <w:b/>
                <w:bCs/>
              </w:rPr>
            </w:pPr>
            <w:r w:rsidRPr="00E12F9F">
              <w:rPr>
                <w:b/>
                <w:bCs/>
              </w:rPr>
              <w:t>27</w:t>
            </w:r>
          </w:p>
        </w:tc>
        <w:tc>
          <w:tcPr>
            <w:tcW w:w="1417" w:type="dxa"/>
            <w:tcBorders>
              <w:top w:val="single" w:sz="12" w:space="0" w:color="auto"/>
              <w:left w:val="single" w:sz="12" w:space="0" w:color="auto"/>
              <w:right w:val="single" w:sz="12" w:space="0" w:color="auto"/>
            </w:tcBorders>
          </w:tcPr>
          <w:p w14:paraId="6FEFE5E0" w14:textId="77777777" w:rsidR="00E12F9F" w:rsidRPr="00E12F9F" w:rsidRDefault="00E12F9F" w:rsidP="00674F82">
            <w:pPr>
              <w:spacing w:after="0" w:line="240" w:lineRule="auto"/>
              <w:jc w:val="center"/>
              <w:rPr>
                <w:b/>
                <w:bCs/>
              </w:rPr>
            </w:pPr>
            <w:r w:rsidRPr="00E12F9F">
              <w:rPr>
                <w:b/>
                <w:bCs/>
              </w:rPr>
              <w:t>78%</w:t>
            </w:r>
          </w:p>
        </w:tc>
        <w:tc>
          <w:tcPr>
            <w:tcW w:w="1134" w:type="dxa"/>
            <w:tcBorders>
              <w:top w:val="single" w:sz="12" w:space="0" w:color="auto"/>
              <w:left w:val="single" w:sz="12" w:space="0" w:color="auto"/>
              <w:right w:val="single" w:sz="12" w:space="0" w:color="auto"/>
            </w:tcBorders>
          </w:tcPr>
          <w:p w14:paraId="6152BF6E" w14:textId="77777777" w:rsidR="00E12F9F" w:rsidRPr="00E12F9F" w:rsidRDefault="00E12F9F" w:rsidP="00674F82">
            <w:pPr>
              <w:spacing w:after="0" w:line="240" w:lineRule="auto"/>
              <w:jc w:val="center"/>
              <w:rPr>
                <w:b/>
                <w:bCs/>
              </w:rPr>
            </w:pPr>
            <w:r w:rsidRPr="00E12F9F">
              <w:rPr>
                <w:b/>
                <w:bCs/>
              </w:rPr>
              <w:t>9</w:t>
            </w:r>
          </w:p>
        </w:tc>
        <w:tc>
          <w:tcPr>
            <w:tcW w:w="1295" w:type="dxa"/>
            <w:tcBorders>
              <w:top w:val="single" w:sz="12" w:space="0" w:color="auto"/>
              <w:left w:val="single" w:sz="12" w:space="0" w:color="auto"/>
              <w:right w:val="single" w:sz="12" w:space="0" w:color="auto"/>
            </w:tcBorders>
          </w:tcPr>
          <w:p w14:paraId="3E86BEF2" w14:textId="77777777" w:rsidR="00E12F9F" w:rsidRPr="00E12F9F" w:rsidRDefault="00E12F9F" w:rsidP="00674F82">
            <w:pPr>
              <w:spacing w:after="0" w:line="240" w:lineRule="auto"/>
              <w:jc w:val="center"/>
              <w:rPr>
                <w:b/>
                <w:bCs/>
              </w:rPr>
            </w:pPr>
            <w:r w:rsidRPr="00E12F9F">
              <w:rPr>
                <w:b/>
                <w:bCs/>
              </w:rPr>
              <w:t>23</w:t>
            </w:r>
          </w:p>
        </w:tc>
        <w:tc>
          <w:tcPr>
            <w:tcW w:w="1337" w:type="dxa"/>
            <w:tcBorders>
              <w:top w:val="single" w:sz="12" w:space="0" w:color="auto"/>
              <w:left w:val="single" w:sz="12" w:space="0" w:color="auto"/>
              <w:right w:val="single" w:sz="12" w:space="0" w:color="auto"/>
            </w:tcBorders>
          </w:tcPr>
          <w:p w14:paraId="5258178A" w14:textId="77777777" w:rsidR="00E12F9F" w:rsidRPr="00E12F9F" w:rsidRDefault="00E12F9F" w:rsidP="00674F82">
            <w:pPr>
              <w:spacing w:after="0" w:line="240" w:lineRule="auto"/>
              <w:jc w:val="center"/>
              <w:rPr>
                <w:b/>
                <w:bCs/>
              </w:rPr>
            </w:pPr>
            <w:r w:rsidRPr="00E12F9F">
              <w:rPr>
                <w:b/>
                <w:bCs/>
              </w:rPr>
              <w:t>39%</w:t>
            </w:r>
          </w:p>
        </w:tc>
      </w:tr>
      <w:tr w:rsidR="00E12F9F" w:rsidRPr="00E12F9F" w14:paraId="367A306C" w14:textId="77777777" w:rsidTr="00674F82">
        <w:tc>
          <w:tcPr>
            <w:tcW w:w="1461" w:type="dxa"/>
            <w:tcBorders>
              <w:left w:val="single" w:sz="12" w:space="0" w:color="auto"/>
              <w:right w:val="single" w:sz="12" w:space="0" w:color="auto"/>
            </w:tcBorders>
          </w:tcPr>
          <w:p w14:paraId="4A97B03B" w14:textId="77777777" w:rsidR="00E12F9F" w:rsidRPr="00E12F9F" w:rsidRDefault="00E12F9F" w:rsidP="00674F82">
            <w:pPr>
              <w:spacing w:after="0" w:line="240" w:lineRule="auto"/>
            </w:pPr>
            <w:r w:rsidRPr="00E12F9F">
              <w:t xml:space="preserve">     Spinster</w:t>
            </w:r>
          </w:p>
        </w:tc>
        <w:tc>
          <w:tcPr>
            <w:tcW w:w="1076" w:type="dxa"/>
            <w:tcBorders>
              <w:left w:val="single" w:sz="12" w:space="0" w:color="auto"/>
              <w:right w:val="single" w:sz="12" w:space="0" w:color="auto"/>
            </w:tcBorders>
          </w:tcPr>
          <w:p w14:paraId="3850A552" w14:textId="77777777" w:rsidR="00E12F9F" w:rsidRPr="00E12F9F" w:rsidRDefault="00E12F9F" w:rsidP="00674F82">
            <w:pPr>
              <w:spacing w:after="0" w:line="240" w:lineRule="auto"/>
              <w:jc w:val="center"/>
            </w:pPr>
            <w:r w:rsidRPr="00E12F9F">
              <w:t>4</w:t>
            </w:r>
          </w:p>
        </w:tc>
        <w:tc>
          <w:tcPr>
            <w:tcW w:w="1276" w:type="dxa"/>
            <w:tcBorders>
              <w:left w:val="single" w:sz="12" w:space="0" w:color="auto"/>
              <w:right w:val="single" w:sz="12" w:space="0" w:color="auto"/>
            </w:tcBorders>
          </w:tcPr>
          <w:p w14:paraId="08E3051F" w14:textId="77777777" w:rsidR="00E12F9F" w:rsidRPr="00E12F9F" w:rsidRDefault="00E12F9F" w:rsidP="00674F82">
            <w:pPr>
              <w:spacing w:after="0" w:line="240" w:lineRule="auto"/>
              <w:jc w:val="center"/>
            </w:pPr>
            <w:r w:rsidRPr="00E12F9F">
              <w:t>4</w:t>
            </w:r>
          </w:p>
        </w:tc>
        <w:tc>
          <w:tcPr>
            <w:tcW w:w="1417" w:type="dxa"/>
            <w:tcBorders>
              <w:left w:val="single" w:sz="12" w:space="0" w:color="auto"/>
              <w:right w:val="single" w:sz="12" w:space="0" w:color="auto"/>
            </w:tcBorders>
          </w:tcPr>
          <w:p w14:paraId="084830EF" w14:textId="77777777" w:rsidR="00E12F9F" w:rsidRPr="00E12F9F" w:rsidRDefault="00E12F9F" w:rsidP="00674F82">
            <w:pPr>
              <w:spacing w:after="0" w:line="240" w:lineRule="auto"/>
              <w:jc w:val="center"/>
            </w:pPr>
            <w:r w:rsidRPr="00E12F9F">
              <w:t>100%</w:t>
            </w:r>
          </w:p>
        </w:tc>
        <w:tc>
          <w:tcPr>
            <w:tcW w:w="1134" w:type="dxa"/>
            <w:tcBorders>
              <w:left w:val="single" w:sz="12" w:space="0" w:color="auto"/>
              <w:right w:val="single" w:sz="12" w:space="0" w:color="auto"/>
            </w:tcBorders>
          </w:tcPr>
          <w:p w14:paraId="5489FCEA" w14:textId="77777777" w:rsidR="00E12F9F" w:rsidRPr="00E12F9F" w:rsidRDefault="00E12F9F" w:rsidP="00674F82">
            <w:pPr>
              <w:spacing w:after="0" w:line="240" w:lineRule="auto"/>
              <w:jc w:val="center"/>
            </w:pPr>
            <w:r w:rsidRPr="00E12F9F">
              <w:t>0</w:t>
            </w:r>
          </w:p>
        </w:tc>
        <w:tc>
          <w:tcPr>
            <w:tcW w:w="1295" w:type="dxa"/>
            <w:tcBorders>
              <w:left w:val="single" w:sz="12" w:space="0" w:color="auto"/>
              <w:right w:val="single" w:sz="12" w:space="0" w:color="auto"/>
            </w:tcBorders>
          </w:tcPr>
          <w:p w14:paraId="4CB890C6" w14:textId="77777777" w:rsidR="00E12F9F" w:rsidRPr="00E12F9F" w:rsidRDefault="00E12F9F" w:rsidP="00674F82">
            <w:pPr>
              <w:spacing w:after="0" w:line="240" w:lineRule="auto"/>
              <w:jc w:val="center"/>
            </w:pPr>
            <w:r w:rsidRPr="00E12F9F">
              <w:t>2</w:t>
            </w:r>
          </w:p>
        </w:tc>
        <w:tc>
          <w:tcPr>
            <w:tcW w:w="1337" w:type="dxa"/>
            <w:tcBorders>
              <w:left w:val="single" w:sz="12" w:space="0" w:color="auto"/>
              <w:right w:val="single" w:sz="12" w:space="0" w:color="auto"/>
            </w:tcBorders>
          </w:tcPr>
          <w:p w14:paraId="5F96C7C1" w14:textId="77777777" w:rsidR="00E12F9F" w:rsidRPr="00E12F9F" w:rsidRDefault="00E12F9F" w:rsidP="00674F82">
            <w:pPr>
              <w:spacing w:after="0" w:line="240" w:lineRule="auto"/>
              <w:jc w:val="center"/>
            </w:pPr>
            <w:r w:rsidRPr="00E12F9F">
              <w:t>0%</w:t>
            </w:r>
          </w:p>
        </w:tc>
      </w:tr>
      <w:tr w:rsidR="00E12F9F" w:rsidRPr="00E12F9F" w14:paraId="185A50F8" w14:textId="77777777" w:rsidTr="00674F82">
        <w:tc>
          <w:tcPr>
            <w:tcW w:w="1461" w:type="dxa"/>
            <w:tcBorders>
              <w:left w:val="single" w:sz="12" w:space="0" w:color="auto"/>
              <w:right w:val="single" w:sz="12" w:space="0" w:color="auto"/>
            </w:tcBorders>
          </w:tcPr>
          <w:p w14:paraId="08A07C00" w14:textId="77777777" w:rsidR="00E12F9F" w:rsidRPr="00E12F9F" w:rsidRDefault="00E12F9F" w:rsidP="00674F82">
            <w:pPr>
              <w:spacing w:after="0" w:line="240" w:lineRule="auto"/>
            </w:pPr>
            <w:r w:rsidRPr="00E12F9F">
              <w:t xml:space="preserve">     Married</w:t>
            </w:r>
          </w:p>
        </w:tc>
        <w:tc>
          <w:tcPr>
            <w:tcW w:w="1076" w:type="dxa"/>
            <w:tcBorders>
              <w:left w:val="single" w:sz="12" w:space="0" w:color="auto"/>
              <w:right w:val="single" w:sz="12" w:space="0" w:color="auto"/>
            </w:tcBorders>
          </w:tcPr>
          <w:p w14:paraId="0FC1BA89" w14:textId="77777777" w:rsidR="00E12F9F" w:rsidRPr="00E12F9F" w:rsidRDefault="00E12F9F" w:rsidP="00674F82">
            <w:pPr>
              <w:spacing w:after="0" w:line="240" w:lineRule="auto"/>
              <w:jc w:val="center"/>
            </w:pPr>
            <w:r w:rsidRPr="00E12F9F">
              <w:t>0</w:t>
            </w:r>
          </w:p>
        </w:tc>
        <w:tc>
          <w:tcPr>
            <w:tcW w:w="1276" w:type="dxa"/>
            <w:tcBorders>
              <w:left w:val="single" w:sz="12" w:space="0" w:color="auto"/>
              <w:right w:val="single" w:sz="12" w:space="0" w:color="auto"/>
            </w:tcBorders>
          </w:tcPr>
          <w:p w14:paraId="161DC588" w14:textId="77777777" w:rsidR="00E12F9F" w:rsidRPr="00E12F9F" w:rsidRDefault="00E12F9F" w:rsidP="00674F82">
            <w:pPr>
              <w:spacing w:after="0" w:line="240" w:lineRule="auto"/>
              <w:jc w:val="center"/>
            </w:pPr>
            <w:r w:rsidRPr="00E12F9F">
              <w:t>0</w:t>
            </w:r>
          </w:p>
        </w:tc>
        <w:tc>
          <w:tcPr>
            <w:tcW w:w="1417" w:type="dxa"/>
            <w:tcBorders>
              <w:left w:val="single" w:sz="12" w:space="0" w:color="auto"/>
              <w:right w:val="single" w:sz="12" w:space="0" w:color="auto"/>
            </w:tcBorders>
          </w:tcPr>
          <w:p w14:paraId="0F2FA8E2" w14:textId="77777777" w:rsidR="00E12F9F" w:rsidRPr="00E12F9F" w:rsidRDefault="00E12F9F" w:rsidP="00674F82">
            <w:pPr>
              <w:spacing w:after="0" w:line="240" w:lineRule="auto"/>
              <w:jc w:val="center"/>
            </w:pPr>
            <w:r w:rsidRPr="00E12F9F">
              <w:t>-</w:t>
            </w:r>
          </w:p>
        </w:tc>
        <w:tc>
          <w:tcPr>
            <w:tcW w:w="1134" w:type="dxa"/>
            <w:tcBorders>
              <w:left w:val="single" w:sz="12" w:space="0" w:color="auto"/>
              <w:right w:val="single" w:sz="12" w:space="0" w:color="auto"/>
            </w:tcBorders>
          </w:tcPr>
          <w:p w14:paraId="326E9B9A" w14:textId="77777777" w:rsidR="00E12F9F" w:rsidRPr="00E12F9F" w:rsidRDefault="00E12F9F" w:rsidP="00674F82">
            <w:pPr>
              <w:spacing w:after="0" w:line="240" w:lineRule="auto"/>
              <w:jc w:val="center"/>
            </w:pPr>
            <w:r w:rsidRPr="00E12F9F">
              <w:t>0</w:t>
            </w:r>
          </w:p>
        </w:tc>
        <w:tc>
          <w:tcPr>
            <w:tcW w:w="1295" w:type="dxa"/>
            <w:tcBorders>
              <w:left w:val="single" w:sz="12" w:space="0" w:color="auto"/>
              <w:right w:val="single" w:sz="12" w:space="0" w:color="auto"/>
            </w:tcBorders>
          </w:tcPr>
          <w:p w14:paraId="585430F2" w14:textId="77777777" w:rsidR="00E12F9F" w:rsidRPr="00E12F9F" w:rsidRDefault="00E12F9F" w:rsidP="00674F82">
            <w:pPr>
              <w:spacing w:after="0" w:line="240" w:lineRule="auto"/>
              <w:jc w:val="center"/>
            </w:pPr>
            <w:r w:rsidRPr="00E12F9F">
              <w:t>2</w:t>
            </w:r>
          </w:p>
        </w:tc>
        <w:tc>
          <w:tcPr>
            <w:tcW w:w="1337" w:type="dxa"/>
            <w:tcBorders>
              <w:left w:val="single" w:sz="12" w:space="0" w:color="auto"/>
              <w:right w:val="single" w:sz="12" w:space="0" w:color="auto"/>
            </w:tcBorders>
          </w:tcPr>
          <w:p w14:paraId="30E69120" w14:textId="77777777" w:rsidR="00E12F9F" w:rsidRPr="00E12F9F" w:rsidRDefault="00E12F9F" w:rsidP="00674F82">
            <w:pPr>
              <w:spacing w:after="0" w:line="240" w:lineRule="auto"/>
              <w:jc w:val="center"/>
            </w:pPr>
            <w:r w:rsidRPr="00E12F9F">
              <w:t>0%</w:t>
            </w:r>
          </w:p>
        </w:tc>
      </w:tr>
      <w:tr w:rsidR="00E12F9F" w:rsidRPr="00E12F9F" w14:paraId="218A154F" w14:textId="77777777" w:rsidTr="00674F82">
        <w:tc>
          <w:tcPr>
            <w:tcW w:w="1461" w:type="dxa"/>
            <w:tcBorders>
              <w:left w:val="single" w:sz="12" w:space="0" w:color="auto"/>
              <w:right w:val="single" w:sz="12" w:space="0" w:color="auto"/>
            </w:tcBorders>
          </w:tcPr>
          <w:p w14:paraId="5BE0F37D" w14:textId="77777777" w:rsidR="00E12F9F" w:rsidRPr="00E12F9F" w:rsidRDefault="00E12F9F" w:rsidP="00674F82">
            <w:pPr>
              <w:spacing w:after="0" w:line="240" w:lineRule="auto"/>
            </w:pPr>
            <w:r w:rsidRPr="00E12F9F">
              <w:t xml:space="preserve">     Widow</w:t>
            </w:r>
          </w:p>
        </w:tc>
        <w:tc>
          <w:tcPr>
            <w:tcW w:w="1076" w:type="dxa"/>
            <w:tcBorders>
              <w:left w:val="single" w:sz="12" w:space="0" w:color="auto"/>
              <w:right w:val="single" w:sz="12" w:space="0" w:color="auto"/>
            </w:tcBorders>
          </w:tcPr>
          <w:p w14:paraId="5FE9E17E" w14:textId="77777777" w:rsidR="00E12F9F" w:rsidRPr="00E12F9F" w:rsidRDefault="00E12F9F" w:rsidP="00674F82">
            <w:pPr>
              <w:spacing w:after="0" w:line="240" w:lineRule="auto"/>
              <w:jc w:val="center"/>
            </w:pPr>
            <w:r w:rsidRPr="00E12F9F">
              <w:t>17</w:t>
            </w:r>
          </w:p>
        </w:tc>
        <w:tc>
          <w:tcPr>
            <w:tcW w:w="1276" w:type="dxa"/>
            <w:tcBorders>
              <w:left w:val="single" w:sz="12" w:space="0" w:color="auto"/>
              <w:right w:val="single" w:sz="12" w:space="0" w:color="auto"/>
            </w:tcBorders>
          </w:tcPr>
          <w:p w14:paraId="2A7C8BDF" w14:textId="77777777" w:rsidR="00E12F9F" w:rsidRPr="00E12F9F" w:rsidRDefault="00E12F9F" w:rsidP="00674F82">
            <w:pPr>
              <w:spacing w:after="0" w:line="240" w:lineRule="auto"/>
              <w:jc w:val="center"/>
            </w:pPr>
            <w:r w:rsidRPr="00E12F9F">
              <w:t>23</w:t>
            </w:r>
          </w:p>
        </w:tc>
        <w:tc>
          <w:tcPr>
            <w:tcW w:w="1417" w:type="dxa"/>
            <w:tcBorders>
              <w:left w:val="single" w:sz="12" w:space="0" w:color="auto"/>
              <w:right w:val="single" w:sz="12" w:space="0" w:color="auto"/>
            </w:tcBorders>
          </w:tcPr>
          <w:p w14:paraId="070EAF79" w14:textId="77777777" w:rsidR="00E12F9F" w:rsidRPr="00E12F9F" w:rsidRDefault="00E12F9F" w:rsidP="00674F82">
            <w:pPr>
              <w:spacing w:after="0" w:line="240" w:lineRule="auto"/>
              <w:jc w:val="center"/>
            </w:pPr>
            <w:r w:rsidRPr="00E12F9F">
              <w:t>74%</w:t>
            </w:r>
          </w:p>
        </w:tc>
        <w:tc>
          <w:tcPr>
            <w:tcW w:w="1134" w:type="dxa"/>
            <w:tcBorders>
              <w:left w:val="single" w:sz="12" w:space="0" w:color="auto"/>
              <w:right w:val="single" w:sz="12" w:space="0" w:color="auto"/>
            </w:tcBorders>
          </w:tcPr>
          <w:p w14:paraId="596E770B" w14:textId="77777777" w:rsidR="00E12F9F" w:rsidRPr="00E12F9F" w:rsidRDefault="00E12F9F" w:rsidP="00674F82">
            <w:pPr>
              <w:spacing w:after="0" w:line="240" w:lineRule="auto"/>
              <w:jc w:val="center"/>
            </w:pPr>
            <w:r w:rsidRPr="00E12F9F">
              <w:t>9</w:t>
            </w:r>
          </w:p>
        </w:tc>
        <w:tc>
          <w:tcPr>
            <w:tcW w:w="1295" w:type="dxa"/>
            <w:tcBorders>
              <w:left w:val="single" w:sz="12" w:space="0" w:color="auto"/>
              <w:right w:val="single" w:sz="12" w:space="0" w:color="auto"/>
            </w:tcBorders>
          </w:tcPr>
          <w:p w14:paraId="7DD9C2C6" w14:textId="77777777" w:rsidR="00E12F9F" w:rsidRPr="00E12F9F" w:rsidRDefault="00E12F9F" w:rsidP="00674F82">
            <w:pPr>
              <w:spacing w:after="0" w:line="240" w:lineRule="auto"/>
              <w:jc w:val="center"/>
            </w:pPr>
            <w:r w:rsidRPr="00E12F9F">
              <w:t>19</w:t>
            </w:r>
          </w:p>
        </w:tc>
        <w:tc>
          <w:tcPr>
            <w:tcW w:w="1337" w:type="dxa"/>
            <w:tcBorders>
              <w:left w:val="single" w:sz="12" w:space="0" w:color="auto"/>
              <w:right w:val="single" w:sz="12" w:space="0" w:color="auto"/>
            </w:tcBorders>
          </w:tcPr>
          <w:p w14:paraId="261227B5" w14:textId="77777777" w:rsidR="00E12F9F" w:rsidRPr="00E12F9F" w:rsidRDefault="00E12F9F" w:rsidP="00674F82">
            <w:pPr>
              <w:spacing w:after="0" w:line="240" w:lineRule="auto"/>
              <w:jc w:val="center"/>
            </w:pPr>
            <w:r w:rsidRPr="00E12F9F">
              <w:t>47%</w:t>
            </w:r>
          </w:p>
        </w:tc>
      </w:tr>
      <w:tr w:rsidR="00E12F9F" w:rsidRPr="00E12F9F" w14:paraId="2829BD0B" w14:textId="77777777" w:rsidTr="00674F82">
        <w:tc>
          <w:tcPr>
            <w:tcW w:w="1461" w:type="dxa"/>
            <w:tcBorders>
              <w:top w:val="single" w:sz="12" w:space="0" w:color="auto"/>
              <w:left w:val="single" w:sz="12" w:space="0" w:color="auto"/>
              <w:bottom w:val="single" w:sz="12" w:space="0" w:color="auto"/>
              <w:right w:val="single" w:sz="12" w:space="0" w:color="auto"/>
            </w:tcBorders>
          </w:tcPr>
          <w:p w14:paraId="49604746" w14:textId="77777777" w:rsidR="00E12F9F" w:rsidRPr="00E12F9F" w:rsidRDefault="00E12F9F" w:rsidP="00674F82">
            <w:pPr>
              <w:spacing w:after="0" w:line="240" w:lineRule="auto"/>
              <w:rPr>
                <w:b/>
                <w:bCs/>
              </w:rPr>
            </w:pPr>
            <w:r w:rsidRPr="00E12F9F">
              <w:rPr>
                <w:b/>
                <w:bCs/>
              </w:rPr>
              <w:t>Total</w:t>
            </w:r>
          </w:p>
        </w:tc>
        <w:tc>
          <w:tcPr>
            <w:tcW w:w="1076" w:type="dxa"/>
            <w:tcBorders>
              <w:top w:val="single" w:sz="12" w:space="0" w:color="auto"/>
              <w:left w:val="single" w:sz="12" w:space="0" w:color="auto"/>
              <w:bottom w:val="single" w:sz="12" w:space="0" w:color="auto"/>
              <w:right w:val="single" w:sz="12" w:space="0" w:color="auto"/>
            </w:tcBorders>
          </w:tcPr>
          <w:p w14:paraId="0D9B1E87" w14:textId="77777777" w:rsidR="00E12F9F" w:rsidRPr="00E12F9F" w:rsidRDefault="00E12F9F" w:rsidP="00674F82">
            <w:pPr>
              <w:spacing w:after="0" w:line="240" w:lineRule="auto"/>
              <w:jc w:val="center"/>
              <w:rPr>
                <w:b/>
                <w:bCs/>
              </w:rPr>
            </w:pPr>
            <w:r w:rsidRPr="00E12F9F">
              <w:rPr>
                <w:b/>
                <w:bCs/>
              </w:rPr>
              <w:t>59</w:t>
            </w:r>
          </w:p>
        </w:tc>
        <w:tc>
          <w:tcPr>
            <w:tcW w:w="1276" w:type="dxa"/>
            <w:tcBorders>
              <w:top w:val="single" w:sz="12" w:space="0" w:color="auto"/>
              <w:left w:val="single" w:sz="12" w:space="0" w:color="auto"/>
              <w:bottom w:val="single" w:sz="12" w:space="0" w:color="auto"/>
              <w:right w:val="single" w:sz="12" w:space="0" w:color="auto"/>
            </w:tcBorders>
          </w:tcPr>
          <w:p w14:paraId="12EEC935" w14:textId="77777777" w:rsidR="00E12F9F" w:rsidRPr="00E12F9F" w:rsidRDefault="00E12F9F" w:rsidP="00674F82">
            <w:pPr>
              <w:spacing w:after="0" w:line="240" w:lineRule="auto"/>
              <w:jc w:val="center"/>
              <w:rPr>
                <w:b/>
                <w:bCs/>
              </w:rPr>
            </w:pPr>
            <w:r w:rsidRPr="00E12F9F">
              <w:rPr>
                <w:b/>
                <w:bCs/>
              </w:rPr>
              <w:t>99</w:t>
            </w:r>
          </w:p>
        </w:tc>
        <w:tc>
          <w:tcPr>
            <w:tcW w:w="1417" w:type="dxa"/>
            <w:tcBorders>
              <w:top w:val="single" w:sz="12" w:space="0" w:color="auto"/>
              <w:left w:val="single" w:sz="12" w:space="0" w:color="auto"/>
              <w:bottom w:val="single" w:sz="12" w:space="0" w:color="auto"/>
              <w:right w:val="single" w:sz="12" w:space="0" w:color="auto"/>
            </w:tcBorders>
          </w:tcPr>
          <w:p w14:paraId="6DA9B784" w14:textId="77777777" w:rsidR="00E12F9F" w:rsidRPr="00E12F9F" w:rsidRDefault="00E12F9F" w:rsidP="00674F82">
            <w:pPr>
              <w:spacing w:after="0" w:line="240" w:lineRule="auto"/>
              <w:jc w:val="center"/>
              <w:rPr>
                <w:b/>
                <w:bCs/>
              </w:rPr>
            </w:pPr>
            <w:r w:rsidRPr="00E12F9F">
              <w:rPr>
                <w:b/>
                <w:bCs/>
              </w:rPr>
              <w:t>60%</w:t>
            </w:r>
          </w:p>
        </w:tc>
        <w:tc>
          <w:tcPr>
            <w:tcW w:w="1134" w:type="dxa"/>
            <w:tcBorders>
              <w:top w:val="single" w:sz="12" w:space="0" w:color="auto"/>
              <w:left w:val="single" w:sz="12" w:space="0" w:color="auto"/>
              <w:bottom w:val="single" w:sz="12" w:space="0" w:color="auto"/>
              <w:right w:val="single" w:sz="12" w:space="0" w:color="auto"/>
            </w:tcBorders>
          </w:tcPr>
          <w:p w14:paraId="22F224D0" w14:textId="77777777" w:rsidR="00E12F9F" w:rsidRPr="00E12F9F" w:rsidRDefault="00E12F9F" w:rsidP="00674F82">
            <w:pPr>
              <w:spacing w:after="0" w:line="240" w:lineRule="auto"/>
              <w:jc w:val="center"/>
              <w:rPr>
                <w:b/>
                <w:bCs/>
              </w:rPr>
            </w:pPr>
            <w:r w:rsidRPr="00E12F9F">
              <w:rPr>
                <w:b/>
                <w:bCs/>
              </w:rPr>
              <w:t>50</w:t>
            </w:r>
          </w:p>
        </w:tc>
        <w:tc>
          <w:tcPr>
            <w:tcW w:w="1295" w:type="dxa"/>
            <w:tcBorders>
              <w:top w:val="single" w:sz="12" w:space="0" w:color="auto"/>
              <w:left w:val="single" w:sz="12" w:space="0" w:color="auto"/>
              <w:bottom w:val="single" w:sz="12" w:space="0" w:color="auto"/>
              <w:right w:val="single" w:sz="12" w:space="0" w:color="auto"/>
            </w:tcBorders>
          </w:tcPr>
          <w:p w14:paraId="3E7AFBBB" w14:textId="77777777" w:rsidR="00E12F9F" w:rsidRPr="00E12F9F" w:rsidRDefault="00E12F9F" w:rsidP="00674F82">
            <w:pPr>
              <w:spacing w:after="0" w:line="240" w:lineRule="auto"/>
              <w:jc w:val="center"/>
              <w:rPr>
                <w:b/>
                <w:bCs/>
              </w:rPr>
            </w:pPr>
            <w:r w:rsidRPr="00E12F9F">
              <w:rPr>
                <w:b/>
                <w:bCs/>
              </w:rPr>
              <w:t>99</w:t>
            </w:r>
          </w:p>
        </w:tc>
        <w:tc>
          <w:tcPr>
            <w:tcW w:w="1337" w:type="dxa"/>
            <w:tcBorders>
              <w:top w:val="single" w:sz="12" w:space="0" w:color="auto"/>
              <w:left w:val="single" w:sz="12" w:space="0" w:color="auto"/>
              <w:bottom w:val="single" w:sz="12" w:space="0" w:color="auto"/>
              <w:right w:val="single" w:sz="12" w:space="0" w:color="auto"/>
            </w:tcBorders>
          </w:tcPr>
          <w:p w14:paraId="0F18094E" w14:textId="77777777" w:rsidR="00E12F9F" w:rsidRPr="00E12F9F" w:rsidRDefault="00E12F9F" w:rsidP="00674F82">
            <w:pPr>
              <w:spacing w:after="0" w:line="240" w:lineRule="auto"/>
              <w:jc w:val="center"/>
              <w:rPr>
                <w:b/>
                <w:bCs/>
              </w:rPr>
            </w:pPr>
            <w:r w:rsidRPr="00E12F9F">
              <w:rPr>
                <w:b/>
                <w:bCs/>
              </w:rPr>
              <w:t>51%</w:t>
            </w:r>
          </w:p>
        </w:tc>
      </w:tr>
    </w:tbl>
    <w:p w14:paraId="64462251" w14:textId="77777777" w:rsidR="00E12F9F" w:rsidRPr="00E12F9F" w:rsidRDefault="00E12F9F" w:rsidP="00E12F9F"/>
    <w:p w14:paraId="095B1D16" w14:textId="77777777" w:rsidR="00674F82" w:rsidRDefault="00674F82" w:rsidP="00E12F9F">
      <w:pPr>
        <w:jc w:val="center"/>
      </w:pPr>
    </w:p>
    <w:p w14:paraId="123F184D" w14:textId="77777777" w:rsidR="00674F82" w:rsidRDefault="00674F82" w:rsidP="00E12F9F">
      <w:pPr>
        <w:jc w:val="center"/>
      </w:pPr>
    </w:p>
    <w:p w14:paraId="5BCED35D" w14:textId="77777777" w:rsidR="00674F82" w:rsidRDefault="00674F82" w:rsidP="00E12F9F">
      <w:pPr>
        <w:jc w:val="center"/>
      </w:pPr>
    </w:p>
    <w:p w14:paraId="2247F725" w14:textId="77777777" w:rsidR="00674F82" w:rsidRDefault="00674F82" w:rsidP="00E12F9F">
      <w:pPr>
        <w:jc w:val="center"/>
      </w:pPr>
    </w:p>
    <w:p w14:paraId="7B92B605" w14:textId="77777777" w:rsidR="00674F82" w:rsidRDefault="00674F82" w:rsidP="00E12F9F">
      <w:pPr>
        <w:jc w:val="center"/>
      </w:pPr>
    </w:p>
    <w:p w14:paraId="719F56AA" w14:textId="179D0DEF" w:rsidR="00E12F9F" w:rsidRPr="00E12F9F" w:rsidRDefault="00E12F9F" w:rsidP="00E12F9F">
      <w:pPr>
        <w:jc w:val="center"/>
      </w:pPr>
      <w:r w:rsidRPr="00E12F9F">
        <w:t xml:space="preserve">Table 20 – Moneylenders by gender and marital status in </w:t>
      </w:r>
      <w:r w:rsidR="00EE7048">
        <w:t xml:space="preserve">the </w:t>
      </w:r>
      <w:r w:rsidRPr="00E12F9F">
        <w:t>Bolton-le-Sands and Prestbury wider survey.</w:t>
      </w:r>
    </w:p>
    <w:p w14:paraId="08CC9E6A" w14:textId="77777777" w:rsidR="00E12F9F" w:rsidRPr="00E12F9F" w:rsidRDefault="00E12F9F" w:rsidP="00E12F9F">
      <w:r w:rsidRPr="00E12F9F">
        <w:br w:type="page"/>
      </w:r>
    </w:p>
    <w:tbl>
      <w:tblPr>
        <w:tblStyle w:val="TableGrid8"/>
        <w:tblpPr w:leftFromText="180" w:rightFromText="180" w:horzAnchor="margin" w:tblpY="2685"/>
        <w:tblW w:w="0" w:type="auto"/>
        <w:tblLook w:val="04A0" w:firstRow="1" w:lastRow="0" w:firstColumn="1" w:lastColumn="0" w:noHBand="0" w:noVBand="1"/>
      </w:tblPr>
      <w:tblGrid>
        <w:gridCol w:w="2998"/>
        <w:gridCol w:w="2998"/>
        <w:gridCol w:w="3000"/>
      </w:tblGrid>
      <w:tr w:rsidR="00E12F9F" w:rsidRPr="00E12F9F" w14:paraId="118D020C" w14:textId="77777777" w:rsidTr="00674F82">
        <w:tc>
          <w:tcPr>
            <w:tcW w:w="2998" w:type="dxa"/>
            <w:vMerge w:val="restart"/>
            <w:tcBorders>
              <w:top w:val="single" w:sz="12" w:space="0" w:color="auto"/>
              <w:left w:val="single" w:sz="12" w:space="0" w:color="auto"/>
              <w:right w:val="single" w:sz="12" w:space="0" w:color="auto"/>
            </w:tcBorders>
          </w:tcPr>
          <w:p w14:paraId="2CE5F64A" w14:textId="77777777" w:rsidR="00E12F9F" w:rsidRPr="00E12F9F" w:rsidRDefault="00E12F9F" w:rsidP="00674F82">
            <w:pPr>
              <w:spacing w:after="0" w:line="240" w:lineRule="auto"/>
            </w:pPr>
          </w:p>
        </w:tc>
        <w:tc>
          <w:tcPr>
            <w:tcW w:w="5998" w:type="dxa"/>
            <w:gridSpan w:val="2"/>
            <w:tcBorders>
              <w:top w:val="single" w:sz="12" w:space="0" w:color="auto"/>
              <w:left w:val="single" w:sz="12" w:space="0" w:color="auto"/>
              <w:bottom w:val="single" w:sz="12" w:space="0" w:color="auto"/>
              <w:right w:val="single" w:sz="12" w:space="0" w:color="auto"/>
            </w:tcBorders>
          </w:tcPr>
          <w:p w14:paraId="0D264E0D" w14:textId="03028197" w:rsidR="00E12F9F" w:rsidRPr="00E12F9F" w:rsidRDefault="00E12F9F" w:rsidP="00674F82">
            <w:pPr>
              <w:spacing w:after="0" w:line="240" w:lineRule="auto"/>
              <w:jc w:val="center"/>
              <w:rPr>
                <w:b/>
                <w:bCs/>
              </w:rPr>
            </w:pPr>
            <w:r w:rsidRPr="00E12F9F">
              <w:rPr>
                <w:b/>
                <w:bCs/>
              </w:rPr>
              <w:t>Mean Amount Owed to Money</w:t>
            </w:r>
            <w:r w:rsidR="00195012">
              <w:rPr>
                <w:b/>
                <w:bCs/>
              </w:rPr>
              <w:t>l</w:t>
            </w:r>
            <w:r w:rsidRPr="00E12F9F">
              <w:rPr>
                <w:b/>
                <w:bCs/>
              </w:rPr>
              <w:t>enders (£)</w:t>
            </w:r>
          </w:p>
        </w:tc>
      </w:tr>
      <w:tr w:rsidR="00E12F9F" w:rsidRPr="00E12F9F" w14:paraId="1AC85845" w14:textId="77777777" w:rsidTr="00674F82">
        <w:tc>
          <w:tcPr>
            <w:tcW w:w="2998" w:type="dxa"/>
            <w:vMerge/>
            <w:tcBorders>
              <w:left w:val="single" w:sz="12" w:space="0" w:color="auto"/>
              <w:bottom w:val="single" w:sz="12" w:space="0" w:color="auto"/>
              <w:right w:val="single" w:sz="12" w:space="0" w:color="auto"/>
            </w:tcBorders>
          </w:tcPr>
          <w:p w14:paraId="6994381C" w14:textId="77777777" w:rsidR="00E12F9F" w:rsidRPr="00E12F9F" w:rsidRDefault="00E12F9F" w:rsidP="00674F82">
            <w:pPr>
              <w:spacing w:after="0" w:line="240" w:lineRule="auto"/>
            </w:pPr>
          </w:p>
        </w:tc>
        <w:tc>
          <w:tcPr>
            <w:tcW w:w="2998" w:type="dxa"/>
            <w:tcBorders>
              <w:top w:val="single" w:sz="12" w:space="0" w:color="auto"/>
              <w:left w:val="single" w:sz="12" w:space="0" w:color="auto"/>
              <w:bottom w:val="single" w:sz="12" w:space="0" w:color="auto"/>
              <w:right w:val="single" w:sz="12" w:space="0" w:color="auto"/>
            </w:tcBorders>
          </w:tcPr>
          <w:p w14:paraId="76397B63" w14:textId="77777777" w:rsidR="00E12F9F" w:rsidRPr="00E12F9F" w:rsidRDefault="00E12F9F" w:rsidP="00674F82">
            <w:pPr>
              <w:spacing w:after="0" w:line="240" w:lineRule="auto"/>
              <w:jc w:val="center"/>
              <w:rPr>
                <w:b/>
                <w:bCs/>
              </w:rPr>
            </w:pPr>
            <w:r w:rsidRPr="00E12F9F">
              <w:rPr>
                <w:b/>
                <w:bCs/>
              </w:rPr>
              <w:t>Bolton-le-Sands</w:t>
            </w:r>
          </w:p>
        </w:tc>
        <w:tc>
          <w:tcPr>
            <w:tcW w:w="3000" w:type="dxa"/>
            <w:tcBorders>
              <w:top w:val="single" w:sz="12" w:space="0" w:color="auto"/>
              <w:left w:val="single" w:sz="12" w:space="0" w:color="auto"/>
              <w:bottom w:val="single" w:sz="12" w:space="0" w:color="auto"/>
              <w:right w:val="single" w:sz="12" w:space="0" w:color="auto"/>
            </w:tcBorders>
          </w:tcPr>
          <w:p w14:paraId="163F706A" w14:textId="77777777" w:rsidR="00E12F9F" w:rsidRPr="00E12F9F" w:rsidRDefault="00E12F9F" w:rsidP="00674F82">
            <w:pPr>
              <w:spacing w:after="0" w:line="240" w:lineRule="auto"/>
              <w:jc w:val="center"/>
              <w:rPr>
                <w:b/>
                <w:bCs/>
              </w:rPr>
            </w:pPr>
            <w:r w:rsidRPr="00E12F9F">
              <w:rPr>
                <w:b/>
                <w:bCs/>
              </w:rPr>
              <w:t>Prestbury</w:t>
            </w:r>
          </w:p>
        </w:tc>
      </w:tr>
      <w:tr w:rsidR="00E12F9F" w:rsidRPr="00E12F9F" w14:paraId="40CB1B78" w14:textId="77777777" w:rsidTr="00674F82">
        <w:tc>
          <w:tcPr>
            <w:tcW w:w="2998" w:type="dxa"/>
            <w:tcBorders>
              <w:top w:val="single" w:sz="12" w:space="0" w:color="auto"/>
              <w:left w:val="single" w:sz="12" w:space="0" w:color="auto"/>
              <w:right w:val="single" w:sz="12" w:space="0" w:color="auto"/>
            </w:tcBorders>
          </w:tcPr>
          <w:p w14:paraId="12EF06AB" w14:textId="77777777" w:rsidR="00E12F9F" w:rsidRPr="00E12F9F" w:rsidRDefault="00E12F9F" w:rsidP="00674F82">
            <w:pPr>
              <w:spacing w:after="0" w:line="240" w:lineRule="auto"/>
              <w:rPr>
                <w:b/>
                <w:bCs/>
              </w:rPr>
            </w:pPr>
            <w:r w:rsidRPr="00E12F9F">
              <w:rPr>
                <w:b/>
                <w:bCs/>
              </w:rPr>
              <w:t>Men</w:t>
            </w:r>
          </w:p>
        </w:tc>
        <w:tc>
          <w:tcPr>
            <w:tcW w:w="2998" w:type="dxa"/>
            <w:tcBorders>
              <w:top w:val="single" w:sz="12" w:space="0" w:color="auto"/>
              <w:left w:val="single" w:sz="12" w:space="0" w:color="auto"/>
              <w:right w:val="single" w:sz="12" w:space="0" w:color="auto"/>
            </w:tcBorders>
          </w:tcPr>
          <w:p w14:paraId="76DF790D" w14:textId="77777777" w:rsidR="00E12F9F" w:rsidRPr="00E12F9F" w:rsidRDefault="00E12F9F" w:rsidP="00674F82">
            <w:pPr>
              <w:spacing w:after="0" w:line="240" w:lineRule="auto"/>
              <w:jc w:val="center"/>
              <w:rPr>
                <w:b/>
                <w:bCs/>
              </w:rPr>
            </w:pPr>
            <w:r w:rsidRPr="00E12F9F">
              <w:rPr>
                <w:b/>
                <w:bCs/>
              </w:rPr>
              <w:t>69.1</w:t>
            </w:r>
          </w:p>
        </w:tc>
        <w:tc>
          <w:tcPr>
            <w:tcW w:w="3000" w:type="dxa"/>
            <w:tcBorders>
              <w:top w:val="single" w:sz="12" w:space="0" w:color="auto"/>
              <w:left w:val="single" w:sz="12" w:space="0" w:color="auto"/>
              <w:right w:val="single" w:sz="12" w:space="0" w:color="auto"/>
            </w:tcBorders>
          </w:tcPr>
          <w:p w14:paraId="7633EAFE" w14:textId="77777777" w:rsidR="00E12F9F" w:rsidRPr="00E12F9F" w:rsidRDefault="00E12F9F" w:rsidP="00674F82">
            <w:pPr>
              <w:spacing w:after="0" w:line="240" w:lineRule="auto"/>
              <w:jc w:val="center"/>
              <w:rPr>
                <w:b/>
                <w:bCs/>
              </w:rPr>
            </w:pPr>
            <w:r w:rsidRPr="00E12F9F">
              <w:rPr>
                <w:b/>
                <w:bCs/>
              </w:rPr>
              <w:t>100</w:t>
            </w:r>
          </w:p>
        </w:tc>
      </w:tr>
      <w:tr w:rsidR="00E12F9F" w:rsidRPr="00E12F9F" w14:paraId="557EBEDB" w14:textId="77777777" w:rsidTr="00674F82">
        <w:tc>
          <w:tcPr>
            <w:tcW w:w="2998" w:type="dxa"/>
            <w:tcBorders>
              <w:left w:val="single" w:sz="12" w:space="0" w:color="auto"/>
              <w:right w:val="single" w:sz="12" w:space="0" w:color="auto"/>
            </w:tcBorders>
          </w:tcPr>
          <w:p w14:paraId="4AE9948C" w14:textId="77777777" w:rsidR="00E12F9F" w:rsidRPr="00E12F9F" w:rsidRDefault="00E12F9F" w:rsidP="00674F82">
            <w:pPr>
              <w:spacing w:after="0" w:line="240" w:lineRule="auto"/>
            </w:pPr>
            <w:r w:rsidRPr="00E12F9F">
              <w:t xml:space="preserve">     Bachelor</w:t>
            </w:r>
          </w:p>
        </w:tc>
        <w:tc>
          <w:tcPr>
            <w:tcW w:w="2998" w:type="dxa"/>
            <w:tcBorders>
              <w:left w:val="single" w:sz="12" w:space="0" w:color="auto"/>
              <w:right w:val="single" w:sz="12" w:space="0" w:color="auto"/>
            </w:tcBorders>
          </w:tcPr>
          <w:p w14:paraId="7DF4A369" w14:textId="77777777" w:rsidR="00E12F9F" w:rsidRPr="00E12F9F" w:rsidRDefault="00E12F9F" w:rsidP="00674F82">
            <w:pPr>
              <w:spacing w:after="0" w:line="240" w:lineRule="auto"/>
              <w:jc w:val="center"/>
            </w:pPr>
            <w:r w:rsidRPr="00E12F9F">
              <w:t>126</w:t>
            </w:r>
          </w:p>
        </w:tc>
        <w:tc>
          <w:tcPr>
            <w:tcW w:w="3000" w:type="dxa"/>
            <w:tcBorders>
              <w:left w:val="single" w:sz="12" w:space="0" w:color="auto"/>
              <w:right w:val="single" w:sz="12" w:space="0" w:color="auto"/>
            </w:tcBorders>
          </w:tcPr>
          <w:p w14:paraId="2D2DEA35" w14:textId="77777777" w:rsidR="00E12F9F" w:rsidRPr="00E12F9F" w:rsidRDefault="00E12F9F" w:rsidP="00674F82">
            <w:pPr>
              <w:spacing w:after="0" w:line="240" w:lineRule="auto"/>
              <w:jc w:val="center"/>
            </w:pPr>
            <w:r w:rsidRPr="00E12F9F">
              <w:t>150</w:t>
            </w:r>
          </w:p>
        </w:tc>
      </w:tr>
      <w:tr w:rsidR="00E12F9F" w:rsidRPr="00E12F9F" w14:paraId="75016F0D" w14:textId="77777777" w:rsidTr="00674F82">
        <w:tc>
          <w:tcPr>
            <w:tcW w:w="2998" w:type="dxa"/>
            <w:tcBorders>
              <w:left w:val="single" w:sz="12" w:space="0" w:color="auto"/>
              <w:right w:val="single" w:sz="12" w:space="0" w:color="auto"/>
            </w:tcBorders>
          </w:tcPr>
          <w:p w14:paraId="7A6CBBF6" w14:textId="77777777" w:rsidR="00E12F9F" w:rsidRPr="00E12F9F" w:rsidRDefault="00E12F9F" w:rsidP="00674F82">
            <w:pPr>
              <w:spacing w:after="0" w:line="240" w:lineRule="auto"/>
            </w:pPr>
            <w:r w:rsidRPr="00E12F9F">
              <w:t xml:space="preserve">     Married</w:t>
            </w:r>
          </w:p>
        </w:tc>
        <w:tc>
          <w:tcPr>
            <w:tcW w:w="2998" w:type="dxa"/>
            <w:tcBorders>
              <w:left w:val="single" w:sz="12" w:space="0" w:color="auto"/>
              <w:right w:val="single" w:sz="12" w:space="0" w:color="auto"/>
            </w:tcBorders>
          </w:tcPr>
          <w:p w14:paraId="3873B57E" w14:textId="77777777" w:rsidR="00E12F9F" w:rsidRPr="00E12F9F" w:rsidRDefault="00E12F9F" w:rsidP="00674F82">
            <w:pPr>
              <w:spacing w:after="0" w:line="240" w:lineRule="auto"/>
              <w:jc w:val="center"/>
            </w:pPr>
            <w:r w:rsidRPr="00E12F9F">
              <w:t>51.1</w:t>
            </w:r>
          </w:p>
        </w:tc>
        <w:tc>
          <w:tcPr>
            <w:tcW w:w="3000" w:type="dxa"/>
            <w:tcBorders>
              <w:left w:val="single" w:sz="12" w:space="0" w:color="auto"/>
              <w:right w:val="single" w:sz="12" w:space="0" w:color="auto"/>
            </w:tcBorders>
          </w:tcPr>
          <w:p w14:paraId="4A06769E" w14:textId="77777777" w:rsidR="00E12F9F" w:rsidRPr="00E12F9F" w:rsidRDefault="00E12F9F" w:rsidP="00674F82">
            <w:pPr>
              <w:spacing w:after="0" w:line="240" w:lineRule="auto"/>
              <w:jc w:val="center"/>
            </w:pPr>
            <w:r w:rsidRPr="00E12F9F">
              <w:t>89.6</w:t>
            </w:r>
          </w:p>
        </w:tc>
      </w:tr>
      <w:tr w:rsidR="00E12F9F" w:rsidRPr="00E12F9F" w14:paraId="06E81FBB" w14:textId="77777777" w:rsidTr="00674F82">
        <w:tc>
          <w:tcPr>
            <w:tcW w:w="2998" w:type="dxa"/>
            <w:tcBorders>
              <w:left w:val="single" w:sz="12" w:space="0" w:color="auto"/>
              <w:bottom w:val="single" w:sz="12" w:space="0" w:color="auto"/>
              <w:right w:val="single" w:sz="12" w:space="0" w:color="auto"/>
            </w:tcBorders>
          </w:tcPr>
          <w:p w14:paraId="530E35E4" w14:textId="77777777" w:rsidR="00E12F9F" w:rsidRPr="00E12F9F" w:rsidRDefault="00E12F9F" w:rsidP="00674F82">
            <w:pPr>
              <w:spacing w:after="0" w:line="240" w:lineRule="auto"/>
            </w:pPr>
            <w:r w:rsidRPr="00E12F9F">
              <w:t xml:space="preserve">     Widower</w:t>
            </w:r>
          </w:p>
        </w:tc>
        <w:tc>
          <w:tcPr>
            <w:tcW w:w="2998" w:type="dxa"/>
            <w:tcBorders>
              <w:left w:val="single" w:sz="12" w:space="0" w:color="auto"/>
              <w:bottom w:val="single" w:sz="12" w:space="0" w:color="auto"/>
              <w:right w:val="single" w:sz="12" w:space="0" w:color="auto"/>
            </w:tcBorders>
          </w:tcPr>
          <w:p w14:paraId="63364285" w14:textId="77777777" w:rsidR="00E12F9F" w:rsidRPr="00E12F9F" w:rsidRDefault="00E12F9F" w:rsidP="00674F82">
            <w:pPr>
              <w:spacing w:after="0" w:line="240" w:lineRule="auto"/>
              <w:jc w:val="center"/>
            </w:pPr>
            <w:r w:rsidRPr="00E12F9F">
              <w:t>165.7</w:t>
            </w:r>
          </w:p>
        </w:tc>
        <w:tc>
          <w:tcPr>
            <w:tcW w:w="3000" w:type="dxa"/>
            <w:tcBorders>
              <w:left w:val="single" w:sz="12" w:space="0" w:color="auto"/>
              <w:bottom w:val="single" w:sz="12" w:space="0" w:color="auto"/>
              <w:right w:val="single" w:sz="12" w:space="0" w:color="auto"/>
            </w:tcBorders>
          </w:tcPr>
          <w:p w14:paraId="33A2C83A" w14:textId="77777777" w:rsidR="00E12F9F" w:rsidRPr="00E12F9F" w:rsidRDefault="00E12F9F" w:rsidP="00674F82">
            <w:pPr>
              <w:spacing w:after="0" w:line="240" w:lineRule="auto"/>
              <w:jc w:val="center"/>
            </w:pPr>
            <w:r w:rsidRPr="00E12F9F">
              <w:t>77.2</w:t>
            </w:r>
          </w:p>
        </w:tc>
      </w:tr>
      <w:tr w:rsidR="00E12F9F" w:rsidRPr="00E12F9F" w14:paraId="392A3F75" w14:textId="77777777" w:rsidTr="00674F82">
        <w:tc>
          <w:tcPr>
            <w:tcW w:w="2998" w:type="dxa"/>
            <w:tcBorders>
              <w:top w:val="single" w:sz="12" w:space="0" w:color="auto"/>
              <w:left w:val="single" w:sz="12" w:space="0" w:color="auto"/>
              <w:right w:val="single" w:sz="12" w:space="0" w:color="auto"/>
            </w:tcBorders>
          </w:tcPr>
          <w:p w14:paraId="1216076D" w14:textId="77777777" w:rsidR="00E12F9F" w:rsidRPr="00E12F9F" w:rsidRDefault="00E12F9F" w:rsidP="00674F82">
            <w:pPr>
              <w:spacing w:after="0" w:line="240" w:lineRule="auto"/>
              <w:rPr>
                <w:b/>
                <w:bCs/>
              </w:rPr>
            </w:pPr>
            <w:r w:rsidRPr="00E12F9F">
              <w:rPr>
                <w:b/>
                <w:bCs/>
              </w:rPr>
              <w:t>Women</w:t>
            </w:r>
          </w:p>
        </w:tc>
        <w:tc>
          <w:tcPr>
            <w:tcW w:w="2998" w:type="dxa"/>
            <w:tcBorders>
              <w:top w:val="single" w:sz="12" w:space="0" w:color="auto"/>
              <w:left w:val="single" w:sz="12" w:space="0" w:color="auto"/>
              <w:right w:val="single" w:sz="12" w:space="0" w:color="auto"/>
            </w:tcBorders>
          </w:tcPr>
          <w:p w14:paraId="7227A6CD" w14:textId="77777777" w:rsidR="00E12F9F" w:rsidRPr="00E12F9F" w:rsidRDefault="00E12F9F" w:rsidP="00674F82">
            <w:pPr>
              <w:spacing w:after="0" w:line="240" w:lineRule="auto"/>
              <w:jc w:val="center"/>
              <w:rPr>
                <w:b/>
                <w:bCs/>
              </w:rPr>
            </w:pPr>
            <w:r w:rsidRPr="00E12F9F">
              <w:rPr>
                <w:b/>
                <w:bCs/>
              </w:rPr>
              <w:t>75.8</w:t>
            </w:r>
          </w:p>
        </w:tc>
        <w:tc>
          <w:tcPr>
            <w:tcW w:w="3000" w:type="dxa"/>
            <w:tcBorders>
              <w:top w:val="single" w:sz="12" w:space="0" w:color="auto"/>
              <w:left w:val="single" w:sz="12" w:space="0" w:color="auto"/>
              <w:right w:val="single" w:sz="12" w:space="0" w:color="auto"/>
            </w:tcBorders>
          </w:tcPr>
          <w:p w14:paraId="76370E3D" w14:textId="77777777" w:rsidR="00E12F9F" w:rsidRPr="00E12F9F" w:rsidRDefault="00E12F9F" w:rsidP="00674F82">
            <w:pPr>
              <w:spacing w:after="0" w:line="240" w:lineRule="auto"/>
              <w:jc w:val="center"/>
              <w:rPr>
                <w:b/>
                <w:bCs/>
              </w:rPr>
            </w:pPr>
            <w:r w:rsidRPr="00E12F9F">
              <w:rPr>
                <w:b/>
                <w:bCs/>
              </w:rPr>
              <w:t>40.6</w:t>
            </w:r>
          </w:p>
        </w:tc>
      </w:tr>
      <w:tr w:rsidR="00E12F9F" w:rsidRPr="00E12F9F" w14:paraId="416EE4EB" w14:textId="77777777" w:rsidTr="00674F82">
        <w:tc>
          <w:tcPr>
            <w:tcW w:w="2998" w:type="dxa"/>
            <w:tcBorders>
              <w:left w:val="single" w:sz="12" w:space="0" w:color="auto"/>
              <w:right w:val="single" w:sz="12" w:space="0" w:color="auto"/>
            </w:tcBorders>
          </w:tcPr>
          <w:p w14:paraId="24D14ABD" w14:textId="77777777" w:rsidR="00E12F9F" w:rsidRPr="00E12F9F" w:rsidRDefault="00E12F9F" w:rsidP="00674F82">
            <w:pPr>
              <w:spacing w:after="0" w:line="240" w:lineRule="auto"/>
            </w:pPr>
            <w:r w:rsidRPr="00E12F9F">
              <w:t xml:space="preserve">     Spinster</w:t>
            </w:r>
          </w:p>
        </w:tc>
        <w:tc>
          <w:tcPr>
            <w:tcW w:w="2998" w:type="dxa"/>
            <w:tcBorders>
              <w:left w:val="single" w:sz="12" w:space="0" w:color="auto"/>
              <w:right w:val="single" w:sz="12" w:space="0" w:color="auto"/>
            </w:tcBorders>
          </w:tcPr>
          <w:p w14:paraId="0C2D0955" w14:textId="77777777" w:rsidR="00E12F9F" w:rsidRPr="00E12F9F" w:rsidRDefault="00E12F9F" w:rsidP="00674F82">
            <w:pPr>
              <w:spacing w:after="0" w:line="240" w:lineRule="auto"/>
              <w:jc w:val="center"/>
            </w:pPr>
            <w:r w:rsidRPr="00E12F9F">
              <w:t>153</w:t>
            </w:r>
          </w:p>
        </w:tc>
        <w:tc>
          <w:tcPr>
            <w:tcW w:w="3000" w:type="dxa"/>
            <w:tcBorders>
              <w:left w:val="single" w:sz="12" w:space="0" w:color="auto"/>
              <w:right w:val="single" w:sz="12" w:space="0" w:color="auto"/>
            </w:tcBorders>
          </w:tcPr>
          <w:p w14:paraId="36CBBF19" w14:textId="77777777" w:rsidR="00E12F9F" w:rsidRPr="00E12F9F" w:rsidRDefault="00E12F9F" w:rsidP="00674F82">
            <w:pPr>
              <w:spacing w:after="0" w:line="240" w:lineRule="auto"/>
              <w:jc w:val="center"/>
            </w:pPr>
            <w:r w:rsidRPr="00E12F9F">
              <w:t>0</w:t>
            </w:r>
          </w:p>
        </w:tc>
      </w:tr>
      <w:tr w:rsidR="00E12F9F" w:rsidRPr="00E12F9F" w14:paraId="53E9A829" w14:textId="77777777" w:rsidTr="00674F82">
        <w:tc>
          <w:tcPr>
            <w:tcW w:w="2998" w:type="dxa"/>
            <w:tcBorders>
              <w:left w:val="single" w:sz="12" w:space="0" w:color="auto"/>
              <w:right w:val="single" w:sz="12" w:space="0" w:color="auto"/>
            </w:tcBorders>
          </w:tcPr>
          <w:p w14:paraId="5650E61C" w14:textId="77777777" w:rsidR="00E12F9F" w:rsidRPr="00E12F9F" w:rsidRDefault="00E12F9F" w:rsidP="00674F82">
            <w:pPr>
              <w:spacing w:after="0" w:line="240" w:lineRule="auto"/>
            </w:pPr>
            <w:r w:rsidRPr="00E12F9F">
              <w:t xml:space="preserve">     Married</w:t>
            </w:r>
          </w:p>
        </w:tc>
        <w:tc>
          <w:tcPr>
            <w:tcW w:w="2998" w:type="dxa"/>
            <w:tcBorders>
              <w:left w:val="single" w:sz="12" w:space="0" w:color="auto"/>
              <w:right w:val="single" w:sz="12" w:space="0" w:color="auto"/>
            </w:tcBorders>
          </w:tcPr>
          <w:p w14:paraId="789898BC" w14:textId="77777777" w:rsidR="00E12F9F" w:rsidRPr="00E12F9F" w:rsidRDefault="00E12F9F" w:rsidP="00674F82">
            <w:pPr>
              <w:spacing w:after="0" w:line="240" w:lineRule="auto"/>
              <w:jc w:val="center"/>
            </w:pPr>
            <w:r w:rsidRPr="00E12F9F">
              <w:t>-</w:t>
            </w:r>
          </w:p>
        </w:tc>
        <w:tc>
          <w:tcPr>
            <w:tcW w:w="3000" w:type="dxa"/>
            <w:tcBorders>
              <w:left w:val="single" w:sz="12" w:space="0" w:color="auto"/>
              <w:right w:val="single" w:sz="12" w:space="0" w:color="auto"/>
            </w:tcBorders>
          </w:tcPr>
          <w:p w14:paraId="112858F7" w14:textId="77777777" w:rsidR="00E12F9F" w:rsidRPr="00E12F9F" w:rsidRDefault="00E12F9F" w:rsidP="00674F82">
            <w:pPr>
              <w:spacing w:after="0" w:line="240" w:lineRule="auto"/>
              <w:jc w:val="center"/>
            </w:pPr>
            <w:r w:rsidRPr="00E12F9F">
              <w:t>0</w:t>
            </w:r>
          </w:p>
        </w:tc>
      </w:tr>
      <w:tr w:rsidR="00E12F9F" w:rsidRPr="00E12F9F" w14:paraId="31AB9749" w14:textId="77777777" w:rsidTr="00674F82">
        <w:tc>
          <w:tcPr>
            <w:tcW w:w="2998" w:type="dxa"/>
            <w:tcBorders>
              <w:left w:val="single" w:sz="12" w:space="0" w:color="auto"/>
              <w:bottom w:val="single" w:sz="12" w:space="0" w:color="auto"/>
              <w:right w:val="single" w:sz="12" w:space="0" w:color="auto"/>
            </w:tcBorders>
          </w:tcPr>
          <w:p w14:paraId="45E52215" w14:textId="77777777" w:rsidR="00E12F9F" w:rsidRPr="00E12F9F" w:rsidRDefault="00E12F9F" w:rsidP="00674F82">
            <w:pPr>
              <w:spacing w:after="0" w:line="240" w:lineRule="auto"/>
            </w:pPr>
            <w:r w:rsidRPr="00E12F9F">
              <w:t xml:space="preserve">     Widow</w:t>
            </w:r>
          </w:p>
        </w:tc>
        <w:tc>
          <w:tcPr>
            <w:tcW w:w="2998" w:type="dxa"/>
            <w:tcBorders>
              <w:left w:val="single" w:sz="12" w:space="0" w:color="auto"/>
              <w:bottom w:val="single" w:sz="12" w:space="0" w:color="auto"/>
              <w:right w:val="single" w:sz="12" w:space="0" w:color="auto"/>
            </w:tcBorders>
          </w:tcPr>
          <w:p w14:paraId="02595CC5" w14:textId="77777777" w:rsidR="00E12F9F" w:rsidRPr="00E12F9F" w:rsidRDefault="00E12F9F" w:rsidP="00674F82">
            <w:pPr>
              <w:spacing w:after="0" w:line="240" w:lineRule="auto"/>
              <w:jc w:val="center"/>
            </w:pPr>
            <w:r w:rsidRPr="00E12F9F">
              <w:t>57.6</w:t>
            </w:r>
          </w:p>
        </w:tc>
        <w:tc>
          <w:tcPr>
            <w:tcW w:w="3000" w:type="dxa"/>
            <w:tcBorders>
              <w:left w:val="single" w:sz="12" w:space="0" w:color="auto"/>
              <w:bottom w:val="single" w:sz="12" w:space="0" w:color="auto"/>
              <w:right w:val="single" w:sz="12" w:space="0" w:color="auto"/>
            </w:tcBorders>
          </w:tcPr>
          <w:p w14:paraId="39489C93" w14:textId="77777777" w:rsidR="00E12F9F" w:rsidRPr="00E12F9F" w:rsidRDefault="00E12F9F" w:rsidP="00674F82">
            <w:pPr>
              <w:spacing w:after="0" w:line="240" w:lineRule="auto"/>
              <w:jc w:val="center"/>
            </w:pPr>
            <w:r w:rsidRPr="00E12F9F">
              <w:t>49.7</w:t>
            </w:r>
          </w:p>
        </w:tc>
      </w:tr>
      <w:tr w:rsidR="00E12F9F" w:rsidRPr="00E12F9F" w14:paraId="36AB7A03" w14:textId="77777777" w:rsidTr="00674F82">
        <w:tc>
          <w:tcPr>
            <w:tcW w:w="2998" w:type="dxa"/>
            <w:tcBorders>
              <w:top w:val="single" w:sz="12" w:space="0" w:color="auto"/>
              <w:left w:val="single" w:sz="12" w:space="0" w:color="auto"/>
              <w:bottom w:val="single" w:sz="12" w:space="0" w:color="auto"/>
              <w:right w:val="single" w:sz="12" w:space="0" w:color="auto"/>
            </w:tcBorders>
          </w:tcPr>
          <w:p w14:paraId="1ED79ADF" w14:textId="77777777" w:rsidR="00E12F9F" w:rsidRPr="00E12F9F" w:rsidRDefault="00E12F9F" w:rsidP="00674F82">
            <w:pPr>
              <w:spacing w:after="0" w:line="240" w:lineRule="auto"/>
              <w:rPr>
                <w:b/>
                <w:bCs/>
              </w:rPr>
            </w:pPr>
            <w:r w:rsidRPr="00E12F9F">
              <w:rPr>
                <w:b/>
                <w:bCs/>
              </w:rPr>
              <w:t>Total</w:t>
            </w:r>
          </w:p>
        </w:tc>
        <w:tc>
          <w:tcPr>
            <w:tcW w:w="2998" w:type="dxa"/>
            <w:tcBorders>
              <w:top w:val="single" w:sz="12" w:space="0" w:color="auto"/>
              <w:left w:val="single" w:sz="12" w:space="0" w:color="auto"/>
              <w:bottom w:val="single" w:sz="12" w:space="0" w:color="auto"/>
              <w:right w:val="single" w:sz="12" w:space="0" w:color="auto"/>
            </w:tcBorders>
          </w:tcPr>
          <w:p w14:paraId="505D1E33" w14:textId="77777777" w:rsidR="00E12F9F" w:rsidRPr="00E12F9F" w:rsidRDefault="00E12F9F" w:rsidP="00674F82">
            <w:pPr>
              <w:spacing w:after="0" w:line="240" w:lineRule="auto"/>
              <w:jc w:val="center"/>
              <w:rPr>
                <w:b/>
                <w:bCs/>
              </w:rPr>
            </w:pPr>
            <w:r w:rsidRPr="00E12F9F">
              <w:rPr>
                <w:b/>
                <w:bCs/>
              </w:rPr>
              <w:t>71.4</w:t>
            </w:r>
          </w:p>
        </w:tc>
        <w:tc>
          <w:tcPr>
            <w:tcW w:w="3000" w:type="dxa"/>
            <w:tcBorders>
              <w:top w:val="single" w:sz="12" w:space="0" w:color="auto"/>
              <w:left w:val="single" w:sz="12" w:space="0" w:color="auto"/>
              <w:bottom w:val="single" w:sz="12" w:space="0" w:color="auto"/>
              <w:right w:val="single" w:sz="12" w:space="0" w:color="auto"/>
            </w:tcBorders>
          </w:tcPr>
          <w:p w14:paraId="1F5C656B" w14:textId="77777777" w:rsidR="00E12F9F" w:rsidRPr="00E12F9F" w:rsidRDefault="00E12F9F" w:rsidP="00674F82">
            <w:pPr>
              <w:spacing w:after="0" w:line="240" w:lineRule="auto"/>
              <w:jc w:val="center"/>
              <w:rPr>
                <w:b/>
                <w:bCs/>
              </w:rPr>
            </w:pPr>
            <w:r w:rsidRPr="00E12F9F">
              <w:rPr>
                <w:b/>
                <w:bCs/>
              </w:rPr>
              <w:t>89.5</w:t>
            </w:r>
          </w:p>
        </w:tc>
      </w:tr>
    </w:tbl>
    <w:p w14:paraId="6B748B25" w14:textId="77777777" w:rsidR="00E12F9F" w:rsidRPr="00E12F9F" w:rsidRDefault="00E12F9F" w:rsidP="00E12F9F"/>
    <w:p w14:paraId="69DED137" w14:textId="77777777" w:rsidR="00674F82" w:rsidRDefault="00674F82" w:rsidP="00E12F9F">
      <w:pPr>
        <w:jc w:val="center"/>
      </w:pPr>
    </w:p>
    <w:p w14:paraId="2302F804" w14:textId="77777777" w:rsidR="00674F82" w:rsidRDefault="00674F82" w:rsidP="00E12F9F">
      <w:pPr>
        <w:jc w:val="center"/>
      </w:pPr>
    </w:p>
    <w:p w14:paraId="1EFECD08" w14:textId="77777777" w:rsidR="00674F82" w:rsidRDefault="00674F82" w:rsidP="00E12F9F">
      <w:pPr>
        <w:jc w:val="center"/>
      </w:pPr>
    </w:p>
    <w:p w14:paraId="680FA91D" w14:textId="77777777" w:rsidR="00674F82" w:rsidRDefault="00674F82" w:rsidP="00E12F9F">
      <w:pPr>
        <w:jc w:val="center"/>
      </w:pPr>
    </w:p>
    <w:p w14:paraId="5B4F7318" w14:textId="77777777" w:rsidR="00674F82" w:rsidRDefault="00674F82" w:rsidP="00E12F9F">
      <w:pPr>
        <w:jc w:val="center"/>
      </w:pPr>
    </w:p>
    <w:p w14:paraId="710B0446" w14:textId="72753CA7" w:rsidR="00E12F9F" w:rsidRPr="00E12F9F" w:rsidRDefault="00E12F9F" w:rsidP="00E12F9F">
      <w:pPr>
        <w:jc w:val="center"/>
      </w:pPr>
      <w:r w:rsidRPr="00E12F9F">
        <w:t>Table 21 – Mean amounts owed to moneylend</w:t>
      </w:r>
      <w:r w:rsidR="00E9742E">
        <w:t xml:space="preserve">ers </w:t>
      </w:r>
      <w:r w:rsidRPr="00E12F9F">
        <w:t>in the Bolton-le-Sands and Prestbury wider survey.</w:t>
      </w:r>
    </w:p>
    <w:p w14:paraId="4EAFD8C1" w14:textId="77777777" w:rsidR="00E12F9F" w:rsidRPr="00E12F9F" w:rsidRDefault="00E12F9F" w:rsidP="00E12F9F">
      <w:pPr>
        <w:spacing w:after="0" w:line="240" w:lineRule="auto"/>
      </w:pPr>
      <w:r w:rsidRPr="00E12F9F">
        <w:br w:type="page"/>
      </w:r>
    </w:p>
    <w:p w14:paraId="4B1B5089" w14:textId="77777777" w:rsidR="00E12F9F" w:rsidRPr="00E12F9F" w:rsidRDefault="00E12F9F" w:rsidP="00E12F9F">
      <w:pPr>
        <w:rPr>
          <w:b/>
          <w:bCs/>
        </w:rPr>
        <w:sectPr w:rsidR="00E12F9F" w:rsidRPr="00E12F9F" w:rsidSect="00E12F9F">
          <w:pgSz w:w="11906" w:h="16838"/>
          <w:pgMar w:top="1440" w:right="1440" w:bottom="1440" w:left="1440" w:header="720" w:footer="720" w:gutter="0"/>
          <w:cols w:space="720"/>
          <w:docGrid w:linePitch="360"/>
        </w:sectPr>
      </w:pPr>
    </w:p>
    <w:tbl>
      <w:tblPr>
        <w:tblStyle w:val="TableGrid8"/>
        <w:tblpPr w:leftFromText="180" w:rightFromText="180" w:horzAnchor="margin" w:tblpY="2295"/>
        <w:tblW w:w="0" w:type="auto"/>
        <w:tblLook w:val="04A0" w:firstRow="1" w:lastRow="0" w:firstColumn="1" w:lastColumn="0" w:noHBand="0" w:noVBand="1"/>
      </w:tblPr>
      <w:tblGrid>
        <w:gridCol w:w="3391"/>
        <w:gridCol w:w="5605"/>
      </w:tblGrid>
      <w:tr w:rsidR="00E12F9F" w:rsidRPr="00E12F9F" w14:paraId="4825C3BA" w14:textId="77777777" w:rsidTr="00674F82">
        <w:tc>
          <w:tcPr>
            <w:tcW w:w="3391" w:type="dxa"/>
            <w:tcBorders>
              <w:top w:val="single" w:sz="12" w:space="0" w:color="auto"/>
              <w:left w:val="single" w:sz="12" w:space="0" w:color="auto"/>
              <w:bottom w:val="single" w:sz="12" w:space="0" w:color="auto"/>
              <w:right w:val="single" w:sz="12" w:space="0" w:color="auto"/>
            </w:tcBorders>
          </w:tcPr>
          <w:p w14:paraId="71ED6B3D" w14:textId="77777777" w:rsidR="00E12F9F" w:rsidRPr="00E12F9F" w:rsidRDefault="00E12F9F" w:rsidP="00674F82">
            <w:pPr>
              <w:spacing w:after="0" w:line="240" w:lineRule="auto"/>
              <w:rPr>
                <w:b/>
                <w:bCs/>
              </w:rPr>
            </w:pPr>
            <w:r w:rsidRPr="00E12F9F">
              <w:rPr>
                <w:b/>
                <w:bCs/>
              </w:rPr>
              <w:lastRenderedPageBreak/>
              <w:t>Regions Defined by Weatherill</w:t>
            </w:r>
          </w:p>
        </w:tc>
        <w:tc>
          <w:tcPr>
            <w:tcW w:w="5605" w:type="dxa"/>
            <w:tcBorders>
              <w:top w:val="single" w:sz="12" w:space="0" w:color="auto"/>
              <w:left w:val="single" w:sz="12" w:space="0" w:color="auto"/>
              <w:bottom w:val="single" w:sz="12" w:space="0" w:color="auto"/>
              <w:right w:val="single" w:sz="12" w:space="0" w:color="auto"/>
            </w:tcBorders>
          </w:tcPr>
          <w:p w14:paraId="3C37EA56" w14:textId="77777777" w:rsidR="00E12F9F" w:rsidRPr="00E12F9F" w:rsidRDefault="00E12F9F" w:rsidP="00674F82">
            <w:pPr>
              <w:spacing w:after="0" w:line="240" w:lineRule="auto"/>
              <w:jc w:val="center"/>
              <w:rPr>
                <w:b/>
                <w:bCs/>
              </w:rPr>
            </w:pPr>
            <w:r w:rsidRPr="00E12F9F">
              <w:rPr>
                <w:b/>
                <w:bCs/>
              </w:rPr>
              <w:t>Percentage of Inventories Referencing Books</w:t>
            </w:r>
          </w:p>
        </w:tc>
      </w:tr>
      <w:tr w:rsidR="00E12F9F" w:rsidRPr="00E12F9F" w14:paraId="02FCCBA9" w14:textId="77777777" w:rsidTr="00674F82">
        <w:tc>
          <w:tcPr>
            <w:tcW w:w="3391" w:type="dxa"/>
            <w:tcBorders>
              <w:top w:val="single" w:sz="12" w:space="0" w:color="auto"/>
              <w:left w:val="single" w:sz="12" w:space="0" w:color="auto"/>
              <w:right w:val="single" w:sz="12" w:space="0" w:color="auto"/>
            </w:tcBorders>
          </w:tcPr>
          <w:p w14:paraId="6BD29248" w14:textId="77777777" w:rsidR="00E12F9F" w:rsidRPr="00E12F9F" w:rsidRDefault="00E12F9F" w:rsidP="00674F82">
            <w:pPr>
              <w:spacing w:after="0" w:line="240" w:lineRule="auto"/>
            </w:pPr>
            <w:r w:rsidRPr="00E12F9F">
              <w:t>London area</w:t>
            </w:r>
          </w:p>
        </w:tc>
        <w:tc>
          <w:tcPr>
            <w:tcW w:w="5605" w:type="dxa"/>
            <w:tcBorders>
              <w:top w:val="single" w:sz="12" w:space="0" w:color="auto"/>
              <w:left w:val="single" w:sz="12" w:space="0" w:color="auto"/>
              <w:right w:val="single" w:sz="12" w:space="0" w:color="auto"/>
            </w:tcBorders>
          </w:tcPr>
          <w:p w14:paraId="0842BA96" w14:textId="77777777" w:rsidR="00E12F9F" w:rsidRPr="00E12F9F" w:rsidRDefault="00E12F9F" w:rsidP="00674F82">
            <w:pPr>
              <w:spacing w:after="0" w:line="240" w:lineRule="auto"/>
              <w:jc w:val="center"/>
            </w:pPr>
            <w:r w:rsidRPr="00E12F9F">
              <w:t>30%</w:t>
            </w:r>
          </w:p>
        </w:tc>
      </w:tr>
      <w:tr w:rsidR="00E12F9F" w:rsidRPr="00E12F9F" w14:paraId="36FFB214" w14:textId="77777777" w:rsidTr="00674F82">
        <w:tc>
          <w:tcPr>
            <w:tcW w:w="3391" w:type="dxa"/>
            <w:tcBorders>
              <w:left w:val="single" w:sz="12" w:space="0" w:color="auto"/>
              <w:right w:val="single" w:sz="12" w:space="0" w:color="auto"/>
            </w:tcBorders>
          </w:tcPr>
          <w:p w14:paraId="371DCA97" w14:textId="77777777" w:rsidR="00E12F9F" w:rsidRPr="00E12F9F" w:rsidRDefault="00E12F9F" w:rsidP="00674F82">
            <w:pPr>
              <w:spacing w:after="0" w:line="240" w:lineRule="auto"/>
            </w:pPr>
            <w:r w:rsidRPr="00E12F9F">
              <w:t>North-east England</w:t>
            </w:r>
          </w:p>
        </w:tc>
        <w:tc>
          <w:tcPr>
            <w:tcW w:w="5605" w:type="dxa"/>
            <w:tcBorders>
              <w:left w:val="single" w:sz="12" w:space="0" w:color="auto"/>
              <w:right w:val="single" w:sz="12" w:space="0" w:color="auto"/>
            </w:tcBorders>
          </w:tcPr>
          <w:p w14:paraId="0CF1E58B" w14:textId="77777777" w:rsidR="00E12F9F" w:rsidRPr="00E12F9F" w:rsidRDefault="00E12F9F" w:rsidP="00674F82">
            <w:pPr>
              <w:spacing w:after="0" w:line="240" w:lineRule="auto"/>
              <w:jc w:val="center"/>
            </w:pPr>
            <w:r w:rsidRPr="00E12F9F">
              <w:t>10%</w:t>
            </w:r>
          </w:p>
        </w:tc>
      </w:tr>
      <w:tr w:rsidR="00E12F9F" w:rsidRPr="00E12F9F" w14:paraId="237C8DD0" w14:textId="77777777" w:rsidTr="00674F82">
        <w:tc>
          <w:tcPr>
            <w:tcW w:w="3391" w:type="dxa"/>
            <w:tcBorders>
              <w:left w:val="single" w:sz="12" w:space="0" w:color="auto"/>
              <w:right w:val="single" w:sz="12" w:space="0" w:color="auto"/>
            </w:tcBorders>
          </w:tcPr>
          <w:p w14:paraId="0A5F8608" w14:textId="77777777" w:rsidR="00E12F9F" w:rsidRPr="00E12F9F" w:rsidRDefault="00E12F9F" w:rsidP="00674F82">
            <w:pPr>
              <w:spacing w:after="0" w:line="240" w:lineRule="auto"/>
            </w:pPr>
            <w:r w:rsidRPr="00E12F9F">
              <w:t>East Kent</w:t>
            </w:r>
          </w:p>
        </w:tc>
        <w:tc>
          <w:tcPr>
            <w:tcW w:w="5605" w:type="dxa"/>
            <w:tcBorders>
              <w:left w:val="single" w:sz="12" w:space="0" w:color="auto"/>
              <w:right w:val="single" w:sz="12" w:space="0" w:color="auto"/>
            </w:tcBorders>
          </w:tcPr>
          <w:p w14:paraId="0DA58F71" w14:textId="77777777" w:rsidR="00E12F9F" w:rsidRPr="00E12F9F" w:rsidRDefault="00E12F9F" w:rsidP="00674F82">
            <w:pPr>
              <w:spacing w:after="0" w:line="240" w:lineRule="auto"/>
              <w:jc w:val="center"/>
            </w:pPr>
            <w:r w:rsidRPr="00E12F9F">
              <w:t>26%</w:t>
            </w:r>
          </w:p>
        </w:tc>
      </w:tr>
      <w:tr w:rsidR="00E12F9F" w:rsidRPr="00E12F9F" w14:paraId="1AFE5A81" w14:textId="77777777" w:rsidTr="00674F82">
        <w:tc>
          <w:tcPr>
            <w:tcW w:w="3391" w:type="dxa"/>
            <w:tcBorders>
              <w:left w:val="single" w:sz="12" w:space="0" w:color="auto"/>
              <w:right w:val="single" w:sz="12" w:space="0" w:color="auto"/>
            </w:tcBorders>
          </w:tcPr>
          <w:p w14:paraId="7C591B08" w14:textId="77777777" w:rsidR="00E12F9F" w:rsidRPr="00E12F9F" w:rsidRDefault="00E12F9F" w:rsidP="00674F82">
            <w:pPr>
              <w:spacing w:after="0" w:line="240" w:lineRule="auto"/>
            </w:pPr>
            <w:r w:rsidRPr="00E12F9F">
              <w:t>Cambridgeshire</w:t>
            </w:r>
          </w:p>
        </w:tc>
        <w:tc>
          <w:tcPr>
            <w:tcW w:w="5605" w:type="dxa"/>
            <w:tcBorders>
              <w:left w:val="single" w:sz="12" w:space="0" w:color="auto"/>
              <w:right w:val="single" w:sz="12" w:space="0" w:color="auto"/>
            </w:tcBorders>
          </w:tcPr>
          <w:p w14:paraId="016F0423" w14:textId="77777777" w:rsidR="00E12F9F" w:rsidRPr="00E12F9F" w:rsidRDefault="00E12F9F" w:rsidP="00674F82">
            <w:pPr>
              <w:spacing w:after="0" w:line="240" w:lineRule="auto"/>
              <w:jc w:val="center"/>
            </w:pPr>
            <w:r w:rsidRPr="00E12F9F">
              <w:t>12%</w:t>
            </w:r>
          </w:p>
        </w:tc>
      </w:tr>
      <w:tr w:rsidR="00E12F9F" w:rsidRPr="00E12F9F" w14:paraId="2296DF14" w14:textId="77777777" w:rsidTr="00674F82">
        <w:tc>
          <w:tcPr>
            <w:tcW w:w="3391" w:type="dxa"/>
            <w:tcBorders>
              <w:left w:val="single" w:sz="12" w:space="0" w:color="auto"/>
              <w:right w:val="single" w:sz="12" w:space="0" w:color="auto"/>
            </w:tcBorders>
          </w:tcPr>
          <w:p w14:paraId="2AE2CBA6" w14:textId="77777777" w:rsidR="00E12F9F" w:rsidRPr="00E12F9F" w:rsidRDefault="00E12F9F" w:rsidP="00674F82">
            <w:pPr>
              <w:spacing w:after="0" w:line="240" w:lineRule="auto"/>
            </w:pPr>
            <w:r w:rsidRPr="00E12F9F">
              <w:t>North-west England</w:t>
            </w:r>
          </w:p>
        </w:tc>
        <w:tc>
          <w:tcPr>
            <w:tcW w:w="5605" w:type="dxa"/>
            <w:tcBorders>
              <w:left w:val="single" w:sz="12" w:space="0" w:color="auto"/>
              <w:right w:val="single" w:sz="12" w:space="0" w:color="auto"/>
            </w:tcBorders>
          </w:tcPr>
          <w:p w14:paraId="59AB7AE7" w14:textId="77777777" w:rsidR="00E12F9F" w:rsidRPr="00E12F9F" w:rsidRDefault="00E12F9F" w:rsidP="00674F82">
            <w:pPr>
              <w:spacing w:after="0" w:line="240" w:lineRule="auto"/>
              <w:jc w:val="center"/>
            </w:pPr>
            <w:r w:rsidRPr="00E12F9F">
              <w:t>20%</w:t>
            </w:r>
          </w:p>
        </w:tc>
      </w:tr>
      <w:tr w:rsidR="00E12F9F" w:rsidRPr="00E12F9F" w14:paraId="66D0A921" w14:textId="77777777" w:rsidTr="00674F82">
        <w:tc>
          <w:tcPr>
            <w:tcW w:w="3391" w:type="dxa"/>
            <w:tcBorders>
              <w:left w:val="single" w:sz="12" w:space="0" w:color="auto"/>
              <w:right w:val="single" w:sz="12" w:space="0" w:color="auto"/>
            </w:tcBorders>
          </w:tcPr>
          <w:p w14:paraId="10F8B452" w14:textId="77777777" w:rsidR="00E12F9F" w:rsidRPr="00E12F9F" w:rsidRDefault="00E12F9F" w:rsidP="00674F82">
            <w:pPr>
              <w:spacing w:after="0" w:line="240" w:lineRule="auto"/>
            </w:pPr>
            <w:r w:rsidRPr="00E12F9F">
              <w:t>Hampshire</w:t>
            </w:r>
          </w:p>
        </w:tc>
        <w:tc>
          <w:tcPr>
            <w:tcW w:w="5605" w:type="dxa"/>
            <w:tcBorders>
              <w:left w:val="single" w:sz="12" w:space="0" w:color="auto"/>
              <w:right w:val="single" w:sz="12" w:space="0" w:color="auto"/>
            </w:tcBorders>
          </w:tcPr>
          <w:p w14:paraId="302A6E27" w14:textId="77777777" w:rsidR="00E12F9F" w:rsidRPr="00E12F9F" w:rsidRDefault="00E12F9F" w:rsidP="00674F82">
            <w:pPr>
              <w:spacing w:after="0" w:line="240" w:lineRule="auto"/>
              <w:jc w:val="center"/>
            </w:pPr>
            <w:r w:rsidRPr="00E12F9F">
              <w:t>24%</w:t>
            </w:r>
          </w:p>
        </w:tc>
      </w:tr>
      <w:tr w:rsidR="00E12F9F" w:rsidRPr="00E12F9F" w14:paraId="1EA0C6AF" w14:textId="77777777" w:rsidTr="00674F82">
        <w:tc>
          <w:tcPr>
            <w:tcW w:w="3391" w:type="dxa"/>
            <w:tcBorders>
              <w:left w:val="single" w:sz="12" w:space="0" w:color="auto"/>
              <w:right w:val="single" w:sz="12" w:space="0" w:color="auto"/>
            </w:tcBorders>
          </w:tcPr>
          <w:p w14:paraId="6DF54475" w14:textId="77777777" w:rsidR="00E12F9F" w:rsidRPr="00E12F9F" w:rsidRDefault="00E12F9F" w:rsidP="00674F82">
            <w:pPr>
              <w:spacing w:after="0" w:line="240" w:lineRule="auto"/>
            </w:pPr>
            <w:r w:rsidRPr="00E12F9F">
              <w:t>North-west Midlands</w:t>
            </w:r>
          </w:p>
        </w:tc>
        <w:tc>
          <w:tcPr>
            <w:tcW w:w="5605" w:type="dxa"/>
            <w:tcBorders>
              <w:left w:val="single" w:sz="12" w:space="0" w:color="auto"/>
              <w:right w:val="single" w:sz="12" w:space="0" w:color="auto"/>
            </w:tcBorders>
          </w:tcPr>
          <w:p w14:paraId="755024CD" w14:textId="77777777" w:rsidR="00E12F9F" w:rsidRPr="00E12F9F" w:rsidRDefault="00E12F9F" w:rsidP="00674F82">
            <w:pPr>
              <w:spacing w:after="0" w:line="240" w:lineRule="auto"/>
              <w:jc w:val="center"/>
            </w:pPr>
            <w:r w:rsidRPr="00E12F9F">
              <w:t>15%</w:t>
            </w:r>
          </w:p>
        </w:tc>
      </w:tr>
      <w:tr w:rsidR="00E12F9F" w:rsidRPr="00E12F9F" w14:paraId="443CBCA6" w14:textId="77777777" w:rsidTr="00674F82">
        <w:tc>
          <w:tcPr>
            <w:tcW w:w="3391" w:type="dxa"/>
            <w:tcBorders>
              <w:left w:val="single" w:sz="12" w:space="0" w:color="auto"/>
              <w:bottom w:val="single" w:sz="12" w:space="0" w:color="auto"/>
              <w:right w:val="single" w:sz="12" w:space="0" w:color="auto"/>
            </w:tcBorders>
          </w:tcPr>
          <w:p w14:paraId="18F2E4F1" w14:textId="77777777" w:rsidR="00E12F9F" w:rsidRPr="00E12F9F" w:rsidRDefault="00E12F9F" w:rsidP="00674F82">
            <w:pPr>
              <w:spacing w:after="0" w:line="240" w:lineRule="auto"/>
            </w:pPr>
            <w:r w:rsidRPr="00E12F9F">
              <w:t>Cumbria</w:t>
            </w:r>
          </w:p>
        </w:tc>
        <w:tc>
          <w:tcPr>
            <w:tcW w:w="5605" w:type="dxa"/>
            <w:tcBorders>
              <w:left w:val="single" w:sz="12" w:space="0" w:color="auto"/>
              <w:bottom w:val="single" w:sz="12" w:space="0" w:color="auto"/>
              <w:right w:val="single" w:sz="12" w:space="0" w:color="auto"/>
            </w:tcBorders>
          </w:tcPr>
          <w:p w14:paraId="3945C253" w14:textId="77777777" w:rsidR="00E12F9F" w:rsidRPr="00E12F9F" w:rsidRDefault="00E12F9F" w:rsidP="00674F82">
            <w:pPr>
              <w:spacing w:after="0" w:line="240" w:lineRule="auto"/>
              <w:jc w:val="center"/>
            </w:pPr>
            <w:r w:rsidRPr="00E12F9F">
              <w:t>17%</w:t>
            </w:r>
          </w:p>
        </w:tc>
      </w:tr>
    </w:tbl>
    <w:p w14:paraId="691E059E" w14:textId="77777777" w:rsidR="00E12F9F" w:rsidRPr="00E12F9F" w:rsidRDefault="00E12F9F" w:rsidP="00E12F9F">
      <w:pPr>
        <w:jc w:val="center"/>
      </w:pPr>
    </w:p>
    <w:p w14:paraId="69A81DB3" w14:textId="77777777" w:rsidR="00674F82" w:rsidRDefault="00674F82" w:rsidP="00E12F9F"/>
    <w:p w14:paraId="129B4AE8" w14:textId="77777777" w:rsidR="00674F82" w:rsidRDefault="00674F82" w:rsidP="00E12F9F"/>
    <w:p w14:paraId="02898C26" w14:textId="77777777" w:rsidR="00674F82" w:rsidRDefault="00674F82" w:rsidP="00E12F9F"/>
    <w:p w14:paraId="27DA92F5" w14:textId="77777777" w:rsidR="00674F82" w:rsidRDefault="00674F82" w:rsidP="00E12F9F"/>
    <w:p w14:paraId="29CF2EBF" w14:textId="71D23224" w:rsidR="00C82380" w:rsidRDefault="00E12F9F" w:rsidP="00674F82">
      <w:pPr>
        <w:jc w:val="center"/>
        <w:sectPr w:rsidR="00C82380" w:rsidSect="00400A61">
          <w:pgSz w:w="11906" w:h="16838"/>
          <w:pgMar w:top="1440" w:right="1440" w:bottom="1440" w:left="1440" w:header="720" w:footer="720" w:gutter="0"/>
          <w:cols w:space="720"/>
          <w:docGrid w:linePitch="360"/>
        </w:sectPr>
      </w:pPr>
      <w:r w:rsidRPr="00E12F9F">
        <w:t xml:space="preserve">Table 22 – Ownership of books in sampled inventories from eight English regions, 1675-1725. Data drawn from a larger table published in Lorna Weatherill, </w:t>
      </w:r>
      <w:r w:rsidRPr="00E12F9F">
        <w:rPr>
          <w:i/>
          <w:iCs/>
        </w:rPr>
        <w:t xml:space="preserve">Consumer Behaviour and Material Culture in Britain, 1660-1760, </w:t>
      </w:r>
      <w:r w:rsidRPr="00E12F9F">
        <w:t>(London, 1996), p.44</w:t>
      </w:r>
    </w:p>
    <w:tbl>
      <w:tblPr>
        <w:tblStyle w:val="TableGrid9"/>
        <w:tblpPr w:leftFromText="180" w:rightFromText="180" w:horzAnchor="margin" w:tblpXSpec="center" w:tblpY="1350"/>
        <w:tblW w:w="0" w:type="auto"/>
        <w:tblLook w:val="04A0" w:firstRow="1" w:lastRow="0" w:firstColumn="1" w:lastColumn="0" w:noHBand="0" w:noVBand="1"/>
      </w:tblPr>
      <w:tblGrid>
        <w:gridCol w:w="1403"/>
        <w:gridCol w:w="1076"/>
        <w:gridCol w:w="1318"/>
        <w:gridCol w:w="1316"/>
        <w:gridCol w:w="1264"/>
        <w:gridCol w:w="1134"/>
        <w:gridCol w:w="1276"/>
        <w:gridCol w:w="1264"/>
        <w:gridCol w:w="1264"/>
      </w:tblGrid>
      <w:tr w:rsidR="000F4E31" w:rsidRPr="000F4E31" w14:paraId="501DB715" w14:textId="77777777" w:rsidTr="00674F82">
        <w:tc>
          <w:tcPr>
            <w:tcW w:w="1403" w:type="dxa"/>
            <w:vMerge w:val="restart"/>
            <w:tcBorders>
              <w:top w:val="single" w:sz="12" w:space="0" w:color="auto"/>
              <w:left w:val="single" w:sz="12" w:space="0" w:color="auto"/>
              <w:right w:val="single" w:sz="12" w:space="0" w:color="auto"/>
            </w:tcBorders>
          </w:tcPr>
          <w:p w14:paraId="16176615" w14:textId="77777777" w:rsidR="000F4E31" w:rsidRPr="000F4E31" w:rsidRDefault="000F4E31" w:rsidP="00674F82">
            <w:pPr>
              <w:spacing w:after="0" w:line="240" w:lineRule="auto"/>
            </w:pPr>
          </w:p>
        </w:tc>
        <w:tc>
          <w:tcPr>
            <w:tcW w:w="4974" w:type="dxa"/>
            <w:gridSpan w:val="4"/>
            <w:tcBorders>
              <w:top w:val="single" w:sz="12" w:space="0" w:color="auto"/>
              <w:left w:val="single" w:sz="12" w:space="0" w:color="auto"/>
              <w:right w:val="single" w:sz="12" w:space="0" w:color="auto"/>
            </w:tcBorders>
          </w:tcPr>
          <w:p w14:paraId="1AB3DE31" w14:textId="77777777" w:rsidR="000F4E31" w:rsidRPr="000F4E31" w:rsidRDefault="000F4E31" w:rsidP="00674F82">
            <w:pPr>
              <w:spacing w:after="0" w:line="240" w:lineRule="auto"/>
              <w:jc w:val="center"/>
              <w:rPr>
                <w:b/>
                <w:bCs/>
              </w:rPr>
            </w:pPr>
            <w:r w:rsidRPr="000F4E31">
              <w:rPr>
                <w:b/>
                <w:bCs/>
              </w:rPr>
              <w:t>Bolton-le-Sands</w:t>
            </w:r>
          </w:p>
        </w:tc>
        <w:tc>
          <w:tcPr>
            <w:tcW w:w="4938" w:type="dxa"/>
            <w:gridSpan w:val="4"/>
            <w:tcBorders>
              <w:top w:val="single" w:sz="12" w:space="0" w:color="auto"/>
              <w:left w:val="single" w:sz="12" w:space="0" w:color="auto"/>
              <w:right w:val="single" w:sz="12" w:space="0" w:color="auto"/>
            </w:tcBorders>
          </w:tcPr>
          <w:p w14:paraId="015FB7E0" w14:textId="77777777" w:rsidR="000F4E31" w:rsidRPr="000F4E31" w:rsidRDefault="000F4E31" w:rsidP="00674F82">
            <w:pPr>
              <w:spacing w:after="0" w:line="240" w:lineRule="auto"/>
              <w:jc w:val="center"/>
              <w:rPr>
                <w:b/>
                <w:bCs/>
              </w:rPr>
            </w:pPr>
            <w:r w:rsidRPr="000F4E31">
              <w:rPr>
                <w:b/>
                <w:bCs/>
              </w:rPr>
              <w:t>Prestbury</w:t>
            </w:r>
          </w:p>
        </w:tc>
      </w:tr>
      <w:tr w:rsidR="000F4E31" w:rsidRPr="000F4E31" w14:paraId="22D6D595" w14:textId="77777777" w:rsidTr="00674F82">
        <w:tc>
          <w:tcPr>
            <w:tcW w:w="1403" w:type="dxa"/>
            <w:vMerge/>
            <w:tcBorders>
              <w:left w:val="single" w:sz="12" w:space="0" w:color="auto"/>
              <w:bottom w:val="single" w:sz="12" w:space="0" w:color="auto"/>
              <w:right w:val="single" w:sz="12" w:space="0" w:color="auto"/>
            </w:tcBorders>
          </w:tcPr>
          <w:p w14:paraId="1F058F00" w14:textId="77777777" w:rsidR="000F4E31" w:rsidRPr="000F4E31" w:rsidRDefault="000F4E31" w:rsidP="00674F82">
            <w:pPr>
              <w:spacing w:after="0" w:line="240" w:lineRule="auto"/>
            </w:pPr>
          </w:p>
        </w:tc>
        <w:tc>
          <w:tcPr>
            <w:tcW w:w="1076" w:type="dxa"/>
            <w:tcBorders>
              <w:left w:val="single" w:sz="12" w:space="0" w:color="auto"/>
              <w:bottom w:val="single" w:sz="12" w:space="0" w:color="auto"/>
            </w:tcBorders>
          </w:tcPr>
          <w:p w14:paraId="334BC74C" w14:textId="77777777" w:rsidR="000F4E31" w:rsidRPr="000F4E31" w:rsidRDefault="000F4E31" w:rsidP="00674F82">
            <w:pPr>
              <w:spacing w:after="0" w:line="240" w:lineRule="auto"/>
              <w:jc w:val="center"/>
              <w:rPr>
                <w:b/>
                <w:bCs/>
              </w:rPr>
            </w:pPr>
            <w:r w:rsidRPr="000F4E31">
              <w:rPr>
                <w:b/>
                <w:bCs/>
              </w:rPr>
              <w:t>Total No. of Wills Per Decade</w:t>
            </w:r>
          </w:p>
        </w:tc>
        <w:tc>
          <w:tcPr>
            <w:tcW w:w="1318" w:type="dxa"/>
            <w:tcBorders>
              <w:bottom w:val="single" w:sz="12" w:space="0" w:color="auto"/>
            </w:tcBorders>
          </w:tcPr>
          <w:p w14:paraId="7D296F58" w14:textId="77777777" w:rsidR="000F4E31" w:rsidRPr="000F4E31" w:rsidRDefault="000F4E31" w:rsidP="00674F82">
            <w:pPr>
              <w:spacing w:after="0" w:line="240" w:lineRule="auto"/>
              <w:jc w:val="center"/>
              <w:rPr>
                <w:b/>
                <w:bCs/>
              </w:rPr>
            </w:pPr>
            <w:r w:rsidRPr="000F4E31">
              <w:rPr>
                <w:b/>
                <w:bCs/>
              </w:rPr>
              <w:t>Wills without Testators’ Marks (%)</w:t>
            </w:r>
          </w:p>
        </w:tc>
        <w:tc>
          <w:tcPr>
            <w:tcW w:w="1316" w:type="dxa"/>
            <w:tcBorders>
              <w:bottom w:val="single" w:sz="12" w:space="0" w:color="auto"/>
              <w:right w:val="single" w:sz="4" w:space="0" w:color="auto"/>
            </w:tcBorders>
          </w:tcPr>
          <w:p w14:paraId="39A180C6" w14:textId="77777777" w:rsidR="000F4E31" w:rsidRPr="000F4E31" w:rsidRDefault="000F4E31" w:rsidP="00674F82">
            <w:pPr>
              <w:spacing w:after="0" w:line="240" w:lineRule="auto"/>
              <w:jc w:val="center"/>
              <w:rPr>
                <w:b/>
                <w:bCs/>
              </w:rPr>
            </w:pPr>
            <w:r w:rsidRPr="000F4E31">
              <w:rPr>
                <w:b/>
                <w:bCs/>
              </w:rPr>
              <w:t xml:space="preserve">Wills </w:t>
            </w:r>
            <w:proofErr w:type="gramStart"/>
            <w:r w:rsidRPr="000F4E31">
              <w:rPr>
                <w:b/>
                <w:bCs/>
              </w:rPr>
              <w:t>with  Full</w:t>
            </w:r>
            <w:proofErr w:type="gramEnd"/>
            <w:r w:rsidRPr="000F4E31">
              <w:rPr>
                <w:b/>
                <w:bCs/>
              </w:rPr>
              <w:t xml:space="preserve"> Signatures (%)</w:t>
            </w:r>
          </w:p>
        </w:tc>
        <w:tc>
          <w:tcPr>
            <w:tcW w:w="1264" w:type="dxa"/>
            <w:tcBorders>
              <w:left w:val="single" w:sz="4" w:space="0" w:color="auto"/>
              <w:bottom w:val="single" w:sz="12" w:space="0" w:color="auto"/>
              <w:right w:val="single" w:sz="12" w:space="0" w:color="auto"/>
            </w:tcBorders>
          </w:tcPr>
          <w:p w14:paraId="03D604E0" w14:textId="77777777" w:rsidR="000F4E31" w:rsidRPr="000F4E31" w:rsidRDefault="000F4E31" w:rsidP="00674F82">
            <w:pPr>
              <w:spacing w:after="0" w:line="240" w:lineRule="auto"/>
              <w:jc w:val="center"/>
              <w:rPr>
                <w:b/>
                <w:bCs/>
              </w:rPr>
            </w:pPr>
            <w:r w:rsidRPr="000F4E31">
              <w:rPr>
                <w:b/>
                <w:bCs/>
              </w:rPr>
              <w:t>Marked Wills with Full Signatures (%)</w:t>
            </w:r>
          </w:p>
        </w:tc>
        <w:tc>
          <w:tcPr>
            <w:tcW w:w="1134" w:type="dxa"/>
            <w:tcBorders>
              <w:left w:val="single" w:sz="12" w:space="0" w:color="auto"/>
              <w:bottom w:val="single" w:sz="12" w:space="0" w:color="auto"/>
            </w:tcBorders>
          </w:tcPr>
          <w:p w14:paraId="4485A9CA" w14:textId="77777777" w:rsidR="000F4E31" w:rsidRPr="000F4E31" w:rsidRDefault="000F4E31" w:rsidP="00674F82">
            <w:pPr>
              <w:spacing w:after="0" w:line="240" w:lineRule="auto"/>
              <w:jc w:val="center"/>
              <w:rPr>
                <w:b/>
                <w:bCs/>
              </w:rPr>
            </w:pPr>
            <w:r w:rsidRPr="000F4E31">
              <w:rPr>
                <w:b/>
                <w:bCs/>
              </w:rPr>
              <w:t>Total No. of Wills</w:t>
            </w:r>
          </w:p>
        </w:tc>
        <w:tc>
          <w:tcPr>
            <w:tcW w:w="1276" w:type="dxa"/>
            <w:tcBorders>
              <w:bottom w:val="single" w:sz="12" w:space="0" w:color="auto"/>
            </w:tcBorders>
          </w:tcPr>
          <w:p w14:paraId="56CF8EDC" w14:textId="77777777" w:rsidR="000F4E31" w:rsidRPr="000F4E31" w:rsidRDefault="000F4E31" w:rsidP="00674F82">
            <w:pPr>
              <w:spacing w:after="0" w:line="240" w:lineRule="auto"/>
              <w:jc w:val="center"/>
              <w:rPr>
                <w:b/>
                <w:bCs/>
              </w:rPr>
            </w:pPr>
            <w:r w:rsidRPr="000F4E31">
              <w:rPr>
                <w:b/>
                <w:bCs/>
              </w:rPr>
              <w:t>Wills without Testators’ Marks (%)</w:t>
            </w:r>
          </w:p>
        </w:tc>
        <w:tc>
          <w:tcPr>
            <w:tcW w:w="1264" w:type="dxa"/>
            <w:tcBorders>
              <w:bottom w:val="single" w:sz="12" w:space="0" w:color="auto"/>
              <w:right w:val="single" w:sz="4" w:space="0" w:color="auto"/>
            </w:tcBorders>
          </w:tcPr>
          <w:p w14:paraId="73A87E03" w14:textId="77777777" w:rsidR="000F4E31" w:rsidRPr="000F4E31" w:rsidRDefault="000F4E31" w:rsidP="00674F82">
            <w:pPr>
              <w:spacing w:after="0" w:line="240" w:lineRule="auto"/>
              <w:jc w:val="center"/>
              <w:rPr>
                <w:b/>
                <w:bCs/>
              </w:rPr>
            </w:pPr>
            <w:r w:rsidRPr="000F4E31">
              <w:rPr>
                <w:b/>
                <w:bCs/>
              </w:rPr>
              <w:t xml:space="preserve">Wills </w:t>
            </w:r>
            <w:proofErr w:type="gramStart"/>
            <w:r w:rsidRPr="000F4E31">
              <w:rPr>
                <w:b/>
                <w:bCs/>
              </w:rPr>
              <w:t>with  Full</w:t>
            </w:r>
            <w:proofErr w:type="gramEnd"/>
            <w:r w:rsidRPr="000F4E31">
              <w:rPr>
                <w:b/>
                <w:bCs/>
              </w:rPr>
              <w:t xml:space="preserve"> Signatures (%)</w:t>
            </w:r>
          </w:p>
        </w:tc>
        <w:tc>
          <w:tcPr>
            <w:tcW w:w="1264" w:type="dxa"/>
            <w:tcBorders>
              <w:left w:val="single" w:sz="4" w:space="0" w:color="auto"/>
              <w:bottom w:val="single" w:sz="12" w:space="0" w:color="auto"/>
              <w:right w:val="single" w:sz="12" w:space="0" w:color="auto"/>
            </w:tcBorders>
          </w:tcPr>
          <w:p w14:paraId="21F72F1B" w14:textId="77777777" w:rsidR="000F4E31" w:rsidRPr="000F4E31" w:rsidRDefault="000F4E31" w:rsidP="00674F82">
            <w:pPr>
              <w:spacing w:after="0" w:line="240" w:lineRule="auto"/>
              <w:jc w:val="center"/>
              <w:rPr>
                <w:b/>
                <w:bCs/>
              </w:rPr>
            </w:pPr>
            <w:r w:rsidRPr="000F4E31">
              <w:rPr>
                <w:b/>
                <w:bCs/>
              </w:rPr>
              <w:t>Marked Wills with Full Signatures (%)</w:t>
            </w:r>
          </w:p>
        </w:tc>
      </w:tr>
      <w:tr w:rsidR="000F4E31" w:rsidRPr="000F4E31" w14:paraId="5786220C" w14:textId="77777777" w:rsidTr="00674F82">
        <w:tc>
          <w:tcPr>
            <w:tcW w:w="1403" w:type="dxa"/>
            <w:tcBorders>
              <w:top w:val="single" w:sz="12" w:space="0" w:color="auto"/>
              <w:left w:val="single" w:sz="12" w:space="0" w:color="auto"/>
              <w:right w:val="single" w:sz="12" w:space="0" w:color="auto"/>
            </w:tcBorders>
          </w:tcPr>
          <w:p w14:paraId="26CC8681" w14:textId="77777777" w:rsidR="000F4E31" w:rsidRPr="000F4E31" w:rsidRDefault="000F4E31" w:rsidP="00674F82">
            <w:pPr>
              <w:spacing w:after="0" w:line="240" w:lineRule="auto"/>
              <w:rPr>
                <w:b/>
                <w:bCs/>
              </w:rPr>
            </w:pPr>
            <w:r w:rsidRPr="000F4E31">
              <w:rPr>
                <w:b/>
                <w:bCs/>
              </w:rPr>
              <w:t>1650-59</w:t>
            </w:r>
          </w:p>
        </w:tc>
        <w:tc>
          <w:tcPr>
            <w:tcW w:w="1076" w:type="dxa"/>
            <w:tcBorders>
              <w:top w:val="single" w:sz="12" w:space="0" w:color="auto"/>
              <w:left w:val="single" w:sz="12" w:space="0" w:color="auto"/>
            </w:tcBorders>
          </w:tcPr>
          <w:p w14:paraId="0F50C062" w14:textId="77777777" w:rsidR="000F4E31" w:rsidRPr="000F4E31" w:rsidRDefault="000F4E31" w:rsidP="00674F82">
            <w:pPr>
              <w:spacing w:after="0" w:line="240" w:lineRule="auto"/>
              <w:jc w:val="center"/>
            </w:pPr>
            <w:r w:rsidRPr="000F4E31">
              <w:t>9</w:t>
            </w:r>
          </w:p>
        </w:tc>
        <w:tc>
          <w:tcPr>
            <w:tcW w:w="1318" w:type="dxa"/>
            <w:tcBorders>
              <w:top w:val="single" w:sz="12" w:space="0" w:color="auto"/>
            </w:tcBorders>
          </w:tcPr>
          <w:p w14:paraId="27F127F3" w14:textId="77777777" w:rsidR="000F4E31" w:rsidRPr="000F4E31" w:rsidRDefault="000F4E31" w:rsidP="00674F82">
            <w:pPr>
              <w:spacing w:after="0" w:line="240" w:lineRule="auto"/>
              <w:jc w:val="center"/>
            </w:pPr>
            <w:r w:rsidRPr="000F4E31">
              <w:t>55%</w:t>
            </w:r>
          </w:p>
        </w:tc>
        <w:tc>
          <w:tcPr>
            <w:tcW w:w="1316" w:type="dxa"/>
            <w:tcBorders>
              <w:top w:val="single" w:sz="12" w:space="0" w:color="auto"/>
              <w:right w:val="single" w:sz="4" w:space="0" w:color="auto"/>
            </w:tcBorders>
          </w:tcPr>
          <w:p w14:paraId="69965F87" w14:textId="77777777" w:rsidR="000F4E31" w:rsidRPr="000F4E31" w:rsidRDefault="000F4E31" w:rsidP="00674F82">
            <w:pPr>
              <w:spacing w:after="0" w:line="240" w:lineRule="auto"/>
              <w:jc w:val="center"/>
            </w:pPr>
            <w:r w:rsidRPr="000F4E31">
              <w:t>0%</w:t>
            </w:r>
          </w:p>
        </w:tc>
        <w:tc>
          <w:tcPr>
            <w:tcW w:w="1264" w:type="dxa"/>
            <w:tcBorders>
              <w:top w:val="single" w:sz="12" w:space="0" w:color="auto"/>
              <w:left w:val="single" w:sz="4" w:space="0" w:color="auto"/>
              <w:right w:val="single" w:sz="12" w:space="0" w:color="auto"/>
            </w:tcBorders>
          </w:tcPr>
          <w:p w14:paraId="48DBBE78" w14:textId="77777777" w:rsidR="000F4E31" w:rsidRPr="000F4E31" w:rsidRDefault="000F4E31" w:rsidP="00674F82">
            <w:pPr>
              <w:spacing w:after="0" w:line="240" w:lineRule="auto"/>
              <w:jc w:val="center"/>
            </w:pPr>
            <w:r w:rsidRPr="000F4E31">
              <w:t>0%</w:t>
            </w:r>
          </w:p>
        </w:tc>
        <w:tc>
          <w:tcPr>
            <w:tcW w:w="1134" w:type="dxa"/>
            <w:tcBorders>
              <w:top w:val="single" w:sz="12" w:space="0" w:color="auto"/>
              <w:left w:val="single" w:sz="12" w:space="0" w:color="auto"/>
            </w:tcBorders>
          </w:tcPr>
          <w:p w14:paraId="3126E82C" w14:textId="77777777" w:rsidR="000F4E31" w:rsidRPr="000F4E31" w:rsidRDefault="000F4E31" w:rsidP="00674F82">
            <w:pPr>
              <w:spacing w:after="0" w:line="240" w:lineRule="auto"/>
              <w:jc w:val="center"/>
            </w:pPr>
            <w:r w:rsidRPr="000F4E31">
              <w:t>3</w:t>
            </w:r>
          </w:p>
        </w:tc>
        <w:tc>
          <w:tcPr>
            <w:tcW w:w="1276" w:type="dxa"/>
            <w:tcBorders>
              <w:top w:val="single" w:sz="12" w:space="0" w:color="auto"/>
            </w:tcBorders>
          </w:tcPr>
          <w:p w14:paraId="3CA5AD03" w14:textId="77777777" w:rsidR="000F4E31" w:rsidRPr="000F4E31" w:rsidRDefault="000F4E31" w:rsidP="00674F82">
            <w:pPr>
              <w:spacing w:after="0" w:line="240" w:lineRule="auto"/>
              <w:jc w:val="center"/>
            </w:pPr>
            <w:r w:rsidRPr="000F4E31">
              <w:t>33%</w:t>
            </w:r>
          </w:p>
        </w:tc>
        <w:tc>
          <w:tcPr>
            <w:tcW w:w="1264" w:type="dxa"/>
            <w:tcBorders>
              <w:top w:val="single" w:sz="12" w:space="0" w:color="auto"/>
              <w:right w:val="single" w:sz="4" w:space="0" w:color="auto"/>
            </w:tcBorders>
          </w:tcPr>
          <w:p w14:paraId="3AEB1B71" w14:textId="77777777" w:rsidR="000F4E31" w:rsidRPr="000F4E31" w:rsidRDefault="000F4E31" w:rsidP="00674F82">
            <w:pPr>
              <w:spacing w:after="0" w:line="240" w:lineRule="auto"/>
              <w:jc w:val="center"/>
            </w:pPr>
            <w:r w:rsidRPr="000F4E31">
              <w:t>33%</w:t>
            </w:r>
          </w:p>
        </w:tc>
        <w:tc>
          <w:tcPr>
            <w:tcW w:w="1264" w:type="dxa"/>
            <w:tcBorders>
              <w:top w:val="single" w:sz="12" w:space="0" w:color="auto"/>
              <w:left w:val="single" w:sz="4" w:space="0" w:color="auto"/>
              <w:right w:val="single" w:sz="12" w:space="0" w:color="auto"/>
            </w:tcBorders>
          </w:tcPr>
          <w:p w14:paraId="68887F3C" w14:textId="77777777" w:rsidR="000F4E31" w:rsidRPr="000F4E31" w:rsidRDefault="000F4E31" w:rsidP="00674F82">
            <w:pPr>
              <w:spacing w:after="0" w:line="240" w:lineRule="auto"/>
              <w:jc w:val="center"/>
            </w:pPr>
            <w:r w:rsidRPr="000F4E31">
              <w:t>50%</w:t>
            </w:r>
          </w:p>
        </w:tc>
      </w:tr>
      <w:tr w:rsidR="000F4E31" w:rsidRPr="000F4E31" w14:paraId="50C8B1EC" w14:textId="77777777" w:rsidTr="00674F82">
        <w:tc>
          <w:tcPr>
            <w:tcW w:w="1403" w:type="dxa"/>
            <w:tcBorders>
              <w:left w:val="single" w:sz="12" w:space="0" w:color="auto"/>
              <w:right w:val="single" w:sz="12" w:space="0" w:color="auto"/>
            </w:tcBorders>
          </w:tcPr>
          <w:p w14:paraId="4FD50CDC" w14:textId="77777777" w:rsidR="000F4E31" w:rsidRPr="000F4E31" w:rsidRDefault="000F4E31" w:rsidP="00674F82">
            <w:pPr>
              <w:spacing w:after="0" w:line="240" w:lineRule="auto"/>
              <w:rPr>
                <w:b/>
                <w:bCs/>
              </w:rPr>
            </w:pPr>
            <w:r w:rsidRPr="000F4E31">
              <w:rPr>
                <w:b/>
                <w:bCs/>
              </w:rPr>
              <w:t>1660-69</w:t>
            </w:r>
          </w:p>
        </w:tc>
        <w:tc>
          <w:tcPr>
            <w:tcW w:w="1076" w:type="dxa"/>
            <w:tcBorders>
              <w:left w:val="single" w:sz="12" w:space="0" w:color="auto"/>
            </w:tcBorders>
          </w:tcPr>
          <w:p w14:paraId="3B5B4058" w14:textId="77777777" w:rsidR="000F4E31" w:rsidRPr="000F4E31" w:rsidRDefault="000F4E31" w:rsidP="00674F82">
            <w:pPr>
              <w:spacing w:after="0" w:line="240" w:lineRule="auto"/>
              <w:jc w:val="center"/>
            </w:pPr>
            <w:r w:rsidRPr="000F4E31">
              <w:t>11</w:t>
            </w:r>
          </w:p>
        </w:tc>
        <w:tc>
          <w:tcPr>
            <w:tcW w:w="1318" w:type="dxa"/>
          </w:tcPr>
          <w:p w14:paraId="36C04371" w14:textId="77777777" w:rsidR="000F4E31" w:rsidRPr="000F4E31" w:rsidRDefault="000F4E31" w:rsidP="00674F82">
            <w:pPr>
              <w:spacing w:after="0" w:line="240" w:lineRule="auto"/>
              <w:jc w:val="center"/>
            </w:pPr>
            <w:r w:rsidRPr="000F4E31">
              <w:t>18%</w:t>
            </w:r>
          </w:p>
        </w:tc>
        <w:tc>
          <w:tcPr>
            <w:tcW w:w="1316" w:type="dxa"/>
            <w:tcBorders>
              <w:right w:val="single" w:sz="4" w:space="0" w:color="auto"/>
            </w:tcBorders>
          </w:tcPr>
          <w:p w14:paraId="08E806DE" w14:textId="77777777" w:rsidR="000F4E31" w:rsidRPr="000F4E31" w:rsidRDefault="000F4E31" w:rsidP="00674F82">
            <w:pPr>
              <w:spacing w:after="0" w:line="240" w:lineRule="auto"/>
              <w:jc w:val="center"/>
            </w:pPr>
            <w:r w:rsidRPr="000F4E31">
              <w:t>18%</w:t>
            </w:r>
          </w:p>
        </w:tc>
        <w:tc>
          <w:tcPr>
            <w:tcW w:w="1264" w:type="dxa"/>
            <w:tcBorders>
              <w:left w:val="single" w:sz="4" w:space="0" w:color="auto"/>
              <w:right w:val="single" w:sz="12" w:space="0" w:color="auto"/>
            </w:tcBorders>
          </w:tcPr>
          <w:p w14:paraId="485C2AB2" w14:textId="77777777" w:rsidR="000F4E31" w:rsidRPr="000F4E31" w:rsidRDefault="000F4E31" w:rsidP="00674F82">
            <w:pPr>
              <w:spacing w:after="0" w:line="240" w:lineRule="auto"/>
              <w:jc w:val="center"/>
            </w:pPr>
            <w:r w:rsidRPr="000F4E31">
              <w:t>22.2%</w:t>
            </w:r>
          </w:p>
        </w:tc>
        <w:tc>
          <w:tcPr>
            <w:tcW w:w="1134" w:type="dxa"/>
            <w:tcBorders>
              <w:left w:val="single" w:sz="12" w:space="0" w:color="auto"/>
            </w:tcBorders>
          </w:tcPr>
          <w:p w14:paraId="12DEC369" w14:textId="77777777" w:rsidR="000F4E31" w:rsidRPr="000F4E31" w:rsidRDefault="000F4E31" w:rsidP="00674F82">
            <w:pPr>
              <w:spacing w:after="0" w:line="240" w:lineRule="auto"/>
              <w:jc w:val="center"/>
            </w:pPr>
            <w:r w:rsidRPr="000F4E31">
              <w:t>10</w:t>
            </w:r>
          </w:p>
        </w:tc>
        <w:tc>
          <w:tcPr>
            <w:tcW w:w="1276" w:type="dxa"/>
          </w:tcPr>
          <w:p w14:paraId="06FB5755" w14:textId="77777777" w:rsidR="000F4E31" w:rsidRPr="000F4E31" w:rsidRDefault="000F4E31" w:rsidP="00674F82">
            <w:pPr>
              <w:spacing w:after="0" w:line="240" w:lineRule="auto"/>
              <w:jc w:val="center"/>
            </w:pPr>
            <w:r w:rsidRPr="000F4E31">
              <w:t>10%</w:t>
            </w:r>
          </w:p>
        </w:tc>
        <w:tc>
          <w:tcPr>
            <w:tcW w:w="1264" w:type="dxa"/>
            <w:tcBorders>
              <w:right w:val="single" w:sz="4" w:space="0" w:color="auto"/>
            </w:tcBorders>
          </w:tcPr>
          <w:p w14:paraId="73521697" w14:textId="77777777" w:rsidR="000F4E31" w:rsidRPr="000F4E31" w:rsidRDefault="000F4E31" w:rsidP="00674F82">
            <w:pPr>
              <w:spacing w:after="0" w:line="240" w:lineRule="auto"/>
              <w:jc w:val="center"/>
            </w:pPr>
            <w:r w:rsidRPr="000F4E31">
              <w:t>30%</w:t>
            </w:r>
          </w:p>
        </w:tc>
        <w:tc>
          <w:tcPr>
            <w:tcW w:w="1264" w:type="dxa"/>
            <w:tcBorders>
              <w:left w:val="single" w:sz="4" w:space="0" w:color="auto"/>
              <w:right w:val="single" w:sz="12" w:space="0" w:color="auto"/>
            </w:tcBorders>
          </w:tcPr>
          <w:p w14:paraId="2F39A055" w14:textId="77777777" w:rsidR="000F4E31" w:rsidRPr="000F4E31" w:rsidRDefault="000F4E31" w:rsidP="00674F82">
            <w:pPr>
              <w:spacing w:after="0" w:line="240" w:lineRule="auto"/>
              <w:jc w:val="center"/>
            </w:pPr>
            <w:r w:rsidRPr="000F4E31">
              <w:t>33.3%</w:t>
            </w:r>
          </w:p>
        </w:tc>
      </w:tr>
      <w:tr w:rsidR="000F4E31" w:rsidRPr="000F4E31" w14:paraId="3CD383C9" w14:textId="77777777" w:rsidTr="00674F82">
        <w:tc>
          <w:tcPr>
            <w:tcW w:w="1403" w:type="dxa"/>
            <w:tcBorders>
              <w:left w:val="single" w:sz="12" w:space="0" w:color="auto"/>
              <w:right w:val="single" w:sz="12" w:space="0" w:color="auto"/>
            </w:tcBorders>
          </w:tcPr>
          <w:p w14:paraId="3E5E8ACB" w14:textId="77777777" w:rsidR="000F4E31" w:rsidRPr="000F4E31" w:rsidRDefault="000F4E31" w:rsidP="00674F82">
            <w:pPr>
              <w:spacing w:after="0" w:line="240" w:lineRule="auto"/>
              <w:rPr>
                <w:b/>
                <w:bCs/>
              </w:rPr>
            </w:pPr>
            <w:r w:rsidRPr="000F4E31">
              <w:rPr>
                <w:b/>
                <w:bCs/>
              </w:rPr>
              <w:t>1670-79</w:t>
            </w:r>
          </w:p>
        </w:tc>
        <w:tc>
          <w:tcPr>
            <w:tcW w:w="1076" w:type="dxa"/>
            <w:tcBorders>
              <w:left w:val="single" w:sz="12" w:space="0" w:color="auto"/>
            </w:tcBorders>
          </w:tcPr>
          <w:p w14:paraId="4BFF6257" w14:textId="77777777" w:rsidR="000F4E31" w:rsidRPr="000F4E31" w:rsidRDefault="000F4E31" w:rsidP="00674F82">
            <w:pPr>
              <w:spacing w:after="0" w:line="240" w:lineRule="auto"/>
              <w:jc w:val="center"/>
            </w:pPr>
            <w:r w:rsidRPr="000F4E31">
              <w:t>10</w:t>
            </w:r>
          </w:p>
        </w:tc>
        <w:tc>
          <w:tcPr>
            <w:tcW w:w="1318" w:type="dxa"/>
          </w:tcPr>
          <w:p w14:paraId="1F6C8038" w14:textId="77777777" w:rsidR="000F4E31" w:rsidRPr="000F4E31" w:rsidRDefault="000F4E31" w:rsidP="00674F82">
            <w:pPr>
              <w:spacing w:after="0" w:line="240" w:lineRule="auto"/>
              <w:jc w:val="center"/>
            </w:pPr>
            <w:r w:rsidRPr="000F4E31">
              <w:t>20%</w:t>
            </w:r>
          </w:p>
        </w:tc>
        <w:tc>
          <w:tcPr>
            <w:tcW w:w="1316" w:type="dxa"/>
            <w:tcBorders>
              <w:right w:val="single" w:sz="4" w:space="0" w:color="auto"/>
            </w:tcBorders>
          </w:tcPr>
          <w:p w14:paraId="207FAB4E" w14:textId="77777777" w:rsidR="000F4E31" w:rsidRPr="000F4E31" w:rsidRDefault="000F4E31" w:rsidP="00674F82">
            <w:pPr>
              <w:spacing w:after="0" w:line="240" w:lineRule="auto"/>
              <w:jc w:val="center"/>
            </w:pPr>
            <w:r w:rsidRPr="000F4E31">
              <w:t>20%</w:t>
            </w:r>
          </w:p>
        </w:tc>
        <w:tc>
          <w:tcPr>
            <w:tcW w:w="1264" w:type="dxa"/>
            <w:tcBorders>
              <w:left w:val="single" w:sz="4" w:space="0" w:color="auto"/>
              <w:right w:val="single" w:sz="12" w:space="0" w:color="auto"/>
            </w:tcBorders>
          </w:tcPr>
          <w:p w14:paraId="5CDB8356" w14:textId="77777777" w:rsidR="000F4E31" w:rsidRPr="000F4E31" w:rsidRDefault="000F4E31" w:rsidP="00674F82">
            <w:pPr>
              <w:spacing w:after="0" w:line="240" w:lineRule="auto"/>
              <w:jc w:val="center"/>
            </w:pPr>
            <w:r w:rsidRPr="000F4E31">
              <w:t>25%</w:t>
            </w:r>
          </w:p>
        </w:tc>
        <w:tc>
          <w:tcPr>
            <w:tcW w:w="1134" w:type="dxa"/>
            <w:tcBorders>
              <w:left w:val="single" w:sz="12" w:space="0" w:color="auto"/>
            </w:tcBorders>
          </w:tcPr>
          <w:p w14:paraId="6C4A5654" w14:textId="77777777" w:rsidR="000F4E31" w:rsidRPr="000F4E31" w:rsidRDefault="000F4E31" w:rsidP="00674F82">
            <w:pPr>
              <w:spacing w:after="0" w:line="240" w:lineRule="auto"/>
              <w:jc w:val="center"/>
            </w:pPr>
            <w:r w:rsidRPr="000F4E31">
              <w:t>9</w:t>
            </w:r>
          </w:p>
        </w:tc>
        <w:tc>
          <w:tcPr>
            <w:tcW w:w="1276" w:type="dxa"/>
          </w:tcPr>
          <w:p w14:paraId="7ADEB76B" w14:textId="77777777" w:rsidR="000F4E31" w:rsidRPr="000F4E31" w:rsidRDefault="000F4E31" w:rsidP="00674F82">
            <w:pPr>
              <w:spacing w:after="0" w:line="240" w:lineRule="auto"/>
              <w:jc w:val="center"/>
            </w:pPr>
            <w:r w:rsidRPr="000F4E31">
              <w:t>44%</w:t>
            </w:r>
          </w:p>
        </w:tc>
        <w:tc>
          <w:tcPr>
            <w:tcW w:w="1264" w:type="dxa"/>
            <w:tcBorders>
              <w:right w:val="single" w:sz="4" w:space="0" w:color="auto"/>
            </w:tcBorders>
          </w:tcPr>
          <w:p w14:paraId="4D2F7B15" w14:textId="77777777" w:rsidR="000F4E31" w:rsidRPr="000F4E31" w:rsidRDefault="000F4E31" w:rsidP="00674F82">
            <w:pPr>
              <w:spacing w:after="0" w:line="240" w:lineRule="auto"/>
              <w:jc w:val="center"/>
            </w:pPr>
            <w:r w:rsidRPr="000F4E31">
              <w:t>11%</w:t>
            </w:r>
          </w:p>
        </w:tc>
        <w:tc>
          <w:tcPr>
            <w:tcW w:w="1264" w:type="dxa"/>
            <w:tcBorders>
              <w:left w:val="single" w:sz="4" w:space="0" w:color="auto"/>
              <w:right w:val="single" w:sz="12" w:space="0" w:color="auto"/>
            </w:tcBorders>
          </w:tcPr>
          <w:p w14:paraId="3191AE2B" w14:textId="77777777" w:rsidR="000F4E31" w:rsidRPr="000F4E31" w:rsidRDefault="000F4E31" w:rsidP="00674F82">
            <w:pPr>
              <w:spacing w:after="0" w:line="240" w:lineRule="auto"/>
              <w:jc w:val="center"/>
            </w:pPr>
            <w:r w:rsidRPr="000F4E31">
              <w:t>20%</w:t>
            </w:r>
          </w:p>
        </w:tc>
      </w:tr>
      <w:tr w:rsidR="000F4E31" w:rsidRPr="000F4E31" w14:paraId="05A2ED95" w14:textId="77777777" w:rsidTr="00674F82">
        <w:tc>
          <w:tcPr>
            <w:tcW w:w="1403" w:type="dxa"/>
            <w:tcBorders>
              <w:left w:val="single" w:sz="12" w:space="0" w:color="auto"/>
              <w:right w:val="single" w:sz="12" w:space="0" w:color="auto"/>
            </w:tcBorders>
          </w:tcPr>
          <w:p w14:paraId="19737988" w14:textId="77777777" w:rsidR="000F4E31" w:rsidRPr="000F4E31" w:rsidRDefault="000F4E31" w:rsidP="00674F82">
            <w:pPr>
              <w:spacing w:after="0" w:line="240" w:lineRule="auto"/>
              <w:rPr>
                <w:b/>
                <w:bCs/>
              </w:rPr>
            </w:pPr>
            <w:r w:rsidRPr="000F4E31">
              <w:rPr>
                <w:b/>
                <w:bCs/>
              </w:rPr>
              <w:t>1680-89</w:t>
            </w:r>
          </w:p>
        </w:tc>
        <w:tc>
          <w:tcPr>
            <w:tcW w:w="1076" w:type="dxa"/>
            <w:tcBorders>
              <w:left w:val="single" w:sz="12" w:space="0" w:color="auto"/>
            </w:tcBorders>
          </w:tcPr>
          <w:p w14:paraId="7E0A2321" w14:textId="77777777" w:rsidR="000F4E31" w:rsidRPr="000F4E31" w:rsidRDefault="000F4E31" w:rsidP="00674F82">
            <w:pPr>
              <w:spacing w:after="0" w:line="240" w:lineRule="auto"/>
              <w:jc w:val="center"/>
            </w:pPr>
            <w:r w:rsidRPr="000F4E31">
              <w:t>6</w:t>
            </w:r>
          </w:p>
        </w:tc>
        <w:tc>
          <w:tcPr>
            <w:tcW w:w="1318" w:type="dxa"/>
          </w:tcPr>
          <w:p w14:paraId="65F2A930" w14:textId="77777777" w:rsidR="000F4E31" w:rsidRPr="000F4E31" w:rsidRDefault="000F4E31" w:rsidP="00674F82">
            <w:pPr>
              <w:spacing w:after="0" w:line="240" w:lineRule="auto"/>
              <w:jc w:val="center"/>
            </w:pPr>
            <w:r w:rsidRPr="000F4E31">
              <w:t>17%</w:t>
            </w:r>
          </w:p>
        </w:tc>
        <w:tc>
          <w:tcPr>
            <w:tcW w:w="1316" w:type="dxa"/>
            <w:tcBorders>
              <w:right w:val="single" w:sz="4" w:space="0" w:color="auto"/>
            </w:tcBorders>
          </w:tcPr>
          <w:p w14:paraId="29518E8D" w14:textId="77777777" w:rsidR="000F4E31" w:rsidRPr="000F4E31" w:rsidRDefault="000F4E31" w:rsidP="00674F82">
            <w:pPr>
              <w:spacing w:after="0" w:line="240" w:lineRule="auto"/>
              <w:jc w:val="center"/>
            </w:pPr>
            <w:r w:rsidRPr="000F4E31">
              <w:t>50%</w:t>
            </w:r>
          </w:p>
        </w:tc>
        <w:tc>
          <w:tcPr>
            <w:tcW w:w="1264" w:type="dxa"/>
            <w:tcBorders>
              <w:left w:val="single" w:sz="4" w:space="0" w:color="auto"/>
              <w:right w:val="single" w:sz="12" w:space="0" w:color="auto"/>
            </w:tcBorders>
          </w:tcPr>
          <w:p w14:paraId="38D67138" w14:textId="77777777" w:rsidR="000F4E31" w:rsidRPr="000F4E31" w:rsidRDefault="000F4E31" w:rsidP="00674F82">
            <w:pPr>
              <w:spacing w:after="0" w:line="240" w:lineRule="auto"/>
              <w:jc w:val="center"/>
            </w:pPr>
            <w:r w:rsidRPr="000F4E31">
              <w:t>60%</w:t>
            </w:r>
          </w:p>
        </w:tc>
        <w:tc>
          <w:tcPr>
            <w:tcW w:w="1134" w:type="dxa"/>
            <w:tcBorders>
              <w:left w:val="single" w:sz="12" w:space="0" w:color="auto"/>
            </w:tcBorders>
          </w:tcPr>
          <w:p w14:paraId="15C23B73" w14:textId="77777777" w:rsidR="000F4E31" w:rsidRPr="000F4E31" w:rsidRDefault="000F4E31" w:rsidP="00674F82">
            <w:pPr>
              <w:spacing w:after="0" w:line="240" w:lineRule="auto"/>
              <w:jc w:val="center"/>
            </w:pPr>
            <w:r w:rsidRPr="000F4E31">
              <w:t>14</w:t>
            </w:r>
          </w:p>
        </w:tc>
        <w:tc>
          <w:tcPr>
            <w:tcW w:w="1276" w:type="dxa"/>
          </w:tcPr>
          <w:p w14:paraId="576F76E7" w14:textId="77777777" w:rsidR="000F4E31" w:rsidRPr="000F4E31" w:rsidRDefault="000F4E31" w:rsidP="00674F82">
            <w:pPr>
              <w:spacing w:after="0" w:line="240" w:lineRule="auto"/>
              <w:jc w:val="center"/>
            </w:pPr>
            <w:r w:rsidRPr="000F4E31">
              <w:t>21%</w:t>
            </w:r>
          </w:p>
        </w:tc>
        <w:tc>
          <w:tcPr>
            <w:tcW w:w="1264" w:type="dxa"/>
            <w:tcBorders>
              <w:right w:val="single" w:sz="4" w:space="0" w:color="auto"/>
            </w:tcBorders>
          </w:tcPr>
          <w:p w14:paraId="6A316ABC" w14:textId="77777777" w:rsidR="000F4E31" w:rsidRPr="000F4E31" w:rsidRDefault="000F4E31" w:rsidP="00674F82">
            <w:pPr>
              <w:spacing w:after="0" w:line="240" w:lineRule="auto"/>
              <w:jc w:val="center"/>
            </w:pPr>
            <w:r w:rsidRPr="000F4E31">
              <w:t>7%</w:t>
            </w:r>
          </w:p>
        </w:tc>
        <w:tc>
          <w:tcPr>
            <w:tcW w:w="1264" w:type="dxa"/>
            <w:tcBorders>
              <w:left w:val="single" w:sz="4" w:space="0" w:color="auto"/>
              <w:right w:val="single" w:sz="12" w:space="0" w:color="auto"/>
            </w:tcBorders>
          </w:tcPr>
          <w:p w14:paraId="04D8A0F1" w14:textId="77777777" w:rsidR="000F4E31" w:rsidRPr="000F4E31" w:rsidRDefault="000F4E31" w:rsidP="00674F82">
            <w:pPr>
              <w:spacing w:after="0" w:line="240" w:lineRule="auto"/>
              <w:jc w:val="center"/>
            </w:pPr>
            <w:r w:rsidRPr="000F4E31">
              <w:t>9.1%</w:t>
            </w:r>
          </w:p>
        </w:tc>
      </w:tr>
      <w:tr w:rsidR="000F4E31" w:rsidRPr="000F4E31" w14:paraId="692FCD6C" w14:textId="77777777" w:rsidTr="00674F82">
        <w:tc>
          <w:tcPr>
            <w:tcW w:w="1403" w:type="dxa"/>
            <w:tcBorders>
              <w:left w:val="single" w:sz="12" w:space="0" w:color="auto"/>
              <w:right w:val="single" w:sz="12" w:space="0" w:color="auto"/>
            </w:tcBorders>
          </w:tcPr>
          <w:p w14:paraId="5681312A" w14:textId="77777777" w:rsidR="000F4E31" w:rsidRPr="000F4E31" w:rsidRDefault="000F4E31" w:rsidP="00674F82">
            <w:pPr>
              <w:spacing w:after="0" w:line="240" w:lineRule="auto"/>
              <w:rPr>
                <w:b/>
                <w:bCs/>
              </w:rPr>
            </w:pPr>
            <w:r w:rsidRPr="000F4E31">
              <w:rPr>
                <w:b/>
                <w:bCs/>
              </w:rPr>
              <w:t>1690-99</w:t>
            </w:r>
          </w:p>
        </w:tc>
        <w:tc>
          <w:tcPr>
            <w:tcW w:w="1076" w:type="dxa"/>
            <w:tcBorders>
              <w:left w:val="single" w:sz="12" w:space="0" w:color="auto"/>
            </w:tcBorders>
          </w:tcPr>
          <w:p w14:paraId="3547EF67" w14:textId="77777777" w:rsidR="000F4E31" w:rsidRPr="000F4E31" w:rsidRDefault="000F4E31" w:rsidP="00674F82">
            <w:pPr>
              <w:spacing w:after="0" w:line="240" w:lineRule="auto"/>
              <w:jc w:val="center"/>
            </w:pPr>
            <w:r w:rsidRPr="000F4E31">
              <w:t>11</w:t>
            </w:r>
          </w:p>
        </w:tc>
        <w:tc>
          <w:tcPr>
            <w:tcW w:w="1318" w:type="dxa"/>
          </w:tcPr>
          <w:p w14:paraId="23B7FF69" w14:textId="77777777" w:rsidR="000F4E31" w:rsidRPr="000F4E31" w:rsidRDefault="000F4E31" w:rsidP="00674F82">
            <w:pPr>
              <w:spacing w:after="0" w:line="240" w:lineRule="auto"/>
              <w:jc w:val="center"/>
            </w:pPr>
            <w:r w:rsidRPr="000F4E31">
              <w:t>27%</w:t>
            </w:r>
          </w:p>
        </w:tc>
        <w:tc>
          <w:tcPr>
            <w:tcW w:w="1316" w:type="dxa"/>
            <w:tcBorders>
              <w:right w:val="single" w:sz="4" w:space="0" w:color="auto"/>
            </w:tcBorders>
          </w:tcPr>
          <w:p w14:paraId="64CE3370" w14:textId="77777777" w:rsidR="000F4E31" w:rsidRPr="000F4E31" w:rsidRDefault="000F4E31" w:rsidP="00674F82">
            <w:pPr>
              <w:spacing w:after="0" w:line="240" w:lineRule="auto"/>
              <w:jc w:val="center"/>
            </w:pPr>
            <w:r w:rsidRPr="000F4E31">
              <w:t>36%</w:t>
            </w:r>
          </w:p>
        </w:tc>
        <w:tc>
          <w:tcPr>
            <w:tcW w:w="1264" w:type="dxa"/>
            <w:tcBorders>
              <w:left w:val="single" w:sz="4" w:space="0" w:color="auto"/>
              <w:right w:val="single" w:sz="12" w:space="0" w:color="auto"/>
            </w:tcBorders>
          </w:tcPr>
          <w:p w14:paraId="559836CA" w14:textId="77777777" w:rsidR="000F4E31" w:rsidRPr="000F4E31" w:rsidRDefault="000F4E31" w:rsidP="00674F82">
            <w:pPr>
              <w:spacing w:after="0" w:line="240" w:lineRule="auto"/>
              <w:jc w:val="center"/>
            </w:pPr>
            <w:r w:rsidRPr="000F4E31">
              <w:t>50%</w:t>
            </w:r>
          </w:p>
        </w:tc>
        <w:tc>
          <w:tcPr>
            <w:tcW w:w="1134" w:type="dxa"/>
            <w:tcBorders>
              <w:left w:val="single" w:sz="12" w:space="0" w:color="auto"/>
            </w:tcBorders>
          </w:tcPr>
          <w:p w14:paraId="4B7ABAD3" w14:textId="77777777" w:rsidR="000F4E31" w:rsidRPr="000F4E31" w:rsidRDefault="000F4E31" w:rsidP="00674F82">
            <w:pPr>
              <w:spacing w:after="0" w:line="240" w:lineRule="auto"/>
              <w:jc w:val="center"/>
            </w:pPr>
            <w:r w:rsidRPr="000F4E31">
              <w:t>10</w:t>
            </w:r>
          </w:p>
        </w:tc>
        <w:tc>
          <w:tcPr>
            <w:tcW w:w="1276" w:type="dxa"/>
          </w:tcPr>
          <w:p w14:paraId="3E5E0985" w14:textId="77777777" w:rsidR="000F4E31" w:rsidRPr="000F4E31" w:rsidRDefault="000F4E31" w:rsidP="00674F82">
            <w:pPr>
              <w:spacing w:after="0" w:line="240" w:lineRule="auto"/>
              <w:jc w:val="center"/>
            </w:pPr>
            <w:r w:rsidRPr="000F4E31">
              <w:t>0%</w:t>
            </w:r>
          </w:p>
        </w:tc>
        <w:tc>
          <w:tcPr>
            <w:tcW w:w="1264" w:type="dxa"/>
            <w:tcBorders>
              <w:right w:val="single" w:sz="4" w:space="0" w:color="auto"/>
            </w:tcBorders>
          </w:tcPr>
          <w:p w14:paraId="389FF721" w14:textId="77777777" w:rsidR="000F4E31" w:rsidRPr="000F4E31" w:rsidRDefault="000F4E31" w:rsidP="00674F82">
            <w:pPr>
              <w:spacing w:after="0" w:line="240" w:lineRule="auto"/>
              <w:jc w:val="center"/>
            </w:pPr>
            <w:r w:rsidRPr="000F4E31">
              <w:t>20%</w:t>
            </w:r>
          </w:p>
        </w:tc>
        <w:tc>
          <w:tcPr>
            <w:tcW w:w="1264" w:type="dxa"/>
            <w:tcBorders>
              <w:left w:val="single" w:sz="4" w:space="0" w:color="auto"/>
              <w:right w:val="single" w:sz="12" w:space="0" w:color="auto"/>
            </w:tcBorders>
          </w:tcPr>
          <w:p w14:paraId="6BD86F39" w14:textId="77777777" w:rsidR="000F4E31" w:rsidRPr="000F4E31" w:rsidRDefault="000F4E31" w:rsidP="00674F82">
            <w:pPr>
              <w:spacing w:after="0" w:line="240" w:lineRule="auto"/>
              <w:jc w:val="center"/>
            </w:pPr>
            <w:r w:rsidRPr="000F4E31">
              <w:t>20%</w:t>
            </w:r>
          </w:p>
        </w:tc>
      </w:tr>
      <w:tr w:rsidR="000F4E31" w:rsidRPr="000F4E31" w14:paraId="35FCC987" w14:textId="77777777" w:rsidTr="00674F82">
        <w:tc>
          <w:tcPr>
            <w:tcW w:w="1403" w:type="dxa"/>
            <w:tcBorders>
              <w:left w:val="single" w:sz="12" w:space="0" w:color="auto"/>
              <w:right w:val="single" w:sz="12" w:space="0" w:color="auto"/>
            </w:tcBorders>
          </w:tcPr>
          <w:p w14:paraId="69E8A1D7" w14:textId="77777777" w:rsidR="000F4E31" w:rsidRPr="000F4E31" w:rsidRDefault="000F4E31" w:rsidP="00674F82">
            <w:pPr>
              <w:spacing w:after="0" w:line="240" w:lineRule="auto"/>
              <w:rPr>
                <w:b/>
                <w:bCs/>
              </w:rPr>
            </w:pPr>
            <w:r w:rsidRPr="000F4E31">
              <w:rPr>
                <w:b/>
                <w:bCs/>
              </w:rPr>
              <w:t>1700-09</w:t>
            </w:r>
          </w:p>
        </w:tc>
        <w:tc>
          <w:tcPr>
            <w:tcW w:w="1076" w:type="dxa"/>
            <w:tcBorders>
              <w:left w:val="single" w:sz="12" w:space="0" w:color="auto"/>
            </w:tcBorders>
          </w:tcPr>
          <w:p w14:paraId="1C95ADBE" w14:textId="77777777" w:rsidR="000F4E31" w:rsidRPr="000F4E31" w:rsidRDefault="000F4E31" w:rsidP="00674F82">
            <w:pPr>
              <w:spacing w:after="0" w:line="240" w:lineRule="auto"/>
              <w:jc w:val="center"/>
            </w:pPr>
            <w:r w:rsidRPr="000F4E31">
              <w:t>9</w:t>
            </w:r>
          </w:p>
        </w:tc>
        <w:tc>
          <w:tcPr>
            <w:tcW w:w="1318" w:type="dxa"/>
          </w:tcPr>
          <w:p w14:paraId="3537166F" w14:textId="77777777" w:rsidR="000F4E31" w:rsidRPr="000F4E31" w:rsidRDefault="000F4E31" w:rsidP="00674F82">
            <w:pPr>
              <w:spacing w:after="0" w:line="240" w:lineRule="auto"/>
              <w:jc w:val="center"/>
            </w:pPr>
            <w:r w:rsidRPr="000F4E31">
              <w:t>11%</w:t>
            </w:r>
          </w:p>
        </w:tc>
        <w:tc>
          <w:tcPr>
            <w:tcW w:w="1316" w:type="dxa"/>
            <w:tcBorders>
              <w:right w:val="single" w:sz="4" w:space="0" w:color="auto"/>
            </w:tcBorders>
          </w:tcPr>
          <w:p w14:paraId="1D6473F2" w14:textId="77777777" w:rsidR="000F4E31" w:rsidRPr="000F4E31" w:rsidRDefault="000F4E31" w:rsidP="00674F82">
            <w:pPr>
              <w:spacing w:after="0" w:line="240" w:lineRule="auto"/>
              <w:jc w:val="center"/>
            </w:pPr>
            <w:r w:rsidRPr="000F4E31">
              <w:t>44%</w:t>
            </w:r>
          </w:p>
        </w:tc>
        <w:tc>
          <w:tcPr>
            <w:tcW w:w="1264" w:type="dxa"/>
            <w:tcBorders>
              <w:left w:val="single" w:sz="4" w:space="0" w:color="auto"/>
              <w:right w:val="single" w:sz="12" w:space="0" w:color="auto"/>
            </w:tcBorders>
          </w:tcPr>
          <w:p w14:paraId="31C0D9AA" w14:textId="77777777" w:rsidR="000F4E31" w:rsidRPr="000F4E31" w:rsidRDefault="000F4E31" w:rsidP="00674F82">
            <w:pPr>
              <w:spacing w:after="0" w:line="240" w:lineRule="auto"/>
              <w:jc w:val="center"/>
            </w:pPr>
            <w:r w:rsidRPr="000F4E31">
              <w:t>50%</w:t>
            </w:r>
          </w:p>
        </w:tc>
        <w:tc>
          <w:tcPr>
            <w:tcW w:w="1134" w:type="dxa"/>
            <w:tcBorders>
              <w:left w:val="single" w:sz="12" w:space="0" w:color="auto"/>
            </w:tcBorders>
          </w:tcPr>
          <w:p w14:paraId="4E6B24ED" w14:textId="77777777" w:rsidR="000F4E31" w:rsidRPr="000F4E31" w:rsidRDefault="000F4E31" w:rsidP="00674F82">
            <w:pPr>
              <w:spacing w:after="0" w:line="240" w:lineRule="auto"/>
              <w:jc w:val="center"/>
            </w:pPr>
            <w:r w:rsidRPr="000F4E31">
              <w:t>16</w:t>
            </w:r>
          </w:p>
        </w:tc>
        <w:tc>
          <w:tcPr>
            <w:tcW w:w="1276" w:type="dxa"/>
          </w:tcPr>
          <w:p w14:paraId="7F746D96" w14:textId="77777777" w:rsidR="000F4E31" w:rsidRPr="000F4E31" w:rsidRDefault="000F4E31" w:rsidP="00674F82">
            <w:pPr>
              <w:spacing w:after="0" w:line="240" w:lineRule="auto"/>
              <w:jc w:val="center"/>
            </w:pPr>
            <w:r w:rsidRPr="000F4E31">
              <w:t>0%</w:t>
            </w:r>
          </w:p>
        </w:tc>
        <w:tc>
          <w:tcPr>
            <w:tcW w:w="1264" w:type="dxa"/>
            <w:tcBorders>
              <w:right w:val="single" w:sz="4" w:space="0" w:color="auto"/>
            </w:tcBorders>
          </w:tcPr>
          <w:p w14:paraId="309D1D5D" w14:textId="77777777" w:rsidR="000F4E31" w:rsidRPr="000F4E31" w:rsidRDefault="000F4E31" w:rsidP="00674F82">
            <w:pPr>
              <w:spacing w:after="0" w:line="240" w:lineRule="auto"/>
              <w:jc w:val="center"/>
            </w:pPr>
            <w:r w:rsidRPr="000F4E31">
              <w:t>33%</w:t>
            </w:r>
          </w:p>
        </w:tc>
        <w:tc>
          <w:tcPr>
            <w:tcW w:w="1264" w:type="dxa"/>
            <w:tcBorders>
              <w:left w:val="single" w:sz="4" w:space="0" w:color="auto"/>
              <w:right w:val="single" w:sz="12" w:space="0" w:color="auto"/>
            </w:tcBorders>
          </w:tcPr>
          <w:p w14:paraId="167C34A8" w14:textId="77777777" w:rsidR="000F4E31" w:rsidRPr="000F4E31" w:rsidRDefault="000F4E31" w:rsidP="00674F82">
            <w:pPr>
              <w:spacing w:after="0" w:line="240" w:lineRule="auto"/>
              <w:jc w:val="center"/>
            </w:pPr>
            <w:r w:rsidRPr="000F4E31">
              <w:t>31.3%</w:t>
            </w:r>
          </w:p>
        </w:tc>
      </w:tr>
      <w:tr w:rsidR="000F4E31" w:rsidRPr="000F4E31" w14:paraId="4D77A112" w14:textId="77777777" w:rsidTr="00674F82">
        <w:tc>
          <w:tcPr>
            <w:tcW w:w="1403" w:type="dxa"/>
            <w:tcBorders>
              <w:left w:val="single" w:sz="12" w:space="0" w:color="auto"/>
              <w:right w:val="single" w:sz="12" w:space="0" w:color="auto"/>
            </w:tcBorders>
          </w:tcPr>
          <w:p w14:paraId="3DCC183C" w14:textId="77777777" w:rsidR="000F4E31" w:rsidRPr="000F4E31" w:rsidRDefault="000F4E31" w:rsidP="00674F82">
            <w:pPr>
              <w:spacing w:after="0" w:line="240" w:lineRule="auto"/>
              <w:rPr>
                <w:b/>
                <w:bCs/>
              </w:rPr>
            </w:pPr>
            <w:r w:rsidRPr="000F4E31">
              <w:rPr>
                <w:b/>
                <w:bCs/>
              </w:rPr>
              <w:t>1710-19</w:t>
            </w:r>
          </w:p>
        </w:tc>
        <w:tc>
          <w:tcPr>
            <w:tcW w:w="1076" w:type="dxa"/>
            <w:tcBorders>
              <w:left w:val="single" w:sz="12" w:space="0" w:color="auto"/>
            </w:tcBorders>
          </w:tcPr>
          <w:p w14:paraId="59CA879E" w14:textId="77777777" w:rsidR="000F4E31" w:rsidRPr="000F4E31" w:rsidRDefault="000F4E31" w:rsidP="00674F82">
            <w:pPr>
              <w:spacing w:after="0" w:line="240" w:lineRule="auto"/>
              <w:jc w:val="center"/>
            </w:pPr>
            <w:r w:rsidRPr="000F4E31">
              <w:t>15</w:t>
            </w:r>
          </w:p>
        </w:tc>
        <w:tc>
          <w:tcPr>
            <w:tcW w:w="1318" w:type="dxa"/>
          </w:tcPr>
          <w:p w14:paraId="49C19FB9" w14:textId="77777777" w:rsidR="000F4E31" w:rsidRPr="000F4E31" w:rsidRDefault="000F4E31" w:rsidP="00674F82">
            <w:pPr>
              <w:spacing w:after="0" w:line="240" w:lineRule="auto"/>
              <w:jc w:val="center"/>
            </w:pPr>
            <w:r w:rsidRPr="000F4E31">
              <w:t>0%</w:t>
            </w:r>
          </w:p>
        </w:tc>
        <w:tc>
          <w:tcPr>
            <w:tcW w:w="1316" w:type="dxa"/>
            <w:tcBorders>
              <w:right w:val="single" w:sz="4" w:space="0" w:color="auto"/>
            </w:tcBorders>
          </w:tcPr>
          <w:p w14:paraId="2419688E" w14:textId="77777777" w:rsidR="000F4E31" w:rsidRPr="000F4E31" w:rsidRDefault="000F4E31" w:rsidP="00674F82">
            <w:pPr>
              <w:spacing w:after="0" w:line="240" w:lineRule="auto"/>
              <w:jc w:val="center"/>
            </w:pPr>
            <w:r w:rsidRPr="000F4E31">
              <w:t>40%</w:t>
            </w:r>
          </w:p>
        </w:tc>
        <w:tc>
          <w:tcPr>
            <w:tcW w:w="1264" w:type="dxa"/>
            <w:tcBorders>
              <w:left w:val="single" w:sz="4" w:space="0" w:color="auto"/>
              <w:right w:val="single" w:sz="12" w:space="0" w:color="auto"/>
            </w:tcBorders>
          </w:tcPr>
          <w:p w14:paraId="7DCCDC16" w14:textId="77777777" w:rsidR="000F4E31" w:rsidRPr="000F4E31" w:rsidRDefault="000F4E31" w:rsidP="00674F82">
            <w:pPr>
              <w:spacing w:after="0" w:line="240" w:lineRule="auto"/>
              <w:jc w:val="center"/>
            </w:pPr>
            <w:r w:rsidRPr="000F4E31">
              <w:t>40%</w:t>
            </w:r>
          </w:p>
        </w:tc>
        <w:tc>
          <w:tcPr>
            <w:tcW w:w="1134" w:type="dxa"/>
            <w:tcBorders>
              <w:left w:val="single" w:sz="12" w:space="0" w:color="auto"/>
            </w:tcBorders>
          </w:tcPr>
          <w:p w14:paraId="3724234A" w14:textId="77777777" w:rsidR="000F4E31" w:rsidRPr="000F4E31" w:rsidRDefault="000F4E31" w:rsidP="00674F82">
            <w:pPr>
              <w:spacing w:after="0" w:line="240" w:lineRule="auto"/>
              <w:jc w:val="center"/>
            </w:pPr>
            <w:r w:rsidRPr="000F4E31">
              <w:t>6</w:t>
            </w:r>
          </w:p>
        </w:tc>
        <w:tc>
          <w:tcPr>
            <w:tcW w:w="1276" w:type="dxa"/>
          </w:tcPr>
          <w:p w14:paraId="006AABEC" w14:textId="77777777" w:rsidR="000F4E31" w:rsidRPr="000F4E31" w:rsidRDefault="000F4E31" w:rsidP="00674F82">
            <w:pPr>
              <w:spacing w:after="0" w:line="240" w:lineRule="auto"/>
              <w:jc w:val="center"/>
            </w:pPr>
            <w:r w:rsidRPr="000F4E31">
              <w:t>0%</w:t>
            </w:r>
          </w:p>
        </w:tc>
        <w:tc>
          <w:tcPr>
            <w:tcW w:w="1264" w:type="dxa"/>
            <w:tcBorders>
              <w:right w:val="single" w:sz="4" w:space="0" w:color="auto"/>
            </w:tcBorders>
          </w:tcPr>
          <w:p w14:paraId="17522EA4" w14:textId="77777777" w:rsidR="000F4E31" w:rsidRPr="000F4E31" w:rsidRDefault="000F4E31" w:rsidP="00674F82">
            <w:pPr>
              <w:spacing w:after="0" w:line="240" w:lineRule="auto"/>
              <w:jc w:val="center"/>
            </w:pPr>
            <w:r w:rsidRPr="000F4E31">
              <w:t>66%</w:t>
            </w:r>
          </w:p>
        </w:tc>
        <w:tc>
          <w:tcPr>
            <w:tcW w:w="1264" w:type="dxa"/>
            <w:tcBorders>
              <w:left w:val="single" w:sz="4" w:space="0" w:color="auto"/>
              <w:right w:val="single" w:sz="12" w:space="0" w:color="auto"/>
            </w:tcBorders>
          </w:tcPr>
          <w:p w14:paraId="46D3FC02" w14:textId="77777777" w:rsidR="000F4E31" w:rsidRPr="000F4E31" w:rsidRDefault="000F4E31" w:rsidP="00674F82">
            <w:pPr>
              <w:spacing w:after="0" w:line="240" w:lineRule="auto"/>
              <w:jc w:val="center"/>
            </w:pPr>
            <w:r w:rsidRPr="000F4E31">
              <w:t>66.7%</w:t>
            </w:r>
          </w:p>
        </w:tc>
      </w:tr>
      <w:tr w:rsidR="000F4E31" w:rsidRPr="000F4E31" w14:paraId="03A502B1" w14:textId="77777777" w:rsidTr="00674F82">
        <w:tc>
          <w:tcPr>
            <w:tcW w:w="1403" w:type="dxa"/>
            <w:tcBorders>
              <w:left w:val="single" w:sz="12" w:space="0" w:color="auto"/>
              <w:right w:val="single" w:sz="12" w:space="0" w:color="auto"/>
            </w:tcBorders>
          </w:tcPr>
          <w:p w14:paraId="016B0483" w14:textId="77777777" w:rsidR="000F4E31" w:rsidRPr="000F4E31" w:rsidRDefault="000F4E31" w:rsidP="00674F82">
            <w:pPr>
              <w:spacing w:after="0" w:line="240" w:lineRule="auto"/>
              <w:rPr>
                <w:b/>
                <w:bCs/>
              </w:rPr>
            </w:pPr>
            <w:r w:rsidRPr="000F4E31">
              <w:rPr>
                <w:b/>
                <w:bCs/>
              </w:rPr>
              <w:t>1720-29</w:t>
            </w:r>
          </w:p>
        </w:tc>
        <w:tc>
          <w:tcPr>
            <w:tcW w:w="1076" w:type="dxa"/>
            <w:tcBorders>
              <w:left w:val="single" w:sz="12" w:space="0" w:color="auto"/>
            </w:tcBorders>
          </w:tcPr>
          <w:p w14:paraId="0198C852" w14:textId="77777777" w:rsidR="000F4E31" w:rsidRPr="000F4E31" w:rsidRDefault="000F4E31" w:rsidP="00674F82">
            <w:pPr>
              <w:spacing w:after="0" w:line="240" w:lineRule="auto"/>
              <w:jc w:val="center"/>
            </w:pPr>
            <w:r w:rsidRPr="000F4E31">
              <w:t>15</w:t>
            </w:r>
          </w:p>
        </w:tc>
        <w:tc>
          <w:tcPr>
            <w:tcW w:w="1318" w:type="dxa"/>
          </w:tcPr>
          <w:p w14:paraId="5D49A424" w14:textId="77777777" w:rsidR="000F4E31" w:rsidRPr="000F4E31" w:rsidRDefault="000F4E31" w:rsidP="00674F82">
            <w:pPr>
              <w:spacing w:after="0" w:line="240" w:lineRule="auto"/>
              <w:jc w:val="center"/>
            </w:pPr>
            <w:r w:rsidRPr="000F4E31">
              <w:t>0%</w:t>
            </w:r>
          </w:p>
        </w:tc>
        <w:tc>
          <w:tcPr>
            <w:tcW w:w="1316" w:type="dxa"/>
            <w:tcBorders>
              <w:right w:val="single" w:sz="4" w:space="0" w:color="auto"/>
            </w:tcBorders>
          </w:tcPr>
          <w:p w14:paraId="6D2AE0D0" w14:textId="77777777" w:rsidR="000F4E31" w:rsidRPr="000F4E31" w:rsidRDefault="000F4E31" w:rsidP="00674F82">
            <w:pPr>
              <w:spacing w:after="0" w:line="240" w:lineRule="auto"/>
              <w:jc w:val="center"/>
            </w:pPr>
            <w:r w:rsidRPr="000F4E31">
              <w:t>48%</w:t>
            </w:r>
          </w:p>
        </w:tc>
        <w:tc>
          <w:tcPr>
            <w:tcW w:w="1264" w:type="dxa"/>
            <w:tcBorders>
              <w:left w:val="single" w:sz="4" w:space="0" w:color="auto"/>
              <w:right w:val="single" w:sz="12" w:space="0" w:color="auto"/>
            </w:tcBorders>
          </w:tcPr>
          <w:p w14:paraId="20FF7417" w14:textId="77777777" w:rsidR="000F4E31" w:rsidRPr="000F4E31" w:rsidRDefault="000F4E31" w:rsidP="00674F82">
            <w:pPr>
              <w:spacing w:after="0" w:line="240" w:lineRule="auto"/>
              <w:jc w:val="center"/>
            </w:pPr>
            <w:r w:rsidRPr="000F4E31">
              <w:t>47.6%</w:t>
            </w:r>
          </w:p>
        </w:tc>
        <w:tc>
          <w:tcPr>
            <w:tcW w:w="1134" w:type="dxa"/>
            <w:tcBorders>
              <w:left w:val="single" w:sz="12" w:space="0" w:color="auto"/>
            </w:tcBorders>
          </w:tcPr>
          <w:p w14:paraId="031558D2" w14:textId="77777777" w:rsidR="000F4E31" w:rsidRPr="000F4E31" w:rsidRDefault="000F4E31" w:rsidP="00674F82">
            <w:pPr>
              <w:spacing w:after="0" w:line="240" w:lineRule="auto"/>
              <w:jc w:val="center"/>
            </w:pPr>
            <w:r w:rsidRPr="000F4E31">
              <w:t>21</w:t>
            </w:r>
          </w:p>
        </w:tc>
        <w:tc>
          <w:tcPr>
            <w:tcW w:w="1276" w:type="dxa"/>
          </w:tcPr>
          <w:p w14:paraId="64FD282F" w14:textId="77777777" w:rsidR="000F4E31" w:rsidRPr="000F4E31" w:rsidRDefault="000F4E31" w:rsidP="00674F82">
            <w:pPr>
              <w:spacing w:after="0" w:line="240" w:lineRule="auto"/>
              <w:jc w:val="center"/>
            </w:pPr>
            <w:r w:rsidRPr="000F4E31">
              <w:t>5%</w:t>
            </w:r>
          </w:p>
        </w:tc>
        <w:tc>
          <w:tcPr>
            <w:tcW w:w="1264" w:type="dxa"/>
            <w:tcBorders>
              <w:right w:val="single" w:sz="4" w:space="0" w:color="auto"/>
            </w:tcBorders>
          </w:tcPr>
          <w:p w14:paraId="5EFB803F" w14:textId="77777777" w:rsidR="000F4E31" w:rsidRPr="000F4E31" w:rsidRDefault="000F4E31" w:rsidP="00674F82">
            <w:pPr>
              <w:spacing w:after="0" w:line="240" w:lineRule="auto"/>
              <w:jc w:val="center"/>
            </w:pPr>
            <w:r w:rsidRPr="000F4E31">
              <w:t>14%</w:t>
            </w:r>
          </w:p>
        </w:tc>
        <w:tc>
          <w:tcPr>
            <w:tcW w:w="1264" w:type="dxa"/>
            <w:tcBorders>
              <w:left w:val="single" w:sz="4" w:space="0" w:color="auto"/>
              <w:right w:val="single" w:sz="12" w:space="0" w:color="auto"/>
            </w:tcBorders>
          </w:tcPr>
          <w:p w14:paraId="7173D450" w14:textId="77777777" w:rsidR="000F4E31" w:rsidRPr="000F4E31" w:rsidRDefault="000F4E31" w:rsidP="00674F82">
            <w:pPr>
              <w:spacing w:after="0" w:line="240" w:lineRule="auto"/>
              <w:jc w:val="center"/>
            </w:pPr>
            <w:r w:rsidRPr="000F4E31">
              <w:t>15%</w:t>
            </w:r>
          </w:p>
        </w:tc>
      </w:tr>
      <w:tr w:rsidR="000F4E31" w:rsidRPr="000F4E31" w14:paraId="199FA9CC" w14:textId="77777777" w:rsidTr="00674F82">
        <w:tc>
          <w:tcPr>
            <w:tcW w:w="1403" w:type="dxa"/>
            <w:tcBorders>
              <w:left w:val="single" w:sz="12" w:space="0" w:color="auto"/>
              <w:right w:val="single" w:sz="12" w:space="0" w:color="auto"/>
            </w:tcBorders>
          </w:tcPr>
          <w:p w14:paraId="6C64FD11" w14:textId="77777777" w:rsidR="000F4E31" w:rsidRPr="000F4E31" w:rsidRDefault="000F4E31" w:rsidP="00674F82">
            <w:pPr>
              <w:spacing w:after="0" w:line="240" w:lineRule="auto"/>
              <w:rPr>
                <w:b/>
                <w:bCs/>
              </w:rPr>
            </w:pPr>
            <w:r w:rsidRPr="000F4E31">
              <w:rPr>
                <w:b/>
                <w:bCs/>
              </w:rPr>
              <w:t>1730-39</w:t>
            </w:r>
          </w:p>
        </w:tc>
        <w:tc>
          <w:tcPr>
            <w:tcW w:w="1076" w:type="dxa"/>
            <w:tcBorders>
              <w:left w:val="single" w:sz="12" w:space="0" w:color="auto"/>
            </w:tcBorders>
          </w:tcPr>
          <w:p w14:paraId="794D5AED" w14:textId="77777777" w:rsidR="000F4E31" w:rsidRPr="000F4E31" w:rsidRDefault="000F4E31" w:rsidP="00674F82">
            <w:pPr>
              <w:spacing w:after="0" w:line="240" w:lineRule="auto"/>
              <w:jc w:val="center"/>
            </w:pPr>
            <w:r w:rsidRPr="000F4E31">
              <w:t>9</w:t>
            </w:r>
          </w:p>
        </w:tc>
        <w:tc>
          <w:tcPr>
            <w:tcW w:w="1318" w:type="dxa"/>
          </w:tcPr>
          <w:p w14:paraId="27A629B7" w14:textId="77777777" w:rsidR="000F4E31" w:rsidRPr="000F4E31" w:rsidRDefault="000F4E31" w:rsidP="00674F82">
            <w:pPr>
              <w:spacing w:after="0" w:line="240" w:lineRule="auto"/>
              <w:jc w:val="center"/>
            </w:pPr>
            <w:r w:rsidRPr="000F4E31">
              <w:t>11%</w:t>
            </w:r>
          </w:p>
        </w:tc>
        <w:tc>
          <w:tcPr>
            <w:tcW w:w="1316" w:type="dxa"/>
            <w:tcBorders>
              <w:right w:val="single" w:sz="4" w:space="0" w:color="auto"/>
            </w:tcBorders>
          </w:tcPr>
          <w:p w14:paraId="2C9B0F73" w14:textId="77777777" w:rsidR="000F4E31" w:rsidRPr="000F4E31" w:rsidRDefault="000F4E31" w:rsidP="00674F82">
            <w:pPr>
              <w:spacing w:after="0" w:line="240" w:lineRule="auto"/>
              <w:jc w:val="center"/>
            </w:pPr>
            <w:r w:rsidRPr="000F4E31">
              <w:t>56%</w:t>
            </w:r>
          </w:p>
        </w:tc>
        <w:tc>
          <w:tcPr>
            <w:tcW w:w="1264" w:type="dxa"/>
            <w:tcBorders>
              <w:left w:val="single" w:sz="4" w:space="0" w:color="auto"/>
              <w:right w:val="single" w:sz="12" w:space="0" w:color="auto"/>
            </w:tcBorders>
          </w:tcPr>
          <w:p w14:paraId="53AC6A92" w14:textId="77777777" w:rsidR="000F4E31" w:rsidRPr="000F4E31" w:rsidRDefault="000F4E31" w:rsidP="00674F82">
            <w:pPr>
              <w:spacing w:after="0" w:line="240" w:lineRule="auto"/>
              <w:jc w:val="center"/>
            </w:pPr>
            <w:r w:rsidRPr="000F4E31">
              <w:t>62.5%</w:t>
            </w:r>
          </w:p>
        </w:tc>
        <w:tc>
          <w:tcPr>
            <w:tcW w:w="1134" w:type="dxa"/>
            <w:tcBorders>
              <w:left w:val="single" w:sz="12" w:space="0" w:color="auto"/>
            </w:tcBorders>
          </w:tcPr>
          <w:p w14:paraId="18813AEF" w14:textId="77777777" w:rsidR="000F4E31" w:rsidRPr="000F4E31" w:rsidRDefault="000F4E31" w:rsidP="00674F82">
            <w:pPr>
              <w:spacing w:after="0" w:line="240" w:lineRule="auto"/>
              <w:jc w:val="center"/>
            </w:pPr>
            <w:r w:rsidRPr="000F4E31">
              <w:t>5</w:t>
            </w:r>
          </w:p>
        </w:tc>
        <w:tc>
          <w:tcPr>
            <w:tcW w:w="1276" w:type="dxa"/>
          </w:tcPr>
          <w:p w14:paraId="30BE98C6" w14:textId="77777777" w:rsidR="000F4E31" w:rsidRPr="000F4E31" w:rsidRDefault="000F4E31" w:rsidP="00674F82">
            <w:pPr>
              <w:spacing w:after="0" w:line="240" w:lineRule="auto"/>
              <w:jc w:val="center"/>
            </w:pPr>
            <w:r w:rsidRPr="000F4E31">
              <w:t>0%</w:t>
            </w:r>
          </w:p>
        </w:tc>
        <w:tc>
          <w:tcPr>
            <w:tcW w:w="1264" w:type="dxa"/>
            <w:tcBorders>
              <w:right w:val="single" w:sz="4" w:space="0" w:color="auto"/>
            </w:tcBorders>
          </w:tcPr>
          <w:p w14:paraId="1AF7B561" w14:textId="77777777" w:rsidR="000F4E31" w:rsidRPr="000F4E31" w:rsidRDefault="000F4E31" w:rsidP="00674F82">
            <w:pPr>
              <w:spacing w:after="0" w:line="240" w:lineRule="auto"/>
              <w:jc w:val="center"/>
            </w:pPr>
            <w:r w:rsidRPr="000F4E31">
              <w:t>20%</w:t>
            </w:r>
          </w:p>
        </w:tc>
        <w:tc>
          <w:tcPr>
            <w:tcW w:w="1264" w:type="dxa"/>
            <w:tcBorders>
              <w:left w:val="single" w:sz="4" w:space="0" w:color="auto"/>
              <w:right w:val="single" w:sz="12" w:space="0" w:color="auto"/>
            </w:tcBorders>
          </w:tcPr>
          <w:p w14:paraId="2BF60EB9" w14:textId="77777777" w:rsidR="000F4E31" w:rsidRPr="000F4E31" w:rsidRDefault="000F4E31" w:rsidP="00674F82">
            <w:pPr>
              <w:spacing w:after="0" w:line="240" w:lineRule="auto"/>
              <w:jc w:val="center"/>
            </w:pPr>
            <w:r w:rsidRPr="000F4E31">
              <w:t>20%</w:t>
            </w:r>
          </w:p>
        </w:tc>
      </w:tr>
      <w:tr w:rsidR="000F4E31" w:rsidRPr="000F4E31" w14:paraId="5DE0FF47" w14:textId="77777777" w:rsidTr="00674F82">
        <w:tc>
          <w:tcPr>
            <w:tcW w:w="1403" w:type="dxa"/>
            <w:tcBorders>
              <w:left w:val="single" w:sz="12" w:space="0" w:color="auto"/>
              <w:bottom w:val="single" w:sz="12" w:space="0" w:color="auto"/>
              <w:right w:val="single" w:sz="12" w:space="0" w:color="auto"/>
            </w:tcBorders>
          </w:tcPr>
          <w:p w14:paraId="1D41C1BE" w14:textId="77777777" w:rsidR="000F4E31" w:rsidRPr="000F4E31" w:rsidRDefault="000F4E31" w:rsidP="00674F82">
            <w:pPr>
              <w:spacing w:after="0" w:line="240" w:lineRule="auto"/>
              <w:rPr>
                <w:b/>
                <w:bCs/>
              </w:rPr>
            </w:pPr>
            <w:r w:rsidRPr="000F4E31">
              <w:rPr>
                <w:b/>
                <w:bCs/>
              </w:rPr>
              <w:t>1740-50</w:t>
            </w:r>
          </w:p>
        </w:tc>
        <w:tc>
          <w:tcPr>
            <w:tcW w:w="1076" w:type="dxa"/>
            <w:tcBorders>
              <w:left w:val="single" w:sz="12" w:space="0" w:color="auto"/>
              <w:bottom w:val="single" w:sz="12" w:space="0" w:color="auto"/>
            </w:tcBorders>
          </w:tcPr>
          <w:p w14:paraId="7EB24633" w14:textId="77777777" w:rsidR="000F4E31" w:rsidRPr="000F4E31" w:rsidRDefault="000F4E31" w:rsidP="00674F82">
            <w:pPr>
              <w:spacing w:after="0" w:line="240" w:lineRule="auto"/>
              <w:jc w:val="center"/>
            </w:pPr>
            <w:r w:rsidRPr="000F4E31">
              <w:t>4</w:t>
            </w:r>
          </w:p>
        </w:tc>
        <w:tc>
          <w:tcPr>
            <w:tcW w:w="1318" w:type="dxa"/>
            <w:tcBorders>
              <w:bottom w:val="single" w:sz="12" w:space="0" w:color="auto"/>
            </w:tcBorders>
          </w:tcPr>
          <w:p w14:paraId="183C0ADD" w14:textId="77777777" w:rsidR="000F4E31" w:rsidRPr="000F4E31" w:rsidRDefault="000F4E31" w:rsidP="00674F82">
            <w:pPr>
              <w:spacing w:after="0" w:line="240" w:lineRule="auto"/>
              <w:jc w:val="center"/>
            </w:pPr>
            <w:r w:rsidRPr="000F4E31">
              <w:t>25%</w:t>
            </w:r>
          </w:p>
        </w:tc>
        <w:tc>
          <w:tcPr>
            <w:tcW w:w="1316" w:type="dxa"/>
            <w:tcBorders>
              <w:bottom w:val="single" w:sz="12" w:space="0" w:color="auto"/>
              <w:right w:val="single" w:sz="4" w:space="0" w:color="auto"/>
            </w:tcBorders>
          </w:tcPr>
          <w:p w14:paraId="52798F55" w14:textId="77777777" w:rsidR="000F4E31" w:rsidRPr="000F4E31" w:rsidRDefault="000F4E31" w:rsidP="00674F82">
            <w:pPr>
              <w:spacing w:after="0" w:line="240" w:lineRule="auto"/>
              <w:jc w:val="center"/>
            </w:pPr>
            <w:r w:rsidRPr="000F4E31">
              <w:t>75%</w:t>
            </w:r>
          </w:p>
        </w:tc>
        <w:tc>
          <w:tcPr>
            <w:tcW w:w="1264" w:type="dxa"/>
            <w:tcBorders>
              <w:left w:val="single" w:sz="4" w:space="0" w:color="auto"/>
              <w:bottom w:val="single" w:sz="12" w:space="0" w:color="auto"/>
              <w:right w:val="single" w:sz="12" w:space="0" w:color="auto"/>
            </w:tcBorders>
          </w:tcPr>
          <w:p w14:paraId="1C7CA1EC" w14:textId="77777777" w:rsidR="000F4E31" w:rsidRPr="000F4E31" w:rsidRDefault="000F4E31" w:rsidP="00674F82">
            <w:pPr>
              <w:spacing w:after="0" w:line="240" w:lineRule="auto"/>
              <w:jc w:val="center"/>
            </w:pPr>
            <w:r w:rsidRPr="000F4E31">
              <w:t>100%</w:t>
            </w:r>
          </w:p>
        </w:tc>
        <w:tc>
          <w:tcPr>
            <w:tcW w:w="1134" w:type="dxa"/>
            <w:tcBorders>
              <w:left w:val="single" w:sz="12" w:space="0" w:color="auto"/>
              <w:bottom w:val="single" w:sz="12" w:space="0" w:color="auto"/>
            </w:tcBorders>
          </w:tcPr>
          <w:p w14:paraId="745C9FBE" w14:textId="77777777" w:rsidR="000F4E31" w:rsidRPr="000F4E31" w:rsidRDefault="000F4E31" w:rsidP="00674F82">
            <w:pPr>
              <w:spacing w:after="0" w:line="240" w:lineRule="auto"/>
              <w:jc w:val="center"/>
            </w:pPr>
            <w:r w:rsidRPr="000F4E31">
              <w:t>5</w:t>
            </w:r>
          </w:p>
        </w:tc>
        <w:tc>
          <w:tcPr>
            <w:tcW w:w="1276" w:type="dxa"/>
            <w:tcBorders>
              <w:bottom w:val="single" w:sz="12" w:space="0" w:color="auto"/>
            </w:tcBorders>
          </w:tcPr>
          <w:p w14:paraId="20692107" w14:textId="77777777" w:rsidR="000F4E31" w:rsidRPr="000F4E31" w:rsidRDefault="000F4E31" w:rsidP="00674F82">
            <w:pPr>
              <w:spacing w:after="0" w:line="240" w:lineRule="auto"/>
              <w:jc w:val="center"/>
            </w:pPr>
            <w:r w:rsidRPr="000F4E31">
              <w:t>20%</w:t>
            </w:r>
          </w:p>
        </w:tc>
        <w:tc>
          <w:tcPr>
            <w:tcW w:w="1264" w:type="dxa"/>
            <w:tcBorders>
              <w:bottom w:val="single" w:sz="12" w:space="0" w:color="auto"/>
              <w:right w:val="single" w:sz="4" w:space="0" w:color="auto"/>
            </w:tcBorders>
          </w:tcPr>
          <w:p w14:paraId="7C24DDAF" w14:textId="77777777" w:rsidR="000F4E31" w:rsidRPr="000F4E31" w:rsidRDefault="000F4E31" w:rsidP="00674F82">
            <w:pPr>
              <w:spacing w:after="0" w:line="240" w:lineRule="auto"/>
              <w:jc w:val="center"/>
            </w:pPr>
            <w:r w:rsidRPr="000F4E31">
              <w:t>40%</w:t>
            </w:r>
          </w:p>
        </w:tc>
        <w:tc>
          <w:tcPr>
            <w:tcW w:w="1264" w:type="dxa"/>
            <w:tcBorders>
              <w:left w:val="single" w:sz="4" w:space="0" w:color="auto"/>
              <w:bottom w:val="single" w:sz="12" w:space="0" w:color="auto"/>
              <w:right w:val="single" w:sz="12" w:space="0" w:color="auto"/>
            </w:tcBorders>
          </w:tcPr>
          <w:p w14:paraId="2D59821B" w14:textId="77777777" w:rsidR="000F4E31" w:rsidRPr="000F4E31" w:rsidRDefault="000F4E31" w:rsidP="00674F82">
            <w:pPr>
              <w:spacing w:after="0" w:line="240" w:lineRule="auto"/>
              <w:jc w:val="center"/>
            </w:pPr>
            <w:r w:rsidRPr="000F4E31">
              <w:t>50%</w:t>
            </w:r>
          </w:p>
        </w:tc>
      </w:tr>
      <w:tr w:rsidR="000F4E31" w:rsidRPr="000F4E31" w14:paraId="600C8786" w14:textId="77777777" w:rsidTr="00674F82">
        <w:tc>
          <w:tcPr>
            <w:tcW w:w="1403" w:type="dxa"/>
            <w:tcBorders>
              <w:top w:val="single" w:sz="12" w:space="0" w:color="auto"/>
              <w:left w:val="single" w:sz="12" w:space="0" w:color="auto"/>
              <w:bottom w:val="single" w:sz="12" w:space="0" w:color="auto"/>
              <w:right w:val="single" w:sz="12" w:space="0" w:color="auto"/>
            </w:tcBorders>
          </w:tcPr>
          <w:p w14:paraId="1BAE2CD9" w14:textId="77777777" w:rsidR="000F4E31" w:rsidRPr="000F4E31" w:rsidRDefault="000F4E31" w:rsidP="00674F82">
            <w:pPr>
              <w:spacing w:after="0" w:line="240" w:lineRule="auto"/>
              <w:rPr>
                <w:b/>
                <w:bCs/>
              </w:rPr>
            </w:pPr>
            <w:r w:rsidRPr="000F4E31">
              <w:rPr>
                <w:b/>
                <w:bCs/>
              </w:rPr>
              <w:t>1650-1750</w:t>
            </w:r>
          </w:p>
        </w:tc>
        <w:tc>
          <w:tcPr>
            <w:tcW w:w="1076" w:type="dxa"/>
            <w:tcBorders>
              <w:top w:val="single" w:sz="12" w:space="0" w:color="auto"/>
              <w:left w:val="single" w:sz="12" w:space="0" w:color="auto"/>
              <w:bottom w:val="single" w:sz="12" w:space="0" w:color="auto"/>
            </w:tcBorders>
          </w:tcPr>
          <w:p w14:paraId="03FB4373" w14:textId="77777777" w:rsidR="000F4E31" w:rsidRPr="000F4E31" w:rsidRDefault="000F4E31" w:rsidP="00674F82">
            <w:pPr>
              <w:spacing w:after="0" w:line="240" w:lineRule="auto"/>
              <w:jc w:val="center"/>
              <w:rPr>
                <w:b/>
                <w:bCs/>
              </w:rPr>
            </w:pPr>
            <w:r w:rsidRPr="000F4E31">
              <w:rPr>
                <w:b/>
                <w:bCs/>
              </w:rPr>
              <w:t>99</w:t>
            </w:r>
          </w:p>
        </w:tc>
        <w:tc>
          <w:tcPr>
            <w:tcW w:w="1318" w:type="dxa"/>
            <w:tcBorders>
              <w:top w:val="single" w:sz="12" w:space="0" w:color="auto"/>
              <w:bottom w:val="single" w:sz="12" w:space="0" w:color="auto"/>
            </w:tcBorders>
          </w:tcPr>
          <w:p w14:paraId="5957323F" w14:textId="77777777" w:rsidR="000F4E31" w:rsidRPr="000F4E31" w:rsidRDefault="000F4E31" w:rsidP="00674F82">
            <w:pPr>
              <w:spacing w:after="0" w:line="240" w:lineRule="auto"/>
              <w:jc w:val="center"/>
              <w:rPr>
                <w:b/>
                <w:bCs/>
              </w:rPr>
            </w:pPr>
            <w:r w:rsidRPr="000F4E31">
              <w:rPr>
                <w:b/>
                <w:bCs/>
              </w:rPr>
              <w:t>16%</w:t>
            </w:r>
          </w:p>
        </w:tc>
        <w:tc>
          <w:tcPr>
            <w:tcW w:w="1316" w:type="dxa"/>
            <w:tcBorders>
              <w:top w:val="single" w:sz="12" w:space="0" w:color="auto"/>
              <w:bottom w:val="single" w:sz="12" w:space="0" w:color="auto"/>
              <w:right w:val="single" w:sz="4" w:space="0" w:color="auto"/>
            </w:tcBorders>
          </w:tcPr>
          <w:p w14:paraId="012F7FD2" w14:textId="77777777" w:rsidR="000F4E31" w:rsidRPr="000F4E31" w:rsidRDefault="000F4E31" w:rsidP="00674F82">
            <w:pPr>
              <w:spacing w:after="0" w:line="240" w:lineRule="auto"/>
              <w:jc w:val="center"/>
              <w:rPr>
                <w:b/>
                <w:bCs/>
              </w:rPr>
            </w:pPr>
            <w:r w:rsidRPr="000F4E31">
              <w:rPr>
                <w:b/>
                <w:bCs/>
              </w:rPr>
              <w:t>36%</w:t>
            </w:r>
          </w:p>
        </w:tc>
        <w:tc>
          <w:tcPr>
            <w:tcW w:w="1264" w:type="dxa"/>
            <w:tcBorders>
              <w:top w:val="single" w:sz="12" w:space="0" w:color="auto"/>
              <w:left w:val="single" w:sz="4" w:space="0" w:color="auto"/>
              <w:bottom w:val="single" w:sz="12" w:space="0" w:color="auto"/>
              <w:right w:val="single" w:sz="12" w:space="0" w:color="auto"/>
            </w:tcBorders>
          </w:tcPr>
          <w:p w14:paraId="1647421B" w14:textId="77777777" w:rsidR="000F4E31" w:rsidRPr="000F4E31" w:rsidRDefault="000F4E31" w:rsidP="00674F82">
            <w:pPr>
              <w:spacing w:after="0" w:line="240" w:lineRule="auto"/>
              <w:jc w:val="center"/>
              <w:rPr>
                <w:b/>
                <w:bCs/>
              </w:rPr>
            </w:pPr>
            <w:r w:rsidRPr="000F4E31">
              <w:rPr>
                <w:b/>
                <w:bCs/>
              </w:rPr>
              <w:t>43.4%</w:t>
            </w:r>
          </w:p>
        </w:tc>
        <w:tc>
          <w:tcPr>
            <w:tcW w:w="1134" w:type="dxa"/>
            <w:tcBorders>
              <w:top w:val="single" w:sz="12" w:space="0" w:color="auto"/>
              <w:left w:val="single" w:sz="12" w:space="0" w:color="auto"/>
              <w:bottom w:val="single" w:sz="12" w:space="0" w:color="auto"/>
            </w:tcBorders>
          </w:tcPr>
          <w:p w14:paraId="46BFBCBB" w14:textId="77777777" w:rsidR="000F4E31" w:rsidRPr="000F4E31" w:rsidRDefault="000F4E31" w:rsidP="00674F82">
            <w:pPr>
              <w:spacing w:after="0" w:line="240" w:lineRule="auto"/>
              <w:jc w:val="center"/>
              <w:rPr>
                <w:b/>
                <w:bCs/>
              </w:rPr>
            </w:pPr>
            <w:r w:rsidRPr="000F4E31">
              <w:rPr>
                <w:b/>
                <w:bCs/>
              </w:rPr>
              <w:t>99</w:t>
            </w:r>
          </w:p>
        </w:tc>
        <w:tc>
          <w:tcPr>
            <w:tcW w:w="1276" w:type="dxa"/>
            <w:tcBorders>
              <w:top w:val="single" w:sz="12" w:space="0" w:color="auto"/>
              <w:bottom w:val="single" w:sz="12" w:space="0" w:color="auto"/>
            </w:tcBorders>
          </w:tcPr>
          <w:p w14:paraId="44B83CBE" w14:textId="77777777" w:rsidR="000F4E31" w:rsidRPr="000F4E31" w:rsidRDefault="000F4E31" w:rsidP="00674F82">
            <w:pPr>
              <w:spacing w:after="0" w:line="240" w:lineRule="auto"/>
              <w:jc w:val="center"/>
              <w:rPr>
                <w:b/>
                <w:bCs/>
              </w:rPr>
            </w:pPr>
            <w:r w:rsidRPr="000F4E31">
              <w:rPr>
                <w:b/>
                <w:bCs/>
              </w:rPr>
              <w:t>11%</w:t>
            </w:r>
          </w:p>
        </w:tc>
        <w:tc>
          <w:tcPr>
            <w:tcW w:w="1264" w:type="dxa"/>
            <w:tcBorders>
              <w:top w:val="single" w:sz="12" w:space="0" w:color="auto"/>
              <w:bottom w:val="single" w:sz="12" w:space="0" w:color="auto"/>
              <w:right w:val="single" w:sz="4" w:space="0" w:color="auto"/>
            </w:tcBorders>
          </w:tcPr>
          <w:p w14:paraId="6AFF2F45" w14:textId="77777777" w:rsidR="000F4E31" w:rsidRPr="000F4E31" w:rsidRDefault="000F4E31" w:rsidP="00674F82">
            <w:pPr>
              <w:spacing w:after="0" w:line="240" w:lineRule="auto"/>
              <w:jc w:val="center"/>
              <w:rPr>
                <w:b/>
                <w:bCs/>
              </w:rPr>
            </w:pPr>
            <w:r w:rsidRPr="000F4E31">
              <w:rPr>
                <w:b/>
                <w:bCs/>
              </w:rPr>
              <w:t>23%</w:t>
            </w:r>
          </w:p>
        </w:tc>
        <w:tc>
          <w:tcPr>
            <w:tcW w:w="1264" w:type="dxa"/>
            <w:tcBorders>
              <w:top w:val="single" w:sz="12" w:space="0" w:color="auto"/>
              <w:left w:val="single" w:sz="4" w:space="0" w:color="auto"/>
              <w:bottom w:val="single" w:sz="12" w:space="0" w:color="auto"/>
              <w:right w:val="single" w:sz="12" w:space="0" w:color="auto"/>
            </w:tcBorders>
          </w:tcPr>
          <w:p w14:paraId="5AC559A2" w14:textId="77777777" w:rsidR="000F4E31" w:rsidRPr="000F4E31" w:rsidRDefault="000F4E31" w:rsidP="00674F82">
            <w:pPr>
              <w:spacing w:after="0" w:line="240" w:lineRule="auto"/>
              <w:jc w:val="center"/>
              <w:rPr>
                <w:b/>
                <w:bCs/>
              </w:rPr>
            </w:pPr>
            <w:r w:rsidRPr="000F4E31">
              <w:rPr>
                <w:b/>
                <w:bCs/>
              </w:rPr>
              <w:t>26.1%</w:t>
            </w:r>
          </w:p>
        </w:tc>
      </w:tr>
    </w:tbl>
    <w:p w14:paraId="5BB7FA31" w14:textId="77777777" w:rsidR="000F4E31" w:rsidRPr="000F4E31" w:rsidRDefault="000F4E31" w:rsidP="000F4E31">
      <w:pPr>
        <w:jc w:val="center"/>
      </w:pPr>
    </w:p>
    <w:p w14:paraId="093C6EE7" w14:textId="77777777" w:rsidR="00674F82" w:rsidRDefault="00674F82" w:rsidP="000F4E31">
      <w:pPr>
        <w:jc w:val="center"/>
      </w:pPr>
    </w:p>
    <w:p w14:paraId="71C6D62E" w14:textId="77777777" w:rsidR="00674F82" w:rsidRDefault="00674F82" w:rsidP="000F4E31">
      <w:pPr>
        <w:jc w:val="center"/>
      </w:pPr>
    </w:p>
    <w:p w14:paraId="2CB4A6EB" w14:textId="77777777" w:rsidR="00674F82" w:rsidRDefault="00674F82" w:rsidP="000F4E31">
      <w:pPr>
        <w:jc w:val="center"/>
      </w:pPr>
    </w:p>
    <w:p w14:paraId="6BCF61D4" w14:textId="77777777" w:rsidR="00674F82" w:rsidRDefault="00674F82" w:rsidP="000F4E31">
      <w:pPr>
        <w:jc w:val="center"/>
      </w:pPr>
    </w:p>
    <w:p w14:paraId="3BED93C9" w14:textId="77777777" w:rsidR="00674F82" w:rsidRDefault="00674F82" w:rsidP="000F4E31">
      <w:pPr>
        <w:jc w:val="center"/>
      </w:pPr>
    </w:p>
    <w:p w14:paraId="799DF89E" w14:textId="77777777" w:rsidR="00674F82" w:rsidRDefault="00674F82" w:rsidP="000F4E31">
      <w:pPr>
        <w:jc w:val="center"/>
      </w:pPr>
    </w:p>
    <w:p w14:paraId="0E24D80B" w14:textId="77777777" w:rsidR="00674F82" w:rsidRDefault="00674F82" w:rsidP="000F4E31">
      <w:pPr>
        <w:jc w:val="center"/>
      </w:pPr>
    </w:p>
    <w:p w14:paraId="07EAF562" w14:textId="77777777" w:rsidR="00674F82" w:rsidRDefault="00674F82" w:rsidP="000F4E31">
      <w:pPr>
        <w:jc w:val="center"/>
      </w:pPr>
    </w:p>
    <w:p w14:paraId="7C021C9A" w14:textId="77777777" w:rsidR="00674F82" w:rsidRDefault="00674F82" w:rsidP="000F4E31">
      <w:pPr>
        <w:jc w:val="center"/>
      </w:pPr>
    </w:p>
    <w:p w14:paraId="20717B09" w14:textId="77777777" w:rsidR="00674F82" w:rsidRDefault="00674F82" w:rsidP="000F4E31">
      <w:pPr>
        <w:jc w:val="center"/>
      </w:pPr>
    </w:p>
    <w:p w14:paraId="0F892B4C" w14:textId="77777777" w:rsidR="00674F82" w:rsidRDefault="00674F82" w:rsidP="000F4E31">
      <w:pPr>
        <w:jc w:val="center"/>
      </w:pPr>
    </w:p>
    <w:p w14:paraId="1397F110" w14:textId="77777777" w:rsidR="00674F82" w:rsidRDefault="00674F82" w:rsidP="000F4E31">
      <w:pPr>
        <w:jc w:val="center"/>
      </w:pPr>
    </w:p>
    <w:p w14:paraId="0C8BAAA9" w14:textId="77777777" w:rsidR="00674F82" w:rsidRDefault="00674F82" w:rsidP="000F4E31">
      <w:pPr>
        <w:jc w:val="center"/>
      </w:pPr>
    </w:p>
    <w:p w14:paraId="3C0613D3" w14:textId="4707AD2E" w:rsidR="000F4E31" w:rsidRPr="000F4E31" w:rsidRDefault="000F4E31" w:rsidP="000F4E31">
      <w:pPr>
        <w:jc w:val="center"/>
        <w:sectPr w:rsidR="000F4E31" w:rsidRPr="000F4E31" w:rsidSect="000F4E31">
          <w:pgSz w:w="16838" w:h="11906" w:orient="landscape"/>
          <w:pgMar w:top="1440" w:right="1440" w:bottom="1440" w:left="1440" w:header="720" w:footer="720" w:gutter="0"/>
          <w:cols w:space="720"/>
          <w:docGrid w:linePitch="360"/>
        </w:sectPr>
      </w:pPr>
      <w:r w:rsidRPr="000F4E31">
        <w:t>Table 23 – Percentage of wills with no testators’ marks and full signatures in the Bolton-le-Sands and Prestbury wider survey.</w:t>
      </w:r>
    </w:p>
    <w:tbl>
      <w:tblPr>
        <w:tblStyle w:val="TableGrid10"/>
        <w:tblpPr w:leftFromText="180" w:rightFromText="180" w:vertAnchor="text" w:horzAnchor="margin" w:tblpY="3005"/>
        <w:tblW w:w="0" w:type="auto"/>
        <w:tblLook w:val="04A0" w:firstRow="1" w:lastRow="0" w:firstColumn="1" w:lastColumn="0" w:noHBand="0" w:noVBand="1"/>
      </w:tblPr>
      <w:tblGrid>
        <w:gridCol w:w="1497"/>
        <w:gridCol w:w="1498"/>
        <w:gridCol w:w="1500"/>
        <w:gridCol w:w="1499"/>
        <w:gridCol w:w="1501"/>
        <w:gridCol w:w="1501"/>
      </w:tblGrid>
      <w:tr w:rsidR="00674F82" w:rsidRPr="00AF364E" w14:paraId="484DF67A" w14:textId="77777777" w:rsidTr="00674F82">
        <w:tc>
          <w:tcPr>
            <w:tcW w:w="1497" w:type="dxa"/>
            <w:tcBorders>
              <w:top w:val="single" w:sz="12" w:space="0" w:color="auto"/>
              <w:left w:val="single" w:sz="12" w:space="0" w:color="auto"/>
              <w:bottom w:val="single" w:sz="12" w:space="0" w:color="auto"/>
              <w:right w:val="single" w:sz="12" w:space="0" w:color="auto"/>
            </w:tcBorders>
          </w:tcPr>
          <w:p w14:paraId="35B4651E" w14:textId="77777777" w:rsidR="00674F82" w:rsidRPr="00AF364E" w:rsidRDefault="00674F82" w:rsidP="00674F82">
            <w:pPr>
              <w:spacing w:after="0" w:line="240" w:lineRule="auto"/>
            </w:pPr>
          </w:p>
        </w:tc>
        <w:tc>
          <w:tcPr>
            <w:tcW w:w="1498" w:type="dxa"/>
            <w:tcBorders>
              <w:top w:val="single" w:sz="12" w:space="0" w:color="auto"/>
              <w:left w:val="single" w:sz="12" w:space="0" w:color="auto"/>
              <w:bottom w:val="single" w:sz="12" w:space="0" w:color="auto"/>
              <w:right w:val="single" w:sz="4" w:space="0" w:color="auto"/>
            </w:tcBorders>
          </w:tcPr>
          <w:p w14:paraId="64980CA8" w14:textId="77777777" w:rsidR="00674F82" w:rsidRPr="00AF364E" w:rsidRDefault="00674F82" w:rsidP="00674F82">
            <w:pPr>
              <w:spacing w:after="0" w:line="240" w:lineRule="auto"/>
              <w:jc w:val="center"/>
              <w:rPr>
                <w:b/>
                <w:bCs/>
              </w:rPr>
            </w:pPr>
            <w:r w:rsidRPr="00AF364E">
              <w:rPr>
                <w:b/>
                <w:bCs/>
              </w:rPr>
              <w:t>No. of Yeomen’s Wills</w:t>
            </w:r>
          </w:p>
        </w:tc>
        <w:tc>
          <w:tcPr>
            <w:tcW w:w="1500" w:type="dxa"/>
            <w:tcBorders>
              <w:top w:val="single" w:sz="12" w:space="0" w:color="auto"/>
              <w:left w:val="single" w:sz="4" w:space="0" w:color="auto"/>
              <w:bottom w:val="single" w:sz="12" w:space="0" w:color="auto"/>
              <w:right w:val="single" w:sz="4" w:space="0" w:color="auto"/>
            </w:tcBorders>
          </w:tcPr>
          <w:p w14:paraId="382A844A" w14:textId="77777777" w:rsidR="00674F82" w:rsidRPr="00AF364E" w:rsidRDefault="00674F82" w:rsidP="00674F82">
            <w:pPr>
              <w:spacing w:after="0" w:line="240" w:lineRule="auto"/>
              <w:jc w:val="center"/>
              <w:rPr>
                <w:b/>
                <w:bCs/>
              </w:rPr>
            </w:pPr>
            <w:r w:rsidRPr="00AF364E">
              <w:rPr>
                <w:b/>
                <w:bCs/>
              </w:rPr>
              <w:t>No. of Unmarked Yeomen’s Wills</w:t>
            </w:r>
          </w:p>
        </w:tc>
        <w:tc>
          <w:tcPr>
            <w:tcW w:w="1499" w:type="dxa"/>
            <w:tcBorders>
              <w:top w:val="single" w:sz="12" w:space="0" w:color="auto"/>
              <w:left w:val="single" w:sz="4" w:space="0" w:color="auto"/>
              <w:bottom w:val="single" w:sz="12" w:space="0" w:color="auto"/>
              <w:right w:val="single" w:sz="4" w:space="0" w:color="auto"/>
            </w:tcBorders>
          </w:tcPr>
          <w:p w14:paraId="5221DD01" w14:textId="77777777" w:rsidR="00674F82" w:rsidRPr="00AF364E" w:rsidRDefault="00674F82" w:rsidP="00674F82">
            <w:pPr>
              <w:spacing w:after="0" w:line="240" w:lineRule="auto"/>
              <w:jc w:val="center"/>
              <w:rPr>
                <w:b/>
                <w:bCs/>
              </w:rPr>
            </w:pPr>
            <w:r w:rsidRPr="00AF364E">
              <w:rPr>
                <w:b/>
                <w:bCs/>
              </w:rPr>
              <w:t>No. Yeomen’s Wills with Full Signature</w:t>
            </w:r>
          </w:p>
        </w:tc>
        <w:tc>
          <w:tcPr>
            <w:tcW w:w="1501" w:type="dxa"/>
            <w:tcBorders>
              <w:top w:val="single" w:sz="12" w:space="0" w:color="auto"/>
              <w:left w:val="single" w:sz="4" w:space="0" w:color="auto"/>
              <w:bottom w:val="single" w:sz="12" w:space="0" w:color="auto"/>
              <w:right w:val="single" w:sz="4" w:space="0" w:color="auto"/>
            </w:tcBorders>
          </w:tcPr>
          <w:p w14:paraId="78284C32" w14:textId="77777777" w:rsidR="00674F82" w:rsidRPr="00AF364E" w:rsidRDefault="00674F82" w:rsidP="00674F82">
            <w:pPr>
              <w:spacing w:after="0" w:line="240" w:lineRule="auto"/>
              <w:jc w:val="center"/>
              <w:rPr>
                <w:b/>
                <w:bCs/>
              </w:rPr>
            </w:pPr>
            <w:r w:rsidRPr="00AF364E">
              <w:rPr>
                <w:b/>
                <w:bCs/>
              </w:rPr>
              <w:t>Percentage of Yeomen’s Wills with Full Signature</w:t>
            </w:r>
          </w:p>
        </w:tc>
        <w:tc>
          <w:tcPr>
            <w:tcW w:w="1501" w:type="dxa"/>
            <w:tcBorders>
              <w:top w:val="single" w:sz="12" w:space="0" w:color="auto"/>
              <w:left w:val="single" w:sz="4" w:space="0" w:color="auto"/>
              <w:bottom w:val="single" w:sz="12" w:space="0" w:color="auto"/>
              <w:right w:val="single" w:sz="12" w:space="0" w:color="auto"/>
            </w:tcBorders>
          </w:tcPr>
          <w:p w14:paraId="3D001C64" w14:textId="77777777" w:rsidR="00674F82" w:rsidRPr="00AF364E" w:rsidRDefault="00674F82" w:rsidP="00674F82">
            <w:pPr>
              <w:spacing w:after="0" w:line="240" w:lineRule="auto"/>
              <w:jc w:val="center"/>
              <w:rPr>
                <w:b/>
                <w:bCs/>
              </w:rPr>
            </w:pPr>
            <w:r w:rsidRPr="00AF364E">
              <w:rPr>
                <w:b/>
                <w:bCs/>
              </w:rPr>
              <w:t>Percentage of Marked Yeomen’s Wills with Full Signature</w:t>
            </w:r>
          </w:p>
        </w:tc>
      </w:tr>
      <w:tr w:rsidR="00674F82" w:rsidRPr="00AF364E" w14:paraId="0E27D165" w14:textId="77777777" w:rsidTr="00674F82">
        <w:tc>
          <w:tcPr>
            <w:tcW w:w="1497" w:type="dxa"/>
            <w:tcBorders>
              <w:top w:val="single" w:sz="12" w:space="0" w:color="auto"/>
              <w:left w:val="single" w:sz="12" w:space="0" w:color="auto"/>
              <w:bottom w:val="single" w:sz="12" w:space="0" w:color="auto"/>
              <w:right w:val="single" w:sz="12" w:space="0" w:color="auto"/>
            </w:tcBorders>
          </w:tcPr>
          <w:p w14:paraId="71F59177" w14:textId="77777777" w:rsidR="00674F82" w:rsidRPr="00AF364E" w:rsidRDefault="00674F82" w:rsidP="00674F82">
            <w:pPr>
              <w:spacing w:after="0" w:line="240" w:lineRule="auto"/>
              <w:rPr>
                <w:b/>
                <w:bCs/>
              </w:rPr>
            </w:pPr>
            <w:r w:rsidRPr="00AF364E">
              <w:rPr>
                <w:b/>
                <w:bCs/>
              </w:rPr>
              <w:t>Bolton-le-Sands</w:t>
            </w:r>
          </w:p>
        </w:tc>
        <w:tc>
          <w:tcPr>
            <w:tcW w:w="1498" w:type="dxa"/>
            <w:tcBorders>
              <w:top w:val="single" w:sz="12" w:space="0" w:color="auto"/>
              <w:left w:val="single" w:sz="12" w:space="0" w:color="auto"/>
              <w:bottom w:val="single" w:sz="12" w:space="0" w:color="auto"/>
              <w:right w:val="single" w:sz="4" w:space="0" w:color="auto"/>
            </w:tcBorders>
          </w:tcPr>
          <w:p w14:paraId="74DA78B0" w14:textId="77777777" w:rsidR="00674F82" w:rsidRPr="00AF364E" w:rsidRDefault="00674F82" w:rsidP="00674F82">
            <w:pPr>
              <w:spacing w:after="0" w:line="240" w:lineRule="auto"/>
              <w:jc w:val="center"/>
            </w:pPr>
            <w:r w:rsidRPr="00AF364E">
              <w:t>49</w:t>
            </w:r>
          </w:p>
        </w:tc>
        <w:tc>
          <w:tcPr>
            <w:tcW w:w="1500" w:type="dxa"/>
            <w:tcBorders>
              <w:top w:val="single" w:sz="12" w:space="0" w:color="auto"/>
              <w:left w:val="single" w:sz="4" w:space="0" w:color="auto"/>
              <w:bottom w:val="single" w:sz="12" w:space="0" w:color="auto"/>
              <w:right w:val="single" w:sz="4" w:space="0" w:color="auto"/>
            </w:tcBorders>
          </w:tcPr>
          <w:p w14:paraId="7C54FEE1" w14:textId="77777777" w:rsidR="00674F82" w:rsidRPr="00AF364E" w:rsidRDefault="00674F82" w:rsidP="00674F82">
            <w:pPr>
              <w:spacing w:after="0" w:line="240" w:lineRule="auto"/>
              <w:jc w:val="center"/>
            </w:pPr>
            <w:r w:rsidRPr="00AF364E">
              <w:t>6</w:t>
            </w:r>
          </w:p>
        </w:tc>
        <w:tc>
          <w:tcPr>
            <w:tcW w:w="1499" w:type="dxa"/>
            <w:tcBorders>
              <w:top w:val="single" w:sz="12" w:space="0" w:color="auto"/>
              <w:left w:val="single" w:sz="4" w:space="0" w:color="auto"/>
              <w:bottom w:val="single" w:sz="12" w:space="0" w:color="auto"/>
              <w:right w:val="single" w:sz="4" w:space="0" w:color="auto"/>
            </w:tcBorders>
          </w:tcPr>
          <w:p w14:paraId="63C3032F" w14:textId="77777777" w:rsidR="00674F82" w:rsidRPr="00AF364E" w:rsidRDefault="00674F82" w:rsidP="00674F82">
            <w:pPr>
              <w:spacing w:after="0" w:line="240" w:lineRule="auto"/>
              <w:jc w:val="center"/>
            </w:pPr>
            <w:r w:rsidRPr="00AF364E">
              <w:t>22</w:t>
            </w:r>
          </w:p>
        </w:tc>
        <w:tc>
          <w:tcPr>
            <w:tcW w:w="1501" w:type="dxa"/>
            <w:tcBorders>
              <w:top w:val="single" w:sz="12" w:space="0" w:color="auto"/>
              <w:left w:val="single" w:sz="4" w:space="0" w:color="auto"/>
              <w:bottom w:val="single" w:sz="12" w:space="0" w:color="auto"/>
              <w:right w:val="single" w:sz="4" w:space="0" w:color="auto"/>
            </w:tcBorders>
          </w:tcPr>
          <w:p w14:paraId="4B5E0F3F" w14:textId="77777777" w:rsidR="00674F82" w:rsidRPr="00AF364E" w:rsidRDefault="00674F82" w:rsidP="00674F82">
            <w:pPr>
              <w:spacing w:after="0" w:line="240" w:lineRule="auto"/>
              <w:jc w:val="center"/>
            </w:pPr>
            <w:r w:rsidRPr="00AF364E">
              <w:t>44.9%</w:t>
            </w:r>
          </w:p>
        </w:tc>
        <w:tc>
          <w:tcPr>
            <w:tcW w:w="1501" w:type="dxa"/>
            <w:tcBorders>
              <w:top w:val="single" w:sz="12" w:space="0" w:color="auto"/>
              <w:left w:val="single" w:sz="4" w:space="0" w:color="auto"/>
              <w:bottom w:val="single" w:sz="12" w:space="0" w:color="auto"/>
              <w:right w:val="single" w:sz="12" w:space="0" w:color="auto"/>
            </w:tcBorders>
          </w:tcPr>
          <w:p w14:paraId="727BB050" w14:textId="77777777" w:rsidR="00674F82" w:rsidRPr="00AF364E" w:rsidRDefault="00674F82" w:rsidP="00674F82">
            <w:pPr>
              <w:spacing w:after="0" w:line="240" w:lineRule="auto"/>
              <w:jc w:val="center"/>
            </w:pPr>
            <w:r w:rsidRPr="00AF364E">
              <w:t>51.2%</w:t>
            </w:r>
          </w:p>
        </w:tc>
      </w:tr>
      <w:tr w:rsidR="00674F82" w:rsidRPr="00AF364E" w14:paraId="43BC18BE" w14:textId="77777777" w:rsidTr="00674F82">
        <w:tc>
          <w:tcPr>
            <w:tcW w:w="1497" w:type="dxa"/>
            <w:tcBorders>
              <w:top w:val="single" w:sz="12" w:space="0" w:color="auto"/>
              <w:left w:val="single" w:sz="12" w:space="0" w:color="auto"/>
              <w:bottom w:val="single" w:sz="12" w:space="0" w:color="auto"/>
              <w:right w:val="single" w:sz="12" w:space="0" w:color="auto"/>
            </w:tcBorders>
          </w:tcPr>
          <w:p w14:paraId="2898CB90" w14:textId="77777777" w:rsidR="00674F82" w:rsidRPr="00AF364E" w:rsidRDefault="00674F82" w:rsidP="00674F82">
            <w:pPr>
              <w:spacing w:after="0" w:line="240" w:lineRule="auto"/>
              <w:rPr>
                <w:b/>
                <w:bCs/>
              </w:rPr>
            </w:pPr>
            <w:r w:rsidRPr="00AF364E">
              <w:rPr>
                <w:b/>
                <w:bCs/>
              </w:rPr>
              <w:t>Prestbury</w:t>
            </w:r>
          </w:p>
        </w:tc>
        <w:tc>
          <w:tcPr>
            <w:tcW w:w="1498" w:type="dxa"/>
            <w:tcBorders>
              <w:top w:val="single" w:sz="12" w:space="0" w:color="auto"/>
              <w:left w:val="single" w:sz="12" w:space="0" w:color="auto"/>
              <w:bottom w:val="single" w:sz="12" w:space="0" w:color="auto"/>
              <w:right w:val="single" w:sz="4" w:space="0" w:color="auto"/>
            </w:tcBorders>
          </w:tcPr>
          <w:p w14:paraId="08C60BD0" w14:textId="77777777" w:rsidR="00674F82" w:rsidRPr="00AF364E" w:rsidRDefault="00674F82" w:rsidP="00674F82">
            <w:pPr>
              <w:spacing w:after="0" w:line="240" w:lineRule="auto"/>
              <w:jc w:val="center"/>
            </w:pPr>
            <w:r w:rsidRPr="00AF364E">
              <w:t>43</w:t>
            </w:r>
          </w:p>
        </w:tc>
        <w:tc>
          <w:tcPr>
            <w:tcW w:w="1500" w:type="dxa"/>
            <w:tcBorders>
              <w:top w:val="single" w:sz="12" w:space="0" w:color="auto"/>
              <w:left w:val="single" w:sz="4" w:space="0" w:color="auto"/>
              <w:bottom w:val="single" w:sz="12" w:space="0" w:color="auto"/>
              <w:right w:val="single" w:sz="4" w:space="0" w:color="auto"/>
            </w:tcBorders>
          </w:tcPr>
          <w:p w14:paraId="30BFDC64" w14:textId="77777777" w:rsidR="00674F82" w:rsidRPr="00AF364E" w:rsidRDefault="00674F82" w:rsidP="00674F82">
            <w:pPr>
              <w:spacing w:after="0" w:line="240" w:lineRule="auto"/>
              <w:jc w:val="center"/>
            </w:pPr>
            <w:r w:rsidRPr="00AF364E">
              <w:t>5</w:t>
            </w:r>
          </w:p>
        </w:tc>
        <w:tc>
          <w:tcPr>
            <w:tcW w:w="1499" w:type="dxa"/>
            <w:tcBorders>
              <w:top w:val="single" w:sz="12" w:space="0" w:color="auto"/>
              <w:left w:val="single" w:sz="4" w:space="0" w:color="auto"/>
              <w:bottom w:val="single" w:sz="12" w:space="0" w:color="auto"/>
              <w:right w:val="single" w:sz="4" w:space="0" w:color="auto"/>
            </w:tcBorders>
          </w:tcPr>
          <w:p w14:paraId="4B76BA26" w14:textId="77777777" w:rsidR="00674F82" w:rsidRPr="00AF364E" w:rsidRDefault="00674F82" w:rsidP="00674F82">
            <w:pPr>
              <w:spacing w:after="0" w:line="240" w:lineRule="auto"/>
              <w:jc w:val="center"/>
            </w:pPr>
            <w:r w:rsidRPr="00AF364E">
              <w:t>10</w:t>
            </w:r>
          </w:p>
        </w:tc>
        <w:tc>
          <w:tcPr>
            <w:tcW w:w="1501" w:type="dxa"/>
            <w:tcBorders>
              <w:top w:val="single" w:sz="12" w:space="0" w:color="auto"/>
              <w:left w:val="single" w:sz="4" w:space="0" w:color="auto"/>
              <w:bottom w:val="single" w:sz="12" w:space="0" w:color="auto"/>
              <w:right w:val="single" w:sz="4" w:space="0" w:color="auto"/>
            </w:tcBorders>
          </w:tcPr>
          <w:p w14:paraId="24D02B22" w14:textId="77777777" w:rsidR="00674F82" w:rsidRPr="00AF364E" w:rsidRDefault="00674F82" w:rsidP="00674F82">
            <w:pPr>
              <w:spacing w:after="0" w:line="240" w:lineRule="auto"/>
              <w:jc w:val="center"/>
            </w:pPr>
            <w:r w:rsidRPr="00AF364E">
              <w:t>23.2%</w:t>
            </w:r>
          </w:p>
        </w:tc>
        <w:tc>
          <w:tcPr>
            <w:tcW w:w="1501" w:type="dxa"/>
            <w:tcBorders>
              <w:top w:val="single" w:sz="12" w:space="0" w:color="auto"/>
              <w:left w:val="single" w:sz="4" w:space="0" w:color="auto"/>
              <w:bottom w:val="single" w:sz="12" w:space="0" w:color="auto"/>
              <w:right w:val="single" w:sz="12" w:space="0" w:color="auto"/>
            </w:tcBorders>
          </w:tcPr>
          <w:p w14:paraId="61137D55" w14:textId="77777777" w:rsidR="00674F82" w:rsidRPr="00AF364E" w:rsidRDefault="00674F82" w:rsidP="00674F82">
            <w:pPr>
              <w:spacing w:after="0" w:line="240" w:lineRule="auto"/>
              <w:jc w:val="center"/>
            </w:pPr>
            <w:r w:rsidRPr="00AF364E">
              <w:t>26.3%</w:t>
            </w:r>
          </w:p>
        </w:tc>
      </w:tr>
    </w:tbl>
    <w:p w14:paraId="00DD5280" w14:textId="77777777" w:rsidR="00AF364E" w:rsidRPr="00AF364E" w:rsidRDefault="00AF364E" w:rsidP="00AF364E">
      <w:pPr>
        <w:jc w:val="center"/>
      </w:pPr>
    </w:p>
    <w:p w14:paraId="126153D4" w14:textId="77777777" w:rsidR="00674F82" w:rsidRDefault="00674F82" w:rsidP="00AF364E">
      <w:pPr>
        <w:jc w:val="center"/>
      </w:pPr>
    </w:p>
    <w:p w14:paraId="498C1929" w14:textId="77777777" w:rsidR="00674F82" w:rsidRDefault="00674F82" w:rsidP="00AF364E">
      <w:pPr>
        <w:jc w:val="center"/>
      </w:pPr>
    </w:p>
    <w:p w14:paraId="189F34CE" w14:textId="77777777" w:rsidR="00674F82" w:rsidRDefault="00674F82" w:rsidP="00AF364E">
      <w:pPr>
        <w:jc w:val="center"/>
      </w:pPr>
    </w:p>
    <w:p w14:paraId="1F35A79F" w14:textId="77777777" w:rsidR="00674F82" w:rsidRDefault="00674F82" w:rsidP="00AF364E">
      <w:pPr>
        <w:jc w:val="center"/>
      </w:pPr>
    </w:p>
    <w:p w14:paraId="1AB8F55C" w14:textId="77777777" w:rsidR="00674F82" w:rsidRDefault="00674F82" w:rsidP="00AF364E">
      <w:pPr>
        <w:jc w:val="center"/>
      </w:pPr>
    </w:p>
    <w:p w14:paraId="36F63F37" w14:textId="77777777" w:rsidR="00674F82" w:rsidRDefault="00674F82" w:rsidP="00AF364E">
      <w:pPr>
        <w:jc w:val="center"/>
      </w:pPr>
    </w:p>
    <w:p w14:paraId="5F371540" w14:textId="44A988EA" w:rsidR="00AF364E" w:rsidRDefault="00AF364E" w:rsidP="00AF364E">
      <w:pPr>
        <w:jc w:val="center"/>
        <w:sectPr w:rsidR="00AF364E" w:rsidSect="00400A61">
          <w:pgSz w:w="11906" w:h="16838"/>
          <w:pgMar w:top="1440" w:right="1440" w:bottom="1440" w:left="1440" w:header="720" w:footer="720" w:gutter="0"/>
          <w:cols w:space="720"/>
          <w:docGrid w:linePitch="360"/>
        </w:sectPr>
      </w:pPr>
      <w:r w:rsidRPr="00AF364E">
        <w:t>Table 24 – Proportion of yeomen’s wills with full signatures in the Bolton-le-Sands and Prestbury wider survey, calculated both as a proportion of the full survey and as a proportion of wills with</w:t>
      </w:r>
      <w:r w:rsidRPr="00AF364E">
        <w:rPr>
          <w:i/>
          <w:iCs/>
        </w:rPr>
        <w:t xml:space="preserve"> any</w:t>
      </w:r>
      <w:r w:rsidRPr="00AF364E">
        <w:t xml:space="preserve"> marks added by testators.</w:t>
      </w:r>
    </w:p>
    <w:tbl>
      <w:tblPr>
        <w:tblStyle w:val="TableGrid11"/>
        <w:tblpPr w:leftFromText="180" w:rightFromText="180" w:vertAnchor="page" w:horzAnchor="margin" w:tblpXSpec="center" w:tblpY="3001"/>
        <w:tblW w:w="0" w:type="auto"/>
        <w:tblLayout w:type="fixed"/>
        <w:tblLook w:val="04A0" w:firstRow="1" w:lastRow="0" w:firstColumn="1" w:lastColumn="0" w:noHBand="0" w:noVBand="1"/>
      </w:tblPr>
      <w:tblGrid>
        <w:gridCol w:w="1800"/>
        <w:gridCol w:w="1871"/>
        <w:gridCol w:w="1559"/>
        <w:gridCol w:w="1701"/>
        <w:gridCol w:w="1701"/>
        <w:gridCol w:w="1701"/>
        <w:gridCol w:w="1843"/>
      </w:tblGrid>
      <w:tr w:rsidR="00185AB7" w:rsidRPr="00185AB7" w14:paraId="77C2DBDB" w14:textId="77777777" w:rsidTr="00674F82">
        <w:tc>
          <w:tcPr>
            <w:tcW w:w="1800" w:type="dxa"/>
            <w:vMerge w:val="restart"/>
            <w:tcBorders>
              <w:top w:val="single" w:sz="12" w:space="0" w:color="auto"/>
              <w:left w:val="single" w:sz="12" w:space="0" w:color="auto"/>
              <w:right w:val="single" w:sz="12" w:space="0" w:color="auto"/>
            </w:tcBorders>
          </w:tcPr>
          <w:p w14:paraId="588FCFE4" w14:textId="77777777" w:rsidR="00185AB7" w:rsidRPr="00185AB7" w:rsidRDefault="00185AB7" w:rsidP="00674F82">
            <w:pPr>
              <w:spacing w:after="0" w:line="240" w:lineRule="auto"/>
            </w:pPr>
          </w:p>
        </w:tc>
        <w:tc>
          <w:tcPr>
            <w:tcW w:w="5131" w:type="dxa"/>
            <w:gridSpan w:val="3"/>
            <w:tcBorders>
              <w:top w:val="single" w:sz="12" w:space="0" w:color="auto"/>
              <w:left w:val="single" w:sz="12" w:space="0" w:color="auto"/>
              <w:bottom w:val="single" w:sz="4" w:space="0" w:color="auto"/>
              <w:right w:val="single" w:sz="12" w:space="0" w:color="auto"/>
            </w:tcBorders>
          </w:tcPr>
          <w:p w14:paraId="20274382" w14:textId="77777777" w:rsidR="00185AB7" w:rsidRPr="00185AB7" w:rsidRDefault="00185AB7" w:rsidP="00674F82">
            <w:pPr>
              <w:spacing w:after="0" w:line="240" w:lineRule="auto"/>
              <w:jc w:val="center"/>
              <w:rPr>
                <w:b/>
                <w:bCs/>
              </w:rPr>
            </w:pPr>
            <w:r w:rsidRPr="00185AB7">
              <w:rPr>
                <w:b/>
                <w:bCs/>
              </w:rPr>
              <w:t>Bolton-le-Sands</w:t>
            </w:r>
          </w:p>
        </w:tc>
        <w:tc>
          <w:tcPr>
            <w:tcW w:w="5245" w:type="dxa"/>
            <w:gridSpan w:val="3"/>
            <w:tcBorders>
              <w:top w:val="single" w:sz="12" w:space="0" w:color="auto"/>
              <w:left w:val="single" w:sz="12" w:space="0" w:color="auto"/>
              <w:bottom w:val="single" w:sz="12" w:space="0" w:color="auto"/>
              <w:right w:val="single" w:sz="12" w:space="0" w:color="auto"/>
            </w:tcBorders>
          </w:tcPr>
          <w:p w14:paraId="1D55985D" w14:textId="77777777" w:rsidR="00185AB7" w:rsidRPr="00185AB7" w:rsidRDefault="00185AB7" w:rsidP="00674F82">
            <w:pPr>
              <w:spacing w:after="0" w:line="240" w:lineRule="auto"/>
              <w:jc w:val="center"/>
              <w:rPr>
                <w:b/>
                <w:bCs/>
              </w:rPr>
            </w:pPr>
            <w:r w:rsidRPr="00185AB7">
              <w:rPr>
                <w:b/>
                <w:bCs/>
              </w:rPr>
              <w:t>Prestbury</w:t>
            </w:r>
          </w:p>
        </w:tc>
      </w:tr>
      <w:tr w:rsidR="00185AB7" w:rsidRPr="00185AB7" w14:paraId="63B791C3" w14:textId="77777777" w:rsidTr="00674F82">
        <w:tc>
          <w:tcPr>
            <w:tcW w:w="1800" w:type="dxa"/>
            <w:vMerge/>
            <w:tcBorders>
              <w:left w:val="single" w:sz="12" w:space="0" w:color="auto"/>
              <w:bottom w:val="single" w:sz="12" w:space="0" w:color="auto"/>
              <w:right w:val="single" w:sz="12" w:space="0" w:color="auto"/>
            </w:tcBorders>
          </w:tcPr>
          <w:p w14:paraId="097969FB" w14:textId="77777777" w:rsidR="00185AB7" w:rsidRPr="00185AB7" w:rsidRDefault="00185AB7" w:rsidP="00674F82">
            <w:pPr>
              <w:spacing w:after="0" w:line="240" w:lineRule="auto"/>
            </w:pPr>
          </w:p>
        </w:tc>
        <w:tc>
          <w:tcPr>
            <w:tcW w:w="1871" w:type="dxa"/>
            <w:tcBorders>
              <w:top w:val="single" w:sz="4" w:space="0" w:color="auto"/>
              <w:left w:val="single" w:sz="12" w:space="0" w:color="auto"/>
              <w:bottom w:val="single" w:sz="12" w:space="0" w:color="auto"/>
            </w:tcBorders>
          </w:tcPr>
          <w:p w14:paraId="11E37AC2" w14:textId="77777777" w:rsidR="00185AB7" w:rsidRPr="00185AB7" w:rsidRDefault="00185AB7" w:rsidP="00674F82">
            <w:pPr>
              <w:spacing w:after="0" w:line="240" w:lineRule="auto"/>
              <w:jc w:val="center"/>
              <w:rPr>
                <w:b/>
                <w:bCs/>
              </w:rPr>
            </w:pPr>
            <w:r w:rsidRPr="00185AB7">
              <w:rPr>
                <w:b/>
                <w:bCs/>
              </w:rPr>
              <w:t>No. of Wills</w:t>
            </w:r>
          </w:p>
        </w:tc>
        <w:tc>
          <w:tcPr>
            <w:tcW w:w="3260" w:type="dxa"/>
            <w:gridSpan w:val="2"/>
            <w:tcBorders>
              <w:top w:val="single" w:sz="4" w:space="0" w:color="auto"/>
              <w:bottom w:val="single" w:sz="12" w:space="0" w:color="auto"/>
              <w:right w:val="single" w:sz="12" w:space="0" w:color="auto"/>
            </w:tcBorders>
          </w:tcPr>
          <w:p w14:paraId="5EE91D45" w14:textId="77777777" w:rsidR="00185AB7" w:rsidRPr="00185AB7" w:rsidRDefault="00185AB7" w:rsidP="00674F82">
            <w:pPr>
              <w:spacing w:after="0" w:line="240" w:lineRule="auto"/>
              <w:jc w:val="center"/>
              <w:rPr>
                <w:b/>
                <w:bCs/>
              </w:rPr>
            </w:pPr>
            <w:r w:rsidRPr="00185AB7">
              <w:rPr>
                <w:b/>
                <w:bCs/>
              </w:rPr>
              <w:t>Percentage of Marked Wills</w:t>
            </w:r>
          </w:p>
        </w:tc>
        <w:tc>
          <w:tcPr>
            <w:tcW w:w="1701" w:type="dxa"/>
            <w:tcBorders>
              <w:top w:val="single" w:sz="12" w:space="0" w:color="auto"/>
              <w:left w:val="single" w:sz="12" w:space="0" w:color="auto"/>
              <w:bottom w:val="single" w:sz="12" w:space="0" w:color="auto"/>
            </w:tcBorders>
          </w:tcPr>
          <w:p w14:paraId="3014D422" w14:textId="77777777" w:rsidR="00185AB7" w:rsidRPr="00185AB7" w:rsidRDefault="00185AB7" w:rsidP="00674F82">
            <w:pPr>
              <w:spacing w:after="0" w:line="240" w:lineRule="auto"/>
              <w:jc w:val="center"/>
              <w:rPr>
                <w:b/>
                <w:bCs/>
              </w:rPr>
            </w:pPr>
            <w:r w:rsidRPr="00185AB7">
              <w:rPr>
                <w:b/>
                <w:bCs/>
              </w:rPr>
              <w:t>No. of Wills</w:t>
            </w:r>
          </w:p>
        </w:tc>
        <w:tc>
          <w:tcPr>
            <w:tcW w:w="3544" w:type="dxa"/>
            <w:gridSpan w:val="2"/>
            <w:tcBorders>
              <w:top w:val="single" w:sz="12" w:space="0" w:color="auto"/>
              <w:bottom w:val="single" w:sz="12" w:space="0" w:color="auto"/>
              <w:right w:val="single" w:sz="12" w:space="0" w:color="auto"/>
            </w:tcBorders>
          </w:tcPr>
          <w:p w14:paraId="2A1ADDB1" w14:textId="77777777" w:rsidR="00185AB7" w:rsidRPr="00185AB7" w:rsidRDefault="00185AB7" w:rsidP="00674F82">
            <w:pPr>
              <w:spacing w:after="0" w:line="240" w:lineRule="auto"/>
              <w:jc w:val="center"/>
              <w:rPr>
                <w:b/>
                <w:bCs/>
              </w:rPr>
            </w:pPr>
            <w:r w:rsidRPr="00185AB7">
              <w:rPr>
                <w:b/>
                <w:bCs/>
              </w:rPr>
              <w:t>Percentage of Marked Wills</w:t>
            </w:r>
          </w:p>
        </w:tc>
      </w:tr>
      <w:tr w:rsidR="00185AB7" w:rsidRPr="00185AB7" w14:paraId="701E26CB" w14:textId="77777777" w:rsidTr="00674F82">
        <w:tc>
          <w:tcPr>
            <w:tcW w:w="1800" w:type="dxa"/>
            <w:tcBorders>
              <w:top w:val="single" w:sz="12" w:space="0" w:color="auto"/>
              <w:left w:val="single" w:sz="12" w:space="0" w:color="auto"/>
              <w:right w:val="single" w:sz="12" w:space="0" w:color="auto"/>
            </w:tcBorders>
          </w:tcPr>
          <w:p w14:paraId="145FC41A" w14:textId="77777777" w:rsidR="00185AB7" w:rsidRPr="00185AB7" w:rsidRDefault="00185AB7" w:rsidP="00674F82">
            <w:pPr>
              <w:spacing w:after="0" w:line="240" w:lineRule="auto"/>
              <w:rPr>
                <w:b/>
                <w:bCs/>
              </w:rPr>
            </w:pPr>
            <w:r w:rsidRPr="00185AB7">
              <w:rPr>
                <w:b/>
                <w:bCs/>
              </w:rPr>
              <w:t>No Mark</w:t>
            </w:r>
          </w:p>
        </w:tc>
        <w:tc>
          <w:tcPr>
            <w:tcW w:w="1871" w:type="dxa"/>
            <w:tcBorders>
              <w:top w:val="single" w:sz="12" w:space="0" w:color="auto"/>
              <w:left w:val="single" w:sz="12" w:space="0" w:color="auto"/>
            </w:tcBorders>
          </w:tcPr>
          <w:p w14:paraId="38F2E041" w14:textId="77777777" w:rsidR="00185AB7" w:rsidRPr="00185AB7" w:rsidRDefault="00185AB7" w:rsidP="00674F82">
            <w:pPr>
              <w:spacing w:after="0" w:line="240" w:lineRule="auto"/>
              <w:jc w:val="center"/>
            </w:pPr>
            <w:r w:rsidRPr="00185AB7">
              <w:t>16</w:t>
            </w:r>
          </w:p>
        </w:tc>
        <w:tc>
          <w:tcPr>
            <w:tcW w:w="1559" w:type="dxa"/>
            <w:tcBorders>
              <w:top w:val="single" w:sz="12" w:space="0" w:color="auto"/>
              <w:right w:val="single" w:sz="4" w:space="0" w:color="auto"/>
            </w:tcBorders>
          </w:tcPr>
          <w:p w14:paraId="5891EA0A" w14:textId="77777777" w:rsidR="00185AB7" w:rsidRPr="00185AB7" w:rsidRDefault="00185AB7" w:rsidP="00674F82">
            <w:pPr>
              <w:spacing w:after="0" w:line="240" w:lineRule="auto"/>
              <w:jc w:val="center"/>
            </w:pPr>
            <w:r w:rsidRPr="00185AB7">
              <w:t>-</w:t>
            </w:r>
          </w:p>
        </w:tc>
        <w:tc>
          <w:tcPr>
            <w:tcW w:w="1701" w:type="dxa"/>
            <w:vMerge w:val="restart"/>
            <w:tcBorders>
              <w:top w:val="single" w:sz="12" w:space="0" w:color="auto"/>
              <w:left w:val="single" w:sz="4" w:space="0" w:color="auto"/>
              <w:right w:val="single" w:sz="12" w:space="0" w:color="auto"/>
            </w:tcBorders>
          </w:tcPr>
          <w:p w14:paraId="70CC65F6" w14:textId="77777777" w:rsidR="00185AB7" w:rsidRPr="00185AB7" w:rsidRDefault="00185AB7" w:rsidP="00674F82">
            <w:pPr>
              <w:spacing w:after="0" w:line="240" w:lineRule="auto"/>
            </w:pPr>
            <w:r w:rsidRPr="00185AB7">
              <w:rPr>
                <w:noProof/>
              </w:rPr>
              <mc:AlternateContent>
                <mc:Choice Requires="wps">
                  <w:drawing>
                    <wp:anchor distT="45720" distB="45720" distL="114300" distR="114300" simplePos="0" relativeHeight="251736064" behindDoc="0" locked="0" layoutInCell="1" allowOverlap="1" wp14:anchorId="51F78A92" wp14:editId="208BDC5B">
                      <wp:simplePos x="0" y="0"/>
                      <wp:positionH relativeFrom="column">
                        <wp:posOffset>530225</wp:posOffset>
                      </wp:positionH>
                      <wp:positionV relativeFrom="paragraph">
                        <wp:posOffset>541655</wp:posOffset>
                      </wp:positionV>
                      <wp:extent cx="571500" cy="314325"/>
                      <wp:effectExtent l="0" t="0" r="0" b="0"/>
                      <wp:wrapNone/>
                      <wp:docPr id="1145486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14325"/>
                              </a:xfrm>
                              <a:prstGeom prst="rect">
                                <a:avLst/>
                              </a:prstGeom>
                              <a:noFill/>
                              <a:ln w="9525">
                                <a:noFill/>
                                <a:miter lim="800000"/>
                                <a:headEnd/>
                                <a:tailEnd/>
                              </a:ln>
                            </wps:spPr>
                            <wps:txbx>
                              <w:txbxContent>
                                <w:p w14:paraId="3F84729D" w14:textId="77777777" w:rsidR="00185AB7" w:rsidRPr="0075440C" w:rsidRDefault="00185AB7" w:rsidP="00185AB7">
                                  <w:pPr>
                                    <w:rPr>
                                      <w:sz w:val="20"/>
                                      <w:szCs w:val="20"/>
                                    </w:rPr>
                                  </w:pPr>
                                  <w:r>
                                    <w:rPr>
                                      <w:sz w:val="20"/>
                                      <w:szCs w:val="20"/>
                                    </w:rPr>
                                    <w:t>92.8</w:t>
                                  </w:r>
                                  <w:r w:rsidRPr="0075440C">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8359EA8">
                    <v:shape id="_x0000_s1054" style="position:absolute;margin-left:41.75pt;margin-top:42.65pt;width:45pt;height:24.7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" w14:anchorId="51F78A92">
                      <v:textbox>
                        <w:txbxContent>
                          <w:p w:rsidRPr="0075440C" w:rsidR="00185AB7" w:rsidP="00185AB7" w:rsidRDefault="00185AB7" w14:paraId="692B005B" w14:textId="77777777">
                            <w:pPr>
                              <w:rPr>
                                <w:sz w:val="20"/>
                                <w:szCs w:val="20"/>
                              </w:rPr>
                            </w:pPr>
                            <w:r>
                              <w:rPr>
                                <w:sz w:val="20"/>
                                <w:szCs w:val="20"/>
                              </w:rPr>
                              <w:t>92.8</w:t>
                            </w:r>
                            <w:r w:rsidRPr="0075440C">
                              <w:rPr>
                                <w:sz w:val="20"/>
                                <w:szCs w:val="20"/>
                              </w:rPr>
                              <w:t>%</w:t>
                            </w:r>
                          </w:p>
                        </w:txbxContent>
                      </v:textbox>
                    </v:shape>
                  </w:pict>
                </mc:Fallback>
              </mc:AlternateContent>
            </w:r>
            <w:r w:rsidRPr="00185AB7">
              <w:rPr>
                <w:noProof/>
              </w:rPr>
              <mc:AlternateContent>
                <mc:Choice Requires="wps">
                  <w:drawing>
                    <wp:anchor distT="0" distB="0" distL="114300" distR="114300" simplePos="0" relativeHeight="251737088" behindDoc="0" locked="0" layoutInCell="1" allowOverlap="1" wp14:anchorId="30915651" wp14:editId="52A9314C">
                      <wp:simplePos x="0" y="0"/>
                      <wp:positionH relativeFrom="column">
                        <wp:posOffset>425450</wp:posOffset>
                      </wp:positionH>
                      <wp:positionV relativeFrom="paragraph">
                        <wp:posOffset>208915</wp:posOffset>
                      </wp:positionV>
                      <wp:extent cx="171450" cy="923925"/>
                      <wp:effectExtent l="0" t="0" r="19050" b="28575"/>
                      <wp:wrapNone/>
                      <wp:docPr id="968054246" name="Right Brace 1"/>
                      <wp:cNvGraphicFramePr/>
                      <a:graphic xmlns:a="http://schemas.openxmlformats.org/drawingml/2006/main">
                        <a:graphicData uri="http://schemas.microsoft.com/office/word/2010/wordprocessingShape">
                          <wps:wsp>
                            <wps:cNvSpPr/>
                            <wps:spPr>
                              <a:xfrm>
                                <a:off x="0" y="0"/>
                                <a:ext cx="171450" cy="92392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55382E7">
                    <v:shapetype id="_x0000_t88" coordsize="21600,21600" filled="f" o:spt="88" adj="1800,10800" path="m,qx10800@0l10800@2qy21600@11,10800@3l10800@1qy,21600e" w14:anchorId="0AACCF4C">
                      <v:formulas>
                        <v:f eqn="val #0"/>
                        <v:f eqn="sum 21600 0 #0"/>
                        <v:f eqn="sum #1 0 #0"/>
                        <v:f eqn="sum #1 #0 0"/>
                        <v:f eqn="prod #0 9598 32768"/>
                        <v:f eqn="sum 21600 0 @4"/>
                        <v:f eqn="sum 21600 0 #1"/>
                        <v:f eqn="min #1 @6"/>
                        <v:f eqn="prod @7 1 2"/>
                        <v:f eqn="prod #0 2 1"/>
                        <v:f eqn="sum 21600 0 @9"/>
                        <v:f eqn="val #1"/>
                      </v:formulas>
                      <v:path textboxrect="0,@4,7637,@5" arrowok="t" o:connecttype="custom" o:connectlocs="0,0;21600,@11;0,21600"/>
                      <v:handles>
                        <v:h position="center,#0" yrange="0,@8"/>
                        <v:h position="bottomRight,#1" yrange="@9,@10"/>
                      </v:handles>
                    </v:shapetype>
                    <v:shape id="Right Brace 1" style="position:absolute;margin-left:33.5pt;margin-top:16.45pt;width:13.5pt;height:72.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156082" strokeweight=".5pt" type="#_x0000_t88" adj="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">
                      <v:stroke joinstyle="miter"/>
                    </v:shape>
                  </w:pict>
                </mc:Fallback>
              </mc:AlternateContent>
            </w:r>
            <w:r w:rsidRPr="00185AB7">
              <w:rPr>
                <w:noProof/>
              </w:rPr>
              <mc:AlternateContent>
                <mc:Choice Requires="wps">
                  <w:drawing>
                    <wp:anchor distT="45720" distB="45720" distL="114300" distR="114300" simplePos="0" relativeHeight="251735040" behindDoc="0" locked="0" layoutInCell="1" allowOverlap="1" wp14:anchorId="3FD52293" wp14:editId="6E9C45CE">
                      <wp:simplePos x="0" y="0"/>
                      <wp:positionH relativeFrom="column">
                        <wp:posOffset>36830</wp:posOffset>
                      </wp:positionH>
                      <wp:positionV relativeFrom="paragraph">
                        <wp:posOffset>470535</wp:posOffset>
                      </wp:positionV>
                      <wp:extent cx="571500" cy="314325"/>
                      <wp:effectExtent l="0" t="0" r="0" b="0"/>
                      <wp:wrapNone/>
                      <wp:docPr id="4516240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14325"/>
                              </a:xfrm>
                              <a:prstGeom prst="rect">
                                <a:avLst/>
                              </a:prstGeom>
                              <a:noFill/>
                              <a:ln w="9525">
                                <a:noFill/>
                                <a:miter lim="800000"/>
                                <a:headEnd/>
                                <a:tailEnd/>
                              </a:ln>
                            </wps:spPr>
                            <wps:txbx>
                              <w:txbxContent>
                                <w:p w14:paraId="572DB85E" w14:textId="77777777" w:rsidR="00185AB7" w:rsidRPr="0075440C" w:rsidRDefault="00185AB7" w:rsidP="00185AB7">
                                  <w:pPr>
                                    <w:rPr>
                                      <w:sz w:val="20"/>
                                      <w:szCs w:val="20"/>
                                    </w:rPr>
                                  </w:pPr>
                                  <w:r w:rsidRPr="0075440C">
                                    <w:rPr>
                                      <w:sz w:val="20"/>
                                      <w:szCs w:val="20"/>
                                    </w:rPr>
                                    <w:t>86.7%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A511B1B">
                    <v:shape id="_x0000_s1055" style="position:absolute;margin-left:2.9pt;margin-top:37.05pt;width:45pt;height:24.7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" w14:anchorId="3FD52293">
                      <v:textbox>
                        <w:txbxContent>
                          <w:p w:rsidRPr="0075440C" w:rsidR="00185AB7" w:rsidP="00185AB7" w:rsidRDefault="00185AB7" w14:paraId="50E54D6D" w14:textId="77777777">
                            <w:pPr>
                              <w:rPr>
                                <w:sz w:val="20"/>
                                <w:szCs w:val="20"/>
                              </w:rPr>
                            </w:pPr>
                            <w:r w:rsidRPr="0075440C">
                              <w:rPr>
                                <w:sz w:val="20"/>
                                <w:szCs w:val="20"/>
                              </w:rPr>
                              <w:t>86.7%</w:t>
                            </w:r>
                          </w:p>
                        </w:txbxContent>
                      </v:textbox>
                    </v:shape>
                  </w:pict>
                </mc:Fallback>
              </mc:AlternateContent>
            </w:r>
            <w:r w:rsidRPr="00185AB7">
              <w:rPr>
                <w:noProof/>
              </w:rPr>
              <mc:AlternateContent>
                <mc:Choice Requires="wps">
                  <w:drawing>
                    <wp:anchor distT="0" distB="0" distL="114300" distR="114300" simplePos="0" relativeHeight="251734016" behindDoc="0" locked="0" layoutInCell="1" allowOverlap="1" wp14:anchorId="7C2ED8F5" wp14:editId="2C462937">
                      <wp:simplePos x="0" y="0"/>
                      <wp:positionH relativeFrom="column">
                        <wp:posOffset>-41274</wp:posOffset>
                      </wp:positionH>
                      <wp:positionV relativeFrom="paragraph">
                        <wp:posOffset>227964</wp:posOffset>
                      </wp:positionV>
                      <wp:extent cx="152400" cy="733425"/>
                      <wp:effectExtent l="0" t="0" r="28575" b="28575"/>
                      <wp:wrapNone/>
                      <wp:docPr id="1017629854" name="Right Brace 1"/>
                      <wp:cNvGraphicFramePr/>
                      <a:graphic xmlns:a="http://schemas.openxmlformats.org/drawingml/2006/main">
                        <a:graphicData uri="http://schemas.microsoft.com/office/word/2010/wordprocessingShape">
                          <wps:wsp>
                            <wps:cNvSpPr/>
                            <wps:spPr>
                              <a:xfrm>
                                <a:off x="0" y="0"/>
                                <a:ext cx="152400" cy="73342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CD1B545">
                    <v:shape id="Right Brace 1" style="position:absolute;margin-left:-3.25pt;margin-top:17.95pt;width:12pt;height:57.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156082" strokeweight=".5pt" type="#_x0000_t88" adj="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" w14:anchorId="1ECEA6A0">
                      <v:stroke joinstyle="miter"/>
                    </v:shape>
                  </w:pict>
                </mc:Fallback>
              </mc:AlternateContent>
            </w:r>
          </w:p>
        </w:tc>
        <w:tc>
          <w:tcPr>
            <w:tcW w:w="1701" w:type="dxa"/>
            <w:tcBorders>
              <w:top w:val="single" w:sz="12" w:space="0" w:color="auto"/>
              <w:left w:val="single" w:sz="12" w:space="0" w:color="auto"/>
            </w:tcBorders>
          </w:tcPr>
          <w:p w14:paraId="6C707085" w14:textId="77777777" w:rsidR="00185AB7" w:rsidRPr="00185AB7" w:rsidRDefault="00185AB7" w:rsidP="00674F82">
            <w:pPr>
              <w:spacing w:after="0" w:line="240" w:lineRule="auto"/>
              <w:jc w:val="center"/>
            </w:pPr>
            <w:r w:rsidRPr="00185AB7">
              <w:t>11</w:t>
            </w:r>
          </w:p>
        </w:tc>
        <w:tc>
          <w:tcPr>
            <w:tcW w:w="1701" w:type="dxa"/>
            <w:tcBorders>
              <w:top w:val="single" w:sz="12" w:space="0" w:color="auto"/>
              <w:right w:val="single" w:sz="4" w:space="0" w:color="auto"/>
            </w:tcBorders>
          </w:tcPr>
          <w:p w14:paraId="30999CB9" w14:textId="77777777" w:rsidR="00185AB7" w:rsidRPr="00185AB7" w:rsidRDefault="00185AB7" w:rsidP="00674F82">
            <w:pPr>
              <w:spacing w:after="0" w:line="240" w:lineRule="auto"/>
              <w:jc w:val="center"/>
            </w:pPr>
            <w:r w:rsidRPr="00185AB7">
              <w:t>-</w:t>
            </w:r>
          </w:p>
        </w:tc>
        <w:tc>
          <w:tcPr>
            <w:tcW w:w="1843" w:type="dxa"/>
            <w:vMerge w:val="restart"/>
            <w:tcBorders>
              <w:top w:val="single" w:sz="12" w:space="0" w:color="auto"/>
              <w:left w:val="single" w:sz="4" w:space="0" w:color="auto"/>
              <w:right w:val="single" w:sz="12" w:space="0" w:color="auto"/>
            </w:tcBorders>
          </w:tcPr>
          <w:p w14:paraId="101E292C" w14:textId="77777777" w:rsidR="00185AB7" w:rsidRPr="00185AB7" w:rsidRDefault="00185AB7" w:rsidP="00674F82">
            <w:pPr>
              <w:spacing w:after="0" w:line="240" w:lineRule="auto"/>
            </w:pPr>
            <w:r w:rsidRPr="00185AB7">
              <w:rPr>
                <w:noProof/>
              </w:rPr>
              <mc:AlternateContent>
                <mc:Choice Requires="wps">
                  <w:drawing>
                    <wp:anchor distT="45720" distB="45720" distL="114300" distR="114300" simplePos="0" relativeHeight="251740160" behindDoc="0" locked="0" layoutInCell="1" allowOverlap="1" wp14:anchorId="1AA7E059" wp14:editId="3556871B">
                      <wp:simplePos x="0" y="0"/>
                      <wp:positionH relativeFrom="column">
                        <wp:posOffset>655955</wp:posOffset>
                      </wp:positionH>
                      <wp:positionV relativeFrom="paragraph">
                        <wp:posOffset>541655</wp:posOffset>
                      </wp:positionV>
                      <wp:extent cx="571500" cy="314325"/>
                      <wp:effectExtent l="0" t="0" r="0" b="0"/>
                      <wp:wrapNone/>
                      <wp:docPr id="5217599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14325"/>
                              </a:xfrm>
                              <a:prstGeom prst="rect">
                                <a:avLst/>
                              </a:prstGeom>
                              <a:noFill/>
                              <a:ln w="9525">
                                <a:noFill/>
                                <a:miter lim="800000"/>
                                <a:headEnd/>
                                <a:tailEnd/>
                              </a:ln>
                            </wps:spPr>
                            <wps:txbx>
                              <w:txbxContent>
                                <w:p w14:paraId="1006C4FE" w14:textId="77777777" w:rsidR="00185AB7" w:rsidRPr="0075440C" w:rsidRDefault="00185AB7" w:rsidP="00185AB7">
                                  <w:pPr>
                                    <w:rPr>
                                      <w:sz w:val="20"/>
                                      <w:szCs w:val="20"/>
                                    </w:rPr>
                                  </w:pPr>
                                  <w:r w:rsidRPr="0075440C">
                                    <w:rPr>
                                      <w:sz w:val="20"/>
                                      <w:szCs w:val="20"/>
                                    </w:rPr>
                                    <w:t>8</w:t>
                                  </w:r>
                                  <w:r>
                                    <w:rPr>
                                      <w:sz w:val="20"/>
                                      <w:szCs w:val="20"/>
                                    </w:rPr>
                                    <w:t>8.6</w:t>
                                  </w:r>
                                  <w:r w:rsidRPr="0075440C">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1B135C4">
                    <v:shape id="_x0000_s1056" style="position:absolute;margin-left:51.65pt;margin-top:42.65pt;width:45pt;height:24.7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" w14:anchorId="1AA7E059">
                      <v:textbox>
                        <w:txbxContent>
                          <w:p w:rsidRPr="0075440C" w:rsidR="00185AB7" w:rsidP="00185AB7" w:rsidRDefault="00185AB7" w14:paraId="3779E2A5" w14:textId="77777777">
                            <w:pPr>
                              <w:rPr>
                                <w:sz w:val="20"/>
                                <w:szCs w:val="20"/>
                              </w:rPr>
                            </w:pPr>
                            <w:r w:rsidRPr="0075440C">
                              <w:rPr>
                                <w:sz w:val="20"/>
                                <w:szCs w:val="20"/>
                              </w:rPr>
                              <w:t>8</w:t>
                            </w:r>
                            <w:r>
                              <w:rPr>
                                <w:sz w:val="20"/>
                                <w:szCs w:val="20"/>
                              </w:rPr>
                              <w:t>8.6</w:t>
                            </w:r>
                            <w:r w:rsidRPr="0075440C">
                              <w:rPr>
                                <w:sz w:val="20"/>
                                <w:szCs w:val="20"/>
                              </w:rPr>
                              <w:t>%</w:t>
                            </w:r>
                          </w:p>
                        </w:txbxContent>
                      </v:textbox>
                    </v:shape>
                  </w:pict>
                </mc:Fallback>
              </mc:AlternateContent>
            </w:r>
            <w:r w:rsidRPr="00185AB7">
              <w:rPr>
                <w:noProof/>
              </w:rPr>
              <mc:AlternateContent>
                <mc:Choice Requires="wps">
                  <w:drawing>
                    <wp:anchor distT="0" distB="0" distL="114300" distR="114300" simplePos="0" relativeHeight="251741184" behindDoc="0" locked="0" layoutInCell="1" allowOverlap="1" wp14:anchorId="5389E94E" wp14:editId="6CC82EA6">
                      <wp:simplePos x="0" y="0"/>
                      <wp:positionH relativeFrom="column">
                        <wp:posOffset>485140</wp:posOffset>
                      </wp:positionH>
                      <wp:positionV relativeFrom="paragraph">
                        <wp:posOffset>187325</wp:posOffset>
                      </wp:positionV>
                      <wp:extent cx="171450" cy="923925"/>
                      <wp:effectExtent l="0" t="0" r="19050" b="28575"/>
                      <wp:wrapNone/>
                      <wp:docPr id="1715980226" name="Right Brace 1"/>
                      <wp:cNvGraphicFramePr/>
                      <a:graphic xmlns:a="http://schemas.openxmlformats.org/drawingml/2006/main">
                        <a:graphicData uri="http://schemas.microsoft.com/office/word/2010/wordprocessingShape">
                          <wps:wsp>
                            <wps:cNvSpPr/>
                            <wps:spPr>
                              <a:xfrm>
                                <a:off x="0" y="0"/>
                                <a:ext cx="171450" cy="92392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1CF6C2E">
                    <v:shape id="Right Brace 1" style="position:absolute;margin-left:38.2pt;margin-top:14.75pt;width:13.5pt;height:72.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156082" strokeweight=".5pt" type="#_x0000_t88" adj="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" w14:anchorId="0C803910">
                      <v:stroke joinstyle="miter"/>
                    </v:shape>
                  </w:pict>
                </mc:Fallback>
              </mc:AlternateContent>
            </w:r>
            <w:r w:rsidRPr="00185AB7">
              <w:rPr>
                <w:noProof/>
              </w:rPr>
              <mc:AlternateContent>
                <mc:Choice Requires="wps">
                  <w:drawing>
                    <wp:anchor distT="45720" distB="45720" distL="114300" distR="114300" simplePos="0" relativeHeight="251739136" behindDoc="0" locked="0" layoutInCell="1" allowOverlap="1" wp14:anchorId="56B283EC" wp14:editId="197BEB0C">
                      <wp:simplePos x="0" y="0"/>
                      <wp:positionH relativeFrom="column">
                        <wp:posOffset>64135</wp:posOffset>
                      </wp:positionH>
                      <wp:positionV relativeFrom="paragraph">
                        <wp:posOffset>447040</wp:posOffset>
                      </wp:positionV>
                      <wp:extent cx="571500" cy="314325"/>
                      <wp:effectExtent l="0" t="0" r="0" b="0"/>
                      <wp:wrapNone/>
                      <wp:docPr id="8354080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14325"/>
                              </a:xfrm>
                              <a:prstGeom prst="rect">
                                <a:avLst/>
                              </a:prstGeom>
                              <a:noFill/>
                              <a:ln w="9525">
                                <a:noFill/>
                                <a:miter lim="800000"/>
                                <a:headEnd/>
                                <a:tailEnd/>
                              </a:ln>
                            </wps:spPr>
                            <wps:txbx>
                              <w:txbxContent>
                                <w:p w14:paraId="6EC00BC1" w14:textId="77777777" w:rsidR="00185AB7" w:rsidRPr="0075440C" w:rsidRDefault="00185AB7" w:rsidP="00185AB7">
                                  <w:pPr>
                                    <w:rPr>
                                      <w:sz w:val="20"/>
                                      <w:szCs w:val="20"/>
                                    </w:rPr>
                                  </w:pPr>
                                  <w:r>
                                    <w:rPr>
                                      <w:sz w:val="20"/>
                                      <w:szCs w:val="20"/>
                                    </w:rPr>
                                    <w:t>70.5</w:t>
                                  </w:r>
                                  <w:r w:rsidRPr="0075440C">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0C5CB43">
                    <v:shape id="_x0000_s1057" style="position:absolute;margin-left:5.05pt;margin-top:35.2pt;width:45pt;height:24.7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" w14:anchorId="56B283EC">
                      <v:textbox>
                        <w:txbxContent>
                          <w:p w:rsidRPr="0075440C" w:rsidR="00185AB7" w:rsidP="00185AB7" w:rsidRDefault="00185AB7" w14:paraId="1449CB16" w14:textId="77777777">
                            <w:pPr>
                              <w:rPr>
                                <w:sz w:val="20"/>
                                <w:szCs w:val="20"/>
                              </w:rPr>
                            </w:pPr>
                            <w:r>
                              <w:rPr>
                                <w:sz w:val="20"/>
                                <w:szCs w:val="20"/>
                              </w:rPr>
                              <w:t>70.5</w:t>
                            </w:r>
                            <w:r w:rsidRPr="0075440C">
                              <w:rPr>
                                <w:sz w:val="20"/>
                                <w:szCs w:val="20"/>
                              </w:rPr>
                              <w:t>%</w:t>
                            </w:r>
                          </w:p>
                        </w:txbxContent>
                      </v:textbox>
                    </v:shape>
                  </w:pict>
                </mc:Fallback>
              </mc:AlternateContent>
            </w:r>
            <w:r w:rsidRPr="00185AB7">
              <w:rPr>
                <w:noProof/>
              </w:rPr>
              <mc:AlternateContent>
                <mc:Choice Requires="wps">
                  <w:drawing>
                    <wp:anchor distT="0" distB="0" distL="114300" distR="114300" simplePos="0" relativeHeight="251738112" behindDoc="0" locked="0" layoutInCell="1" allowOverlap="1" wp14:anchorId="41F4FDEE" wp14:editId="6EBE73BE">
                      <wp:simplePos x="0" y="0"/>
                      <wp:positionH relativeFrom="column">
                        <wp:posOffset>-21590</wp:posOffset>
                      </wp:positionH>
                      <wp:positionV relativeFrom="paragraph">
                        <wp:posOffset>206375</wp:posOffset>
                      </wp:positionV>
                      <wp:extent cx="152400" cy="733425"/>
                      <wp:effectExtent l="0" t="0" r="19050" b="28575"/>
                      <wp:wrapNone/>
                      <wp:docPr id="1138416802" name="Right Brace 1"/>
                      <wp:cNvGraphicFramePr/>
                      <a:graphic xmlns:a="http://schemas.openxmlformats.org/drawingml/2006/main">
                        <a:graphicData uri="http://schemas.microsoft.com/office/word/2010/wordprocessingShape">
                          <wps:wsp>
                            <wps:cNvSpPr/>
                            <wps:spPr>
                              <a:xfrm>
                                <a:off x="0" y="0"/>
                                <a:ext cx="152400" cy="73342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843E2B1">
                    <v:shape id="Right Brace 1" style="position:absolute;margin-left:-1.7pt;margin-top:16.25pt;width:12pt;height:57.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156082" strokeweight=".5pt" type="#_x0000_t88" adj="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" w14:anchorId="5A2C82DD">
                      <v:stroke joinstyle="miter"/>
                    </v:shape>
                  </w:pict>
                </mc:Fallback>
              </mc:AlternateContent>
            </w:r>
          </w:p>
        </w:tc>
      </w:tr>
      <w:tr w:rsidR="00185AB7" w:rsidRPr="00185AB7" w14:paraId="44821313" w14:textId="77777777" w:rsidTr="00674F82">
        <w:trPr>
          <w:trHeight w:val="288"/>
        </w:trPr>
        <w:tc>
          <w:tcPr>
            <w:tcW w:w="1800" w:type="dxa"/>
            <w:tcBorders>
              <w:left w:val="single" w:sz="12" w:space="0" w:color="auto"/>
              <w:right w:val="single" w:sz="12" w:space="0" w:color="auto"/>
            </w:tcBorders>
          </w:tcPr>
          <w:p w14:paraId="4FC32139" w14:textId="77777777" w:rsidR="00185AB7" w:rsidRPr="00185AB7" w:rsidRDefault="00185AB7" w:rsidP="00674F82">
            <w:pPr>
              <w:spacing w:after="0" w:line="240" w:lineRule="auto"/>
              <w:rPr>
                <w:b/>
                <w:bCs/>
              </w:rPr>
            </w:pPr>
            <w:r w:rsidRPr="00185AB7">
              <w:rPr>
                <w:b/>
                <w:bCs/>
              </w:rPr>
              <w:t>Signature</w:t>
            </w:r>
          </w:p>
        </w:tc>
        <w:tc>
          <w:tcPr>
            <w:tcW w:w="1871" w:type="dxa"/>
            <w:tcBorders>
              <w:left w:val="single" w:sz="12" w:space="0" w:color="auto"/>
            </w:tcBorders>
          </w:tcPr>
          <w:p w14:paraId="0BDE5BB5" w14:textId="77777777" w:rsidR="00185AB7" w:rsidRPr="00185AB7" w:rsidRDefault="00185AB7" w:rsidP="00674F82">
            <w:pPr>
              <w:spacing w:after="0" w:line="240" w:lineRule="auto"/>
              <w:jc w:val="center"/>
            </w:pPr>
            <w:r w:rsidRPr="00185AB7">
              <w:t>36</w:t>
            </w:r>
          </w:p>
        </w:tc>
        <w:tc>
          <w:tcPr>
            <w:tcW w:w="1559" w:type="dxa"/>
            <w:tcBorders>
              <w:right w:val="single" w:sz="4" w:space="0" w:color="auto"/>
            </w:tcBorders>
          </w:tcPr>
          <w:p w14:paraId="6C70D39E" w14:textId="77777777" w:rsidR="00185AB7" w:rsidRPr="00185AB7" w:rsidRDefault="00185AB7" w:rsidP="00674F82">
            <w:pPr>
              <w:spacing w:after="0" w:line="240" w:lineRule="auto"/>
              <w:jc w:val="center"/>
            </w:pPr>
            <w:r w:rsidRPr="00185AB7">
              <w:t>43.4%</w:t>
            </w:r>
          </w:p>
        </w:tc>
        <w:tc>
          <w:tcPr>
            <w:tcW w:w="1701" w:type="dxa"/>
            <w:vMerge/>
            <w:tcBorders>
              <w:left w:val="single" w:sz="4" w:space="0" w:color="auto"/>
              <w:right w:val="single" w:sz="12" w:space="0" w:color="auto"/>
            </w:tcBorders>
          </w:tcPr>
          <w:p w14:paraId="3F733C53" w14:textId="77777777" w:rsidR="00185AB7" w:rsidRPr="00185AB7" w:rsidRDefault="00185AB7" w:rsidP="00674F82">
            <w:pPr>
              <w:spacing w:after="0" w:line="240" w:lineRule="auto"/>
            </w:pPr>
          </w:p>
        </w:tc>
        <w:tc>
          <w:tcPr>
            <w:tcW w:w="1701" w:type="dxa"/>
            <w:tcBorders>
              <w:left w:val="single" w:sz="12" w:space="0" w:color="auto"/>
            </w:tcBorders>
          </w:tcPr>
          <w:p w14:paraId="42DE1398" w14:textId="77777777" w:rsidR="00185AB7" w:rsidRPr="00185AB7" w:rsidRDefault="00185AB7" w:rsidP="00674F82">
            <w:pPr>
              <w:spacing w:after="0" w:line="240" w:lineRule="auto"/>
              <w:jc w:val="center"/>
            </w:pPr>
            <w:r w:rsidRPr="00185AB7">
              <w:t>23</w:t>
            </w:r>
          </w:p>
        </w:tc>
        <w:tc>
          <w:tcPr>
            <w:tcW w:w="1701" w:type="dxa"/>
            <w:tcBorders>
              <w:right w:val="single" w:sz="4" w:space="0" w:color="auto"/>
            </w:tcBorders>
          </w:tcPr>
          <w:p w14:paraId="5CA28715" w14:textId="77777777" w:rsidR="00185AB7" w:rsidRPr="00185AB7" w:rsidRDefault="00185AB7" w:rsidP="00674F82">
            <w:pPr>
              <w:spacing w:after="0" w:line="240" w:lineRule="auto"/>
              <w:jc w:val="center"/>
            </w:pPr>
            <w:r w:rsidRPr="00185AB7">
              <w:t>26.1%</w:t>
            </w:r>
          </w:p>
        </w:tc>
        <w:tc>
          <w:tcPr>
            <w:tcW w:w="1843" w:type="dxa"/>
            <w:vMerge/>
            <w:tcBorders>
              <w:left w:val="single" w:sz="4" w:space="0" w:color="auto"/>
              <w:right w:val="single" w:sz="12" w:space="0" w:color="auto"/>
            </w:tcBorders>
          </w:tcPr>
          <w:p w14:paraId="62251ACD" w14:textId="77777777" w:rsidR="00185AB7" w:rsidRPr="00185AB7" w:rsidRDefault="00185AB7" w:rsidP="00674F82">
            <w:pPr>
              <w:spacing w:after="0" w:line="240" w:lineRule="auto"/>
              <w:jc w:val="center"/>
            </w:pPr>
          </w:p>
        </w:tc>
      </w:tr>
      <w:tr w:rsidR="00185AB7" w:rsidRPr="00185AB7" w14:paraId="26BFD0E9" w14:textId="77777777" w:rsidTr="00674F82">
        <w:tc>
          <w:tcPr>
            <w:tcW w:w="1800" w:type="dxa"/>
            <w:tcBorders>
              <w:left w:val="single" w:sz="12" w:space="0" w:color="auto"/>
              <w:right w:val="single" w:sz="12" w:space="0" w:color="auto"/>
            </w:tcBorders>
          </w:tcPr>
          <w:p w14:paraId="4D228942" w14:textId="77777777" w:rsidR="00185AB7" w:rsidRPr="00185AB7" w:rsidRDefault="00185AB7" w:rsidP="00674F82">
            <w:pPr>
              <w:spacing w:after="0" w:line="240" w:lineRule="auto"/>
              <w:rPr>
                <w:b/>
                <w:bCs/>
              </w:rPr>
            </w:pPr>
            <w:r w:rsidRPr="00185AB7">
              <w:rPr>
                <w:b/>
                <w:bCs/>
              </w:rPr>
              <w:t>One Initial</w:t>
            </w:r>
          </w:p>
        </w:tc>
        <w:tc>
          <w:tcPr>
            <w:tcW w:w="1871" w:type="dxa"/>
            <w:tcBorders>
              <w:left w:val="single" w:sz="12" w:space="0" w:color="auto"/>
            </w:tcBorders>
          </w:tcPr>
          <w:p w14:paraId="40F87C26" w14:textId="77777777" w:rsidR="00185AB7" w:rsidRPr="00185AB7" w:rsidRDefault="00185AB7" w:rsidP="00674F82">
            <w:pPr>
              <w:spacing w:after="0" w:line="240" w:lineRule="auto"/>
              <w:jc w:val="center"/>
            </w:pPr>
            <w:r w:rsidRPr="00185AB7">
              <w:t>28</w:t>
            </w:r>
          </w:p>
        </w:tc>
        <w:tc>
          <w:tcPr>
            <w:tcW w:w="1559" w:type="dxa"/>
            <w:tcBorders>
              <w:right w:val="single" w:sz="4" w:space="0" w:color="auto"/>
            </w:tcBorders>
          </w:tcPr>
          <w:p w14:paraId="17BF891C" w14:textId="77777777" w:rsidR="00185AB7" w:rsidRPr="00185AB7" w:rsidRDefault="00185AB7" w:rsidP="00674F82">
            <w:pPr>
              <w:spacing w:after="0" w:line="240" w:lineRule="auto"/>
              <w:jc w:val="center"/>
            </w:pPr>
            <w:r w:rsidRPr="00185AB7">
              <w:t>33.7%</w:t>
            </w:r>
          </w:p>
        </w:tc>
        <w:tc>
          <w:tcPr>
            <w:tcW w:w="1701" w:type="dxa"/>
            <w:vMerge/>
            <w:tcBorders>
              <w:left w:val="single" w:sz="4" w:space="0" w:color="auto"/>
              <w:right w:val="single" w:sz="12" w:space="0" w:color="auto"/>
            </w:tcBorders>
          </w:tcPr>
          <w:p w14:paraId="29FBBFB4" w14:textId="77777777" w:rsidR="00185AB7" w:rsidRPr="00185AB7" w:rsidRDefault="00185AB7" w:rsidP="00674F82">
            <w:pPr>
              <w:spacing w:after="0" w:line="240" w:lineRule="auto"/>
              <w:jc w:val="center"/>
            </w:pPr>
          </w:p>
        </w:tc>
        <w:tc>
          <w:tcPr>
            <w:tcW w:w="1701" w:type="dxa"/>
            <w:tcBorders>
              <w:left w:val="single" w:sz="12" w:space="0" w:color="auto"/>
            </w:tcBorders>
          </w:tcPr>
          <w:p w14:paraId="39F62FA3" w14:textId="77777777" w:rsidR="00185AB7" w:rsidRPr="00185AB7" w:rsidRDefault="00185AB7" w:rsidP="00674F82">
            <w:pPr>
              <w:spacing w:after="0" w:line="240" w:lineRule="auto"/>
              <w:jc w:val="center"/>
            </w:pPr>
            <w:r w:rsidRPr="00185AB7">
              <w:t>31</w:t>
            </w:r>
          </w:p>
        </w:tc>
        <w:tc>
          <w:tcPr>
            <w:tcW w:w="1701" w:type="dxa"/>
            <w:tcBorders>
              <w:right w:val="single" w:sz="4" w:space="0" w:color="auto"/>
            </w:tcBorders>
          </w:tcPr>
          <w:p w14:paraId="348E527D" w14:textId="77777777" w:rsidR="00185AB7" w:rsidRPr="00185AB7" w:rsidRDefault="00185AB7" w:rsidP="00674F82">
            <w:pPr>
              <w:spacing w:after="0" w:line="240" w:lineRule="auto"/>
              <w:jc w:val="center"/>
            </w:pPr>
            <w:r w:rsidRPr="00185AB7">
              <w:t>35.2%</w:t>
            </w:r>
          </w:p>
        </w:tc>
        <w:tc>
          <w:tcPr>
            <w:tcW w:w="1843" w:type="dxa"/>
            <w:vMerge/>
            <w:tcBorders>
              <w:left w:val="single" w:sz="4" w:space="0" w:color="auto"/>
              <w:right w:val="single" w:sz="12" w:space="0" w:color="auto"/>
            </w:tcBorders>
          </w:tcPr>
          <w:p w14:paraId="52FF49D2" w14:textId="77777777" w:rsidR="00185AB7" w:rsidRPr="00185AB7" w:rsidRDefault="00185AB7" w:rsidP="00674F82">
            <w:pPr>
              <w:spacing w:after="0" w:line="240" w:lineRule="auto"/>
              <w:jc w:val="center"/>
            </w:pPr>
          </w:p>
        </w:tc>
      </w:tr>
      <w:tr w:rsidR="00185AB7" w:rsidRPr="00185AB7" w14:paraId="0D8F6709" w14:textId="77777777" w:rsidTr="00674F82">
        <w:tc>
          <w:tcPr>
            <w:tcW w:w="1800" w:type="dxa"/>
            <w:tcBorders>
              <w:left w:val="single" w:sz="12" w:space="0" w:color="auto"/>
              <w:right w:val="single" w:sz="12" w:space="0" w:color="auto"/>
            </w:tcBorders>
          </w:tcPr>
          <w:p w14:paraId="27BE4965" w14:textId="77777777" w:rsidR="00185AB7" w:rsidRPr="00185AB7" w:rsidRDefault="00185AB7" w:rsidP="00674F82">
            <w:pPr>
              <w:spacing w:after="0" w:line="240" w:lineRule="auto"/>
              <w:rPr>
                <w:b/>
                <w:bCs/>
              </w:rPr>
            </w:pPr>
            <w:r w:rsidRPr="00185AB7">
              <w:rPr>
                <w:b/>
                <w:bCs/>
              </w:rPr>
              <w:t>Two Initials</w:t>
            </w:r>
          </w:p>
        </w:tc>
        <w:tc>
          <w:tcPr>
            <w:tcW w:w="1871" w:type="dxa"/>
            <w:tcBorders>
              <w:left w:val="single" w:sz="12" w:space="0" w:color="auto"/>
            </w:tcBorders>
          </w:tcPr>
          <w:p w14:paraId="4A127DDC" w14:textId="77777777" w:rsidR="00185AB7" w:rsidRPr="00185AB7" w:rsidRDefault="00185AB7" w:rsidP="00674F82">
            <w:pPr>
              <w:spacing w:after="0" w:line="240" w:lineRule="auto"/>
              <w:jc w:val="center"/>
            </w:pPr>
            <w:r w:rsidRPr="00185AB7">
              <w:t>7</w:t>
            </w:r>
          </w:p>
        </w:tc>
        <w:tc>
          <w:tcPr>
            <w:tcW w:w="1559" w:type="dxa"/>
            <w:tcBorders>
              <w:right w:val="single" w:sz="4" w:space="0" w:color="auto"/>
            </w:tcBorders>
          </w:tcPr>
          <w:p w14:paraId="4273366A" w14:textId="77777777" w:rsidR="00185AB7" w:rsidRPr="00185AB7" w:rsidRDefault="00185AB7" w:rsidP="00674F82">
            <w:pPr>
              <w:spacing w:after="0" w:line="240" w:lineRule="auto"/>
              <w:jc w:val="center"/>
            </w:pPr>
            <w:r w:rsidRPr="00185AB7">
              <w:t>8.4%</w:t>
            </w:r>
          </w:p>
        </w:tc>
        <w:tc>
          <w:tcPr>
            <w:tcW w:w="1701" w:type="dxa"/>
            <w:vMerge/>
            <w:tcBorders>
              <w:left w:val="single" w:sz="4" w:space="0" w:color="auto"/>
              <w:right w:val="single" w:sz="12" w:space="0" w:color="auto"/>
            </w:tcBorders>
          </w:tcPr>
          <w:p w14:paraId="58FB6403" w14:textId="77777777" w:rsidR="00185AB7" w:rsidRPr="00185AB7" w:rsidRDefault="00185AB7" w:rsidP="00674F82">
            <w:pPr>
              <w:spacing w:after="0" w:line="240" w:lineRule="auto"/>
              <w:jc w:val="center"/>
            </w:pPr>
          </w:p>
        </w:tc>
        <w:tc>
          <w:tcPr>
            <w:tcW w:w="1701" w:type="dxa"/>
            <w:tcBorders>
              <w:left w:val="single" w:sz="12" w:space="0" w:color="auto"/>
            </w:tcBorders>
          </w:tcPr>
          <w:p w14:paraId="3F38A952" w14:textId="77777777" w:rsidR="00185AB7" w:rsidRPr="00185AB7" w:rsidRDefault="00185AB7" w:rsidP="00674F82">
            <w:pPr>
              <w:spacing w:after="0" w:line="240" w:lineRule="auto"/>
              <w:jc w:val="center"/>
            </w:pPr>
            <w:r w:rsidRPr="00185AB7">
              <w:t>8</w:t>
            </w:r>
          </w:p>
        </w:tc>
        <w:tc>
          <w:tcPr>
            <w:tcW w:w="1701" w:type="dxa"/>
            <w:tcBorders>
              <w:right w:val="single" w:sz="4" w:space="0" w:color="auto"/>
            </w:tcBorders>
          </w:tcPr>
          <w:p w14:paraId="7BC48DA5" w14:textId="77777777" w:rsidR="00185AB7" w:rsidRPr="00185AB7" w:rsidRDefault="00185AB7" w:rsidP="00674F82">
            <w:pPr>
              <w:spacing w:after="0" w:line="240" w:lineRule="auto"/>
              <w:jc w:val="center"/>
            </w:pPr>
            <w:r w:rsidRPr="00185AB7">
              <w:t>9.1%</w:t>
            </w:r>
          </w:p>
        </w:tc>
        <w:tc>
          <w:tcPr>
            <w:tcW w:w="1843" w:type="dxa"/>
            <w:vMerge/>
            <w:tcBorders>
              <w:left w:val="single" w:sz="4" w:space="0" w:color="auto"/>
              <w:right w:val="single" w:sz="12" w:space="0" w:color="auto"/>
            </w:tcBorders>
          </w:tcPr>
          <w:p w14:paraId="3E7AF17F" w14:textId="77777777" w:rsidR="00185AB7" w:rsidRPr="00185AB7" w:rsidRDefault="00185AB7" w:rsidP="00674F82">
            <w:pPr>
              <w:spacing w:after="0" w:line="240" w:lineRule="auto"/>
              <w:jc w:val="center"/>
            </w:pPr>
          </w:p>
        </w:tc>
      </w:tr>
      <w:tr w:rsidR="00185AB7" w:rsidRPr="00185AB7" w14:paraId="30E8132D" w14:textId="77777777" w:rsidTr="00674F82">
        <w:tc>
          <w:tcPr>
            <w:tcW w:w="1800" w:type="dxa"/>
            <w:tcBorders>
              <w:left w:val="single" w:sz="12" w:space="0" w:color="auto"/>
              <w:right w:val="single" w:sz="12" w:space="0" w:color="auto"/>
            </w:tcBorders>
          </w:tcPr>
          <w:p w14:paraId="51708C33" w14:textId="77777777" w:rsidR="00185AB7" w:rsidRPr="00185AB7" w:rsidRDefault="00185AB7" w:rsidP="00674F82">
            <w:pPr>
              <w:spacing w:after="0" w:line="240" w:lineRule="auto"/>
              <w:rPr>
                <w:b/>
                <w:bCs/>
              </w:rPr>
            </w:pPr>
            <w:r w:rsidRPr="00185AB7">
              <w:rPr>
                <w:b/>
                <w:bCs/>
              </w:rPr>
              <w:t>Three Initials</w:t>
            </w:r>
          </w:p>
        </w:tc>
        <w:tc>
          <w:tcPr>
            <w:tcW w:w="1871" w:type="dxa"/>
            <w:tcBorders>
              <w:left w:val="single" w:sz="12" w:space="0" w:color="auto"/>
            </w:tcBorders>
          </w:tcPr>
          <w:p w14:paraId="65BF68C0" w14:textId="77777777" w:rsidR="00185AB7" w:rsidRPr="00185AB7" w:rsidRDefault="00185AB7" w:rsidP="00674F82">
            <w:pPr>
              <w:spacing w:after="0" w:line="240" w:lineRule="auto"/>
              <w:jc w:val="center"/>
            </w:pPr>
            <w:r w:rsidRPr="00185AB7">
              <w:t>1</w:t>
            </w:r>
          </w:p>
        </w:tc>
        <w:tc>
          <w:tcPr>
            <w:tcW w:w="1559" w:type="dxa"/>
            <w:tcBorders>
              <w:right w:val="single" w:sz="4" w:space="0" w:color="auto"/>
            </w:tcBorders>
          </w:tcPr>
          <w:p w14:paraId="7B2280FD" w14:textId="77777777" w:rsidR="00185AB7" w:rsidRPr="00185AB7" w:rsidRDefault="00185AB7" w:rsidP="00674F82">
            <w:pPr>
              <w:spacing w:after="0" w:line="240" w:lineRule="auto"/>
              <w:jc w:val="center"/>
            </w:pPr>
            <w:r w:rsidRPr="00185AB7">
              <w:t>1.2%</w:t>
            </w:r>
          </w:p>
        </w:tc>
        <w:tc>
          <w:tcPr>
            <w:tcW w:w="1701" w:type="dxa"/>
            <w:vMerge/>
            <w:tcBorders>
              <w:left w:val="single" w:sz="4" w:space="0" w:color="auto"/>
              <w:right w:val="single" w:sz="12" w:space="0" w:color="auto"/>
            </w:tcBorders>
          </w:tcPr>
          <w:p w14:paraId="75BB51AF" w14:textId="77777777" w:rsidR="00185AB7" w:rsidRPr="00185AB7" w:rsidRDefault="00185AB7" w:rsidP="00674F82">
            <w:pPr>
              <w:spacing w:after="0" w:line="240" w:lineRule="auto"/>
              <w:jc w:val="center"/>
            </w:pPr>
          </w:p>
        </w:tc>
        <w:tc>
          <w:tcPr>
            <w:tcW w:w="1701" w:type="dxa"/>
            <w:tcBorders>
              <w:left w:val="single" w:sz="12" w:space="0" w:color="auto"/>
            </w:tcBorders>
          </w:tcPr>
          <w:p w14:paraId="2E399672" w14:textId="77777777" w:rsidR="00185AB7" w:rsidRPr="00185AB7" w:rsidRDefault="00185AB7" w:rsidP="00674F82">
            <w:pPr>
              <w:spacing w:after="0" w:line="240" w:lineRule="auto"/>
              <w:jc w:val="center"/>
            </w:pPr>
            <w:r w:rsidRPr="00185AB7">
              <w:t>0</w:t>
            </w:r>
          </w:p>
        </w:tc>
        <w:tc>
          <w:tcPr>
            <w:tcW w:w="1701" w:type="dxa"/>
            <w:tcBorders>
              <w:right w:val="single" w:sz="4" w:space="0" w:color="auto"/>
            </w:tcBorders>
          </w:tcPr>
          <w:p w14:paraId="724D4E3B" w14:textId="77777777" w:rsidR="00185AB7" w:rsidRPr="00185AB7" w:rsidRDefault="00185AB7" w:rsidP="00674F82">
            <w:pPr>
              <w:spacing w:after="0" w:line="240" w:lineRule="auto"/>
              <w:jc w:val="center"/>
            </w:pPr>
            <w:r w:rsidRPr="00185AB7">
              <w:t>-</w:t>
            </w:r>
          </w:p>
        </w:tc>
        <w:tc>
          <w:tcPr>
            <w:tcW w:w="1843" w:type="dxa"/>
            <w:vMerge/>
            <w:tcBorders>
              <w:left w:val="single" w:sz="4" w:space="0" w:color="auto"/>
              <w:right w:val="single" w:sz="12" w:space="0" w:color="auto"/>
            </w:tcBorders>
          </w:tcPr>
          <w:p w14:paraId="1ABF1DD4" w14:textId="77777777" w:rsidR="00185AB7" w:rsidRPr="00185AB7" w:rsidRDefault="00185AB7" w:rsidP="00674F82">
            <w:pPr>
              <w:spacing w:after="0" w:line="240" w:lineRule="auto"/>
              <w:jc w:val="center"/>
            </w:pPr>
          </w:p>
        </w:tc>
      </w:tr>
      <w:tr w:rsidR="00185AB7" w:rsidRPr="00185AB7" w14:paraId="2DA7DCF5" w14:textId="77777777" w:rsidTr="00674F82">
        <w:tc>
          <w:tcPr>
            <w:tcW w:w="1800" w:type="dxa"/>
            <w:tcBorders>
              <w:left w:val="single" w:sz="12" w:space="0" w:color="auto"/>
              <w:right w:val="single" w:sz="12" w:space="0" w:color="auto"/>
            </w:tcBorders>
          </w:tcPr>
          <w:p w14:paraId="523471EC" w14:textId="77777777" w:rsidR="00185AB7" w:rsidRPr="00185AB7" w:rsidRDefault="00185AB7" w:rsidP="00674F82">
            <w:pPr>
              <w:spacing w:after="0" w:line="240" w:lineRule="auto"/>
              <w:rPr>
                <w:b/>
                <w:bCs/>
              </w:rPr>
            </w:pPr>
            <w:r w:rsidRPr="00185AB7">
              <w:rPr>
                <w:b/>
                <w:bCs/>
              </w:rPr>
              <w:t>Cross</w:t>
            </w:r>
          </w:p>
        </w:tc>
        <w:tc>
          <w:tcPr>
            <w:tcW w:w="1871" w:type="dxa"/>
            <w:tcBorders>
              <w:left w:val="single" w:sz="12" w:space="0" w:color="auto"/>
            </w:tcBorders>
          </w:tcPr>
          <w:p w14:paraId="41035D00" w14:textId="77777777" w:rsidR="00185AB7" w:rsidRPr="00185AB7" w:rsidRDefault="00185AB7" w:rsidP="00674F82">
            <w:pPr>
              <w:spacing w:after="0" w:line="240" w:lineRule="auto"/>
              <w:jc w:val="center"/>
            </w:pPr>
            <w:r w:rsidRPr="00185AB7">
              <w:t>5</w:t>
            </w:r>
          </w:p>
        </w:tc>
        <w:tc>
          <w:tcPr>
            <w:tcW w:w="1559" w:type="dxa"/>
            <w:tcBorders>
              <w:right w:val="single" w:sz="4" w:space="0" w:color="auto"/>
            </w:tcBorders>
          </w:tcPr>
          <w:p w14:paraId="3913A2EA" w14:textId="77777777" w:rsidR="00185AB7" w:rsidRPr="00185AB7" w:rsidRDefault="00185AB7" w:rsidP="00674F82">
            <w:pPr>
              <w:spacing w:after="0" w:line="240" w:lineRule="auto"/>
              <w:jc w:val="center"/>
            </w:pPr>
            <w:r w:rsidRPr="00185AB7">
              <w:t>6%</w:t>
            </w:r>
          </w:p>
        </w:tc>
        <w:tc>
          <w:tcPr>
            <w:tcW w:w="1701" w:type="dxa"/>
            <w:vMerge/>
            <w:tcBorders>
              <w:left w:val="single" w:sz="4" w:space="0" w:color="auto"/>
              <w:right w:val="single" w:sz="12" w:space="0" w:color="auto"/>
            </w:tcBorders>
          </w:tcPr>
          <w:p w14:paraId="415DC3A6" w14:textId="77777777" w:rsidR="00185AB7" w:rsidRPr="00185AB7" w:rsidRDefault="00185AB7" w:rsidP="00674F82">
            <w:pPr>
              <w:spacing w:after="0" w:line="240" w:lineRule="auto"/>
              <w:jc w:val="center"/>
            </w:pPr>
          </w:p>
        </w:tc>
        <w:tc>
          <w:tcPr>
            <w:tcW w:w="1701" w:type="dxa"/>
            <w:tcBorders>
              <w:left w:val="single" w:sz="12" w:space="0" w:color="auto"/>
            </w:tcBorders>
          </w:tcPr>
          <w:p w14:paraId="45278C93" w14:textId="77777777" w:rsidR="00185AB7" w:rsidRPr="00185AB7" w:rsidRDefault="00185AB7" w:rsidP="00674F82">
            <w:pPr>
              <w:spacing w:after="0" w:line="240" w:lineRule="auto"/>
              <w:jc w:val="center"/>
            </w:pPr>
            <w:r w:rsidRPr="00185AB7">
              <w:t>16</w:t>
            </w:r>
          </w:p>
        </w:tc>
        <w:tc>
          <w:tcPr>
            <w:tcW w:w="1701" w:type="dxa"/>
            <w:tcBorders>
              <w:right w:val="single" w:sz="4" w:space="0" w:color="auto"/>
            </w:tcBorders>
          </w:tcPr>
          <w:p w14:paraId="1948B201" w14:textId="77777777" w:rsidR="00185AB7" w:rsidRPr="00185AB7" w:rsidRDefault="00185AB7" w:rsidP="00674F82">
            <w:pPr>
              <w:spacing w:after="0" w:line="240" w:lineRule="auto"/>
              <w:jc w:val="center"/>
            </w:pPr>
            <w:r w:rsidRPr="00185AB7">
              <w:t>18.7%</w:t>
            </w:r>
          </w:p>
        </w:tc>
        <w:tc>
          <w:tcPr>
            <w:tcW w:w="1843" w:type="dxa"/>
            <w:vMerge/>
            <w:tcBorders>
              <w:left w:val="single" w:sz="4" w:space="0" w:color="auto"/>
              <w:right w:val="single" w:sz="12" w:space="0" w:color="auto"/>
            </w:tcBorders>
          </w:tcPr>
          <w:p w14:paraId="14E19899" w14:textId="77777777" w:rsidR="00185AB7" w:rsidRPr="00185AB7" w:rsidRDefault="00185AB7" w:rsidP="00674F82">
            <w:pPr>
              <w:spacing w:after="0" w:line="240" w:lineRule="auto"/>
              <w:jc w:val="center"/>
            </w:pPr>
          </w:p>
        </w:tc>
      </w:tr>
      <w:tr w:rsidR="00185AB7" w:rsidRPr="00185AB7" w14:paraId="7DD77C36" w14:textId="77777777" w:rsidTr="00674F82">
        <w:tc>
          <w:tcPr>
            <w:tcW w:w="1800" w:type="dxa"/>
            <w:tcBorders>
              <w:left w:val="single" w:sz="12" w:space="0" w:color="auto"/>
              <w:right w:val="single" w:sz="12" w:space="0" w:color="auto"/>
            </w:tcBorders>
          </w:tcPr>
          <w:p w14:paraId="1BD45F66" w14:textId="77777777" w:rsidR="00185AB7" w:rsidRPr="00185AB7" w:rsidRDefault="00185AB7" w:rsidP="00674F82">
            <w:pPr>
              <w:spacing w:after="0" w:line="240" w:lineRule="auto"/>
              <w:rPr>
                <w:b/>
                <w:bCs/>
              </w:rPr>
            </w:pPr>
            <w:r w:rsidRPr="00185AB7">
              <w:rPr>
                <w:b/>
                <w:bCs/>
              </w:rPr>
              <w:t>Circle</w:t>
            </w:r>
          </w:p>
        </w:tc>
        <w:tc>
          <w:tcPr>
            <w:tcW w:w="1871" w:type="dxa"/>
            <w:tcBorders>
              <w:left w:val="single" w:sz="12" w:space="0" w:color="auto"/>
            </w:tcBorders>
          </w:tcPr>
          <w:p w14:paraId="3D5C8EF7" w14:textId="77777777" w:rsidR="00185AB7" w:rsidRPr="00185AB7" w:rsidRDefault="00185AB7" w:rsidP="00674F82">
            <w:pPr>
              <w:spacing w:after="0" w:line="240" w:lineRule="auto"/>
              <w:jc w:val="center"/>
            </w:pPr>
            <w:r w:rsidRPr="00185AB7">
              <w:t>1</w:t>
            </w:r>
          </w:p>
        </w:tc>
        <w:tc>
          <w:tcPr>
            <w:tcW w:w="1559" w:type="dxa"/>
            <w:tcBorders>
              <w:right w:val="single" w:sz="4" w:space="0" w:color="auto"/>
            </w:tcBorders>
          </w:tcPr>
          <w:p w14:paraId="22E57B70" w14:textId="77777777" w:rsidR="00185AB7" w:rsidRPr="00185AB7" w:rsidRDefault="00185AB7" w:rsidP="00674F82">
            <w:pPr>
              <w:spacing w:after="0" w:line="240" w:lineRule="auto"/>
              <w:jc w:val="center"/>
            </w:pPr>
            <w:r w:rsidRPr="00185AB7">
              <w:t>1.2%</w:t>
            </w:r>
          </w:p>
        </w:tc>
        <w:tc>
          <w:tcPr>
            <w:tcW w:w="1701" w:type="dxa"/>
            <w:vMerge/>
            <w:tcBorders>
              <w:left w:val="single" w:sz="4" w:space="0" w:color="auto"/>
              <w:right w:val="single" w:sz="12" w:space="0" w:color="auto"/>
            </w:tcBorders>
          </w:tcPr>
          <w:p w14:paraId="58BD4C21" w14:textId="77777777" w:rsidR="00185AB7" w:rsidRPr="00185AB7" w:rsidRDefault="00185AB7" w:rsidP="00674F82">
            <w:pPr>
              <w:spacing w:after="0" w:line="240" w:lineRule="auto"/>
              <w:jc w:val="center"/>
            </w:pPr>
          </w:p>
        </w:tc>
        <w:tc>
          <w:tcPr>
            <w:tcW w:w="1701" w:type="dxa"/>
            <w:tcBorders>
              <w:left w:val="single" w:sz="12" w:space="0" w:color="auto"/>
            </w:tcBorders>
          </w:tcPr>
          <w:p w14:paraId="711E8306" w14:textId="77777777" w:rsidR="00185AB7" w:rsidRPr="00185AB7" w:rsidRDefault="00185AB7" w:rsidP="00674F82">
            <w:pPr>
              <w:spacing w:after="0" w:line="240" w:lineRule="auto"/>
              <w:jc w:val="center"/>
            </w:pPr>
            <w:r w:rsidRPr="00185AB7">
              <w:t>6</w:t>
            </w:r>
          </w:p>
        </w:tc>
        <w:tc>
          <w:tcPr>
            <w:tcW w:w="1701" w:type="dxa"/>
            <w:tcBorders>
              <w:right w:val="single" w:sz="4" w:space="0" w:color="auto"/>
            </w:tcBorders>
          </w:tcPr>
          <w:p w14:paraId="3A9572BE" w14:textId="77777777" w:rsidR="00185AB7" w:rsidRPr="00185AB7" w:rsidRDefault="00185AB7" w:rsidP="00674F82">
            <w:pPr>
              <w:spacing w:after="0" w:line="240" w:lineRule="auto"/>
              <w:jc w:val="center"/>
            </w:pPr>
            <w:r w:rsidRPr="00185AB7">
              <w:t>6.8%</w:t>
            </w:r>
          </w:p>
        </w:tc>
        <w:tc>
          <w:tcPr>
            <w:tcW w:w="1843" w:type="dxa"/>
            <w:vMerge/>
            <w:tcBorders>
              <w:left w:val="single" w:sz="4" w:space="0" w:color="auto"/>
              <w:right w:val="single" w:sz="12" w:space="0" w:color="auto"/>
            </w:tcBorders>
          </w:tcPr>
          <w:p w14:paraId="125FBCB7" w14:textId="77777777" w:rsidR="00185AB7" w:rsidRPr="00185AB7" w:rsidRDefault="00185AB7" w:rsidP="00674F82">
            <w:pPr>
              <w:spacing w:after="0" w:line="240" w:lineRule="auto"/>
              <w:jc w:val="center"/>
            </w:pPr>
          </w:p>
        </w:tc>
      </w:tr>
      <w:tr w:rsidR="00185AB7" w:rsidRPr="00185AB7" w14:paraId="37DE9A87" w14:textId="77777777" w:rsidTr="00674F82">
        <w:tc>
          <w:tcPr>
            <w:tcW w:w="1800" w:type="dxa"/>
            <w:tcBorders>
              <w:left w:val="single" w:sz="12" w:space="0" w:color="auto"/>
              <w:right w:val="single" w:sz="12" w:space="0" w:color="auto"/>
            </w:tcBorders>
          </w:tcPr>
          <w:p w14:paraId="4EC52B9D" w14:textId="77777777" w:rsidR="00185AB7" w:rsidRPr="00185AB7" w:rsidRDefault="00185AB7" w:rsidP="00674F82">
            <w:pPr>
              <w:spacing w:after="0" w:line="240" w:lineRule="auto"/>
              <w:rPr>
                <w:b/>
                <w:bCs/>
              </w:rPr>
            </w:pPr>
            <w:r w:rsidRPr="00185AB7">
              <w:rPr>
                <w:b/>
                <w:bCs/>
              </w:rPr>
              <w:t>Line/s</w:t>
            </w:r>
          </w:p>
        </w:tc>
        <w:tc>
          <w:tcPr>
            <w:tcW w:w="1871" w:type="dxa"/>
            <w:tcBorders>
              <w:left w:val="single" w:sz="12" w:space="0" w:color="auto"/>
            </w:tcBorders>
          </w:tcPr>
          <w:p w14:paraId="7D26F395" w14:textId="77777777" w:rsidR="00185AB7" w:rsidRPr="00185AB7" w:rsidRDefault="00185AB7" w:rsidP="00674F82">
            <w:pPr>
              <w:spacing w:after="0" w:line="240" w:lineRule="auto"/>
              <w:jc w:val="center"/>
            </w:pPr>
            <w:r w:rsidRPr="00185AB7">
              <w:t>3</w:t>
            </w:r>
          </w:p>
        </w:tc>
        <w:tc>
          <w:tcPr>
            <w:tcW w:w="1559" w:type="dxa"/>
            <w:tcBorders>
              <w:right w:val="single" w:sz="4" w:space="0" w:color="auto"/>
            </w:tcBorders>
          </w:tcPr>
          <w:p w14:paraId="5A5B9B41" w14:textId="77777777" w:rsidR="00185AB7" w:rsidRPr="00185AB7" w:rsidRDefault="00185AB7" w:rsidP="00674F82">
            <w:pPr>
              <w:spacing w:after="0" w:line="240" w:lineRule="auto"/>
              <w:jc w:val="center"/>
            </w:pPr>
            <w:r w:rsidRPr="00185AB7">
              <w:t>3.6%</w:t>
            </w:r>
          </w:p>
        </w:tc>
        <w:tc>
          <w:tcPr>
            <w:tcW w:w="1701" w:type="dxa"/>
            <w:vMerge/>
            <w:tcBorders>
              <w:left w:val="single" w:sz="4" w:space="0" w:color="auto"/>
              <w:right w:val="single" w:sz="12" w:space="0" w:color="auto"/>
            </w:tcBorders>
          </w:tcPr>
          <w:p w14:paraId="075FFDD5" w14:textId="77777777" w:rsidR="00185AB7" w:rsidRPr="00185AB7" w:rsidRDefault="00185AB7" w:rsidP="00674F82">
            <w:pPr>
              <w:spacing w:after="0" w:line="240" w:lineRule="auto"/>
              <w:jc w:val="center"/>
            </w:pPr>
          </w:p>
        </w:tc>
        <w:tc>
          <w:tcPr>
            <w:tcW w:w="1701" w:type="dxa"/>
            <w:tcBorders>
              <w:left w:val="single" w:sz="12" w:space="0" w:color="auto"/>
            </w:tcBorders>
          </w:tcPr>
          <w:p w14:paraId="08999977" w14:textId="77777777" w:rsidR="00185AB7" w:rsidRPr="00185AB7" w:rsidRDefault="00185AB7" w:rsidP="00674F82">
            <w:pPr>
              <w:spacing w:after="0" w:line="240" w:lineRule="auto"/>
              <w:jc w:val="center"/>
            </w:pPr>
            <w:r w:rsidRPr="00185AB7">
              <w:t>2</w:t>
            </w:r>
          </w:p>
        </w:tc>
        <w:tc>
          <w:tcPr>
            <w:tcW w:w="1701" w:type="dxa"/>
            <w:tcBorders>
              <w:right w:val="single" w:sz="4" w:space="0" w:color="auto"/>
            </w:tcBorders>
          </w:tcPr>
          <w:p w14:paraId="07A12FD8" w14:textId="77777777" w:rsidR="00185AB7" w:rsidRPr="00185AB7" w:rsidRDefault="00185AB7" w:rsidP="00674F82">
            <w:pPr>
              <w:spacing w:after="0" w:line="240" w:lineRule="auto"/>
              <w:jc w:val="center"/>
            </w:pPr>
            <w:r w:rsidRPr="00185AB7">
              <w:t>2.3%</w:t>
            </w:r>
          </w:p>
        </w:tc>
        <w:tc>
          <w:tcPr>
            <w:tcW w:w="1843" w:type="dxa"/>
            <w:vMerge/>
            <w:tcBorders>
              <w:left w:val="single" w:sz="4" w:space="0" w:color="auto"/>
              <w:right w:val="single" w:sz="12" w:space="0" w:color="auto"/>
            </w:tcBorders>
          </w:tcPr>
          <w:p w14:paraId="4DB51B21" w14:textId="77777777" w:rsidR="00185AB7" w:rsidRPr="00185AB7" w:rsidRDefault="00185AB7" w:rsidP="00674F82">
            <w:pPr>
              <w:spacing w:after="0" w:line="240" w:lineRule="auto"/>
              <w:jc w:val="center"/>
            </w:pPr>
          </w:p>
        </w:tc>
      </w:tr>
      <w:tr w:rsidR="00185AB7" w:rsidRPr="00185AB7" w14:paraId="50F766B5" w14:textId="77777777" w:rsidTr="00674F82">
        <w:tc>
          <w:tcPr>
            <w:tcW w:w="1800" w:type="dxa"/>
            <w:tcBorders>
              <w:left w:val="single" w:sz="12" w:space="0" w:color="auto"/>
              <w:right w:val="single" w:sz="12" w:space="0" w:color="auto"/>
            </w:tcBorders>
          </w:tcPr>
          <w:p w14:paraId="71DB0934" w14:textId="77777777" w:rsidR="00185AB7" w:rsidRPr="00185AB7" w:rsidRDefault="00185AB7" w:rsidP="00674F82">
            <w:pPr>
              <w:spacing w:after="0" w:line="240" w:lineRule="auto"/>
              <w:rPr>
                <w:b/>
                <w:bCs/>
              </w:rPr>
            </w:pPr>
            <w:r w:rsidRPr="00185AB7">
              <w:rPr>
                <w:b/>
                <w:bCs/>
              </w:rPr>
              <w:t>Other Marks</w:t>
            </w:r>
          </w:p>
        </w:tc>
        <w:tc>
          <w:tcPr>
            <w:tcW w:w="1871" w:type="dxa"/>
            <w:tcBorders>
              <w:left w:val="single" w:sz="12" w:space="0" w:color="auto"/>
            </w:tcBorders>
          </w:tcPr>
          <w:p w14:paraId="7AFCF9C3" w14:textId="77777777" w:rsidR="00185AB7" w:rsidRPr="00185AB7" w:rsidRDefault="00185AB7" w:rsidP="00674F82">
            <w:pPr>
              <w:spacing w:after="0" w:line="240" w:lineRule="auto"/>
              <w:jc w:val="center"/>
            </w:pPr>
            <w:r w:rsidRPr="00185AB7">
              <w:t>2</w:t>
            </w:r>
          </w:p>
        </w:tc>
        <w:tc>
          <w:tcPr>
            <w:tcW w:w="1559" w:type="dxa"/>
            <w:tcBorders>
              <w:right w:val="single" w:sz="4" w:space="0" w:color="auto"/>
            </w:tcBorders>
          </w:tcPr>
          <w:p w14:paraId="5606A101" w14:textId="77777777" w:rsidR="00185AB7" w:rsidRPr="00185AB7" w:rsidRDefault="00185AB7" w:rsidP="00674F82">
            <w:pPr>
              <w:spacing w:after="0" w:line="240" w:lineRule="auto"/>
              <w:jc w:val="center"/>
            </w:pPr>
            <w:r w:rsidRPr="00185AB7">
              <w:t>2.4%</w:t>
            </w:r>
          </w:p>
        </w:tc>
        <w:tc>
          <w:tcPr>
            <w:tcW w:w="1701" w:type="dxa"/>
            <w:vMerge/>
            <w:tcBorders>
              <w:left w:val="single" w:sz="4" w:space="0" w:color="auto"/>
              <w:right w:val="single" w:sz="12" w:space="0" w:color="auto"/>
            </w:tcBorders>
          </w:tcPr>
          <w:p w14:paraId="575B843F" w14:textId="77777777" w:rsidR="00185AB7" w:rsidRPr="00185AB7" w:rsidRDefault="00185AB7" w:rsidP="00674F82">
            <w:pPr>
              <w:spacing w:after="0" w:line="240" w:lineRule="auto"/>
              <w:jc w:val="center"/>
            </w:pPr>
          </w:p>
        </w:tc>
        <w:tc>
          <w:tcPr>
            <w:tcW w:w="1701" w:type="dxa"/>
            <w:tcBorders>
              <w:left w:val="single" w:sz="12" w:space="0" w:color="auto"/>
            </w:tcBorders>
          </w:tcPr>
          <w:p w14:paraId="6CED3967" w14:textId="77777777" w:rsidR="00185AB7" w:rsidRPr="00185AB7" w:rsidRDefault="00185AB7" w:rsidP="00674F82">
            <w:pPr>
              <w:spacing w:after="0" w:line="240" w:lineRule="auto"/>
              <w:jc w:val="center"/>
            </w:pPr>
            <w:r w:rsidRPr="00185AB7">
              <w:t>2</w:t>
            </w:r>
          </w:p>
        </w:tc>
        <w:tc>
          <w:tcPr>
            <w:tcW w:w="1701" w:type="dxa"/>
            <w:tcBorders>
              <w:right w:val="single" w:sz="4" w:space="0" w:color="auto"/>
            </w:tcBorders>
          </w:tcPr>
          <w:p w14:paraId="63C0206C" w14:textId="77777777" w:rsidR="00185AB7" w:rsidRPr="00185AB7" w:rsidRDefault="00185AB7" w:rsidP="00674F82">
            <w:pPr>
              <w:spacing w:after="0" w:line="240" w:lineRule="auto"/>
              <w:jc w:val="center"/>
            </w:pPr>
            <w:r w:rsidRPr="00185AB7">
              <w:t>2.3%</w:t>
            </w:r>
          </w:p>
        </w:tc>
        <w:tc>
          <w:tcPr>
            <w:tcW w:w="1843" w:type="dxa"/>
            <w:vMerge/>
            <w:tcBorders>
              <w:left w:val="single" w:sz="4" w:space="0" w:color="auto"/>
              <w:right w:val="single" w:sz="12" w:space="0" w:color="auto"/>
            </w:tcBorders>
          </w:tcPr>
          <w:p w14:paraId="5CA8C0C0" w14:textId="77777777" w:rsidR="00185AB7" w:rsidRPr="00185AB7" w:rsidRDefault="00185AB7" w:rsidP="00674F82">
            <w:pPr>
              <w:spacing w:after="0" w:line="240" w:lineRule="auto"/>
              <w:jc w:val="center"/>
            </w:pPr>
          </w:p>
        </w:tc>
      </w:tr>
      <w:tr w:rsidR="00185AB7" w:rsidRPr="00185AB7" w14:paraId="3BCC5CAA" w14:textId="77777777" w:rsidTr="00674F82">
        <w:tc>
          <w:tcPr>
            <w:tcW w:w="1800" w:type="dxa"/>
            <w:tcBorders>
              <w:left w:val="single" w:sz="12" w:space="0" w:color="auto"/>
              <w:bottom w:val="single" w:sz="12" w:space="0" w:color="auto"/>
              <w:right w:val="single" w:sz="12" w:space="0" w:color="auto"/>
            </w:tcBorders>
          </w:tcPr>
          <w:p w14:paraId="3E2C093E" w14:textId="77777777" w:rsidR="00185AB7" w:rsidRPr="00185AB7" w:rsidRDefault="00185AB7" w:rsidP="00674F82">
            <w:pPr>
              <w:spacing w:after="0" w:line="240" w:lineRule="auto"/>
              <w:rPr>
                <w:b/>
                <w:bCs/>
              </w:rPr>
            </w:pPr>
            <w:r w:rsidRPr="00185AB7">
              <w:rPr>
                <w:b/>
                <w:bCs/>
              </w:rPr>
              <w:t>Total</w:t>
            </w:r>
          </w:p>
        </w:tc>
        <w:tc>
          <w:tcPr>
            <w:tcW w:w="1871" w:type="dxa"/>
            <w:tcBorders>
              <w:left w:val="single" w:sz="12" w:space="0" w:color="auto"/>
              <w:bottom w:val="single" w:sz="12" w:space="0" w:color="auto"/>
            </w:tcBorders>
          </w:tcPr>
          <w:p w14:paraId="3A6B610C" w14:textId="77777777" w:rsidR="00185AB7" w:rsidRPr="00185AB7" w:rsidRDefault="00185AB7" w:rsidP="00674F82">
            <w:pPr>
              <w:spacing w:after="0" w:line="240" w:lineRule="auto"/>
              <w:jc w:val="center"/>
            </w:pPr>
            <w:r w:rsidRPr="00185AB7">
              <w:t>99</w:t>
            </w:r>
          </w:p>
        </w:tc>
        <w:tc>
          <w:tcPr>
            <w:tcW w:w="3260" w:type="dxa"/>
            <w:gridSpan w:val="2"/>
            <w:tcBorders>
              <w:bottom w:val="single" w:sz="12" w:space="0" w:color="auto"/>
              <w:right w:val="single" w:sz="12" w:space="0" w:color="auto"/>
            </w:tcBorders>
          </w:tcPr>
          <w:p w14:paraId="4476D4D0" w14:textId="77777777" w:rsidR="00185AB7" w:rsidRPr="00185AB7" w:rsidRDefault="00185AB7" w:rsidP="00674F82">
            <w:pPr>
              <w:spacing w:after="0" w:line="240" w:lineRule="auto"/>
              <w:jc w:val="center"/>
            </w:pPr>
            <w:r w:rsidRPr="00185AB7">
              <w:t>100%</w:t>
            </w:r>
          </w:p>
        </w:tc>
        <w:tc>
          <w:tcPr>
            <w:tcW w:w="1701" w:type="dxa"/>
            <w:tcBorders>
              <w:left w:val="single" w:sz="12" w:space="0" w:color="auto"/>
              <w:bottom w:val="single" w:sz="12" w:space="0" w:color="auto"/>
            </w:tcBorders>
          </w:tcPr>
          <w:p w14:paraId="1DCF0608" w14:textId="77777777" w:rsidR="00185AB7" w:rsidRPr="00185AB7" w:rsidRDefault="00185AB7" w:rsidP="00674F82">
            <w:pPr>
              <w:spacing w:after="0" w:line="240" w:lineRule="auto"/>
              <w:jc w:val="center"/>
            </w:pPr>
            <w:r w:rsidRPr="00185AB7">
              <w:t>99</w:t>
            </w:r>
          </w:p>
        </w:tc>
        <w:tc>
          <w:tcPr>
            <w:tcW w:w="3544" w:type="dxa"/>
            <w:gridSpan w:val="2"/>
            <w:tcBorders>
              <w:bottom w:val="single" w:sz="12" w:space="0" w:color="auto"/>
              <w:right w:val="single" w:sz="12" w:space="0" w:color="auto"/>
            </w:tcBorders>
          </w:tcPr>
          <w:p w14:paraId="2A272BE9" w14:textId="77777777" w:rsidR="00185AB7" w:rsidRPr="00185AB7" w:rsidRDefault="00185AB7" w:rsidP="00674F82">
            <w:pPr>
              <w:spacing w:after="0" w:line="240" w:lineRule="auto"/>
              <w:jc w:val="center"/>
            </w:pPr>
            <w:r w:rsidRPr="00185AB7">
              <w:t>100%</w:t>
            </w:r>
          </w:p>
        </w:tc>
      </w:tr>
    </w:tbl>
    <w:p w14:paraId="2A0BC97D" w14:textId="77777777" w:rsidR="00185AB7" w:rsidRPr="00185AB7" w:rsidRDefault="00185AB7" w:rsidP="00185AB7"/>
    <w:p w14:paraId="5F766205" w14:textId="77777777" w:rsidR="00674F82" w:rsidRDefault="00674F82" w:rsidP="00185AB7">
      <w:pPr>
        <w:jc w:val="center"/>
      </w:pPr>
    </w:p>
    <w:p w14:paraId="6F6C5F6C" w14:textId="77777777" w:rsidR="00674F82" w:rsidRDefault="00674F82" w:rsidP="00185AB7">
      <w:pPr>
        <w:jc w:val="center"/>
      </w:pPr>
    </w:p>
    <w:p w14:paraId="244539FA" w14:textId="77777777" w:rsidR="00674F82" w:rsidRDefault="00674F82" w:rsidP="00185AB7">
      <w:pPr>
        <w:jc w:val="center"/>
      </w:pPr>
    </w:p>
    <w:p w14:paraId="0EADEDBD" w14:textId="77777777" w:rsidR="00674F82" w:rsidRDefault="00674F82" w:rsidP="00185AB7">
      <w:pPr>
        <w:jc w:val="center"/>
      </w:pPr>
    </w:p>
    <w:p w14:paraId="4F5D0ACB" w14:textId="77777777" w:rsidR="00674F82" w:rsidRDefault="00674F82" w:rsidP="00185AB7">
      <w:pPr>
        <w:jc w:val="center"/>
      </w:pPr>
    </w:p>
    <w:p w14:paraId="5F037A95" w14:textId="77777777" w:rsidR="00674F82" w:rsidRDefault="00674F82" w:rsidP="00185AB7">
      <w:pPr>
        <w:jc w:val="center"/>
      </w:pPr>
    </w:p>
    <w:p w14:paraId="61E12E57" w14:textId="77777777" w:rsidR="00674F82" w:rsidRDefault="00674F82" w:rsidP="00185AB7">
      <w:pPr>
        <w:jc w:val="center"/>
      </w:pPr>
    </w:p>
    <w:p w14:paraId="37F74532" w14:textId="77777777" w:rsidR="00674F82" w:rsidRDefault="00674F82" w:rsidP="00185AB7">
      <w:pPr>
        <w:jc w:val="center"/>
      </w:pPr>
    </w:p>
    <w:p w14:paraId="7071BEB7" w14:textId="77777777" w:rsidR="00674F82" w:rsidRDefault="00674F82" w:rsidP="00185AB7">
      <w:pPr>
        <w:jc w:val="center"/>
      </w:pPr>
    </w:p>
    <w:p w14:paraId="79E8FDFB" w14:textId="77777777" w:rsidR="00674F82" w:rsidRDefault="00674F82" w:rsidP="00185AB7">
      <w:pPr>
        <w:jc w:val="center"/>
      </w:pPr>
    </w:p>
    <w:p w14:paraId="7C84814B" w14:textId="77777777" w:rsidR="00674F82" w:rsidRDefault="00674F82" w:rsidP="00185AB7">
      <w:pPr>
        <w:jc w:val="center"/>
      </w:pPr>
    </w:p>
    <w:p w14:paraId="213D912F" w14:textId="6B79553B" w:rsidR="00185AB7" w:rsidRPr="00185AB7" w:rsidRDefault="00185AB7" w:rsidP="00185AB7">
      <w:pPr>
        <w:jc w:val="center"/>
        <w:sectPr w:rsidR="00185AB7" w:rsidRPr="00185AB7" w:rsidSect="00185AB7">
          <w:pgSz w:w="16838" w:h="11906" w:orient="landscape"/>
          <w:pgMar w:top="1440" w:right="1440" w:bottom="1440" w:left="1440" w:header="720" w:footer="720" w:gutter="0"/>
          <w:cols w:space="720"/>
          <w:docGrid w:linePitch="360"/>
        </w:sectPr>
      </w:pPr>
      <w:r w:rsidRPr="00185AB7">
        <w:t xml:space="preserve">Table 25 – </w:t>
      </w:r>
      <w:r w:rsidR="0005395C" w:rsidRPr="0005395C">
        <w:t>Prevalence of</w:t>
      </w:r>
      <w:r w:rsidR="0005395C" w:rsidRPr="00185AB7">
        <w:t xml:space="preserve"> different types of </w:t>
      </w:r>
      <w:r w:rsidR="0005395C" w:rsidRPr="0005395C">
        <w:t xml:space="preserve">subscription </w:t>
      </w:r>
      <w:r w:rsidR="0005395C" w:rsidRPr="00185AB7">
        <w:t xml:space="preserve">marks in </w:t>
      </w:r>
      <w:r w:rsidR="0005395C" w:rsidRPr="0005395C">
        <w:t xml:space="preserve">wills within </w:t>
      </w:r>
      <w:r w:rsidR="0005395C" w:rsidRPr="00185AB7">
        <w:t>the Bolton-le-Sands and Prestbury wider survey</w:t>
      </w:r>
      <w:r w:rsidRPr="00185AB7">
        <w:t>.</w:t>
      </w:r>
    </w:p>
    <w:tbl>
      <w:tblPr>
        <w:tblStyle w:val="TableGrid12"/>
        <w:tblpPr w:leftFromText="180" w:rightFromText="180" w:vertAnchor="page" w:horzAnchor="margin" w:tblpY="4006"/>
        <w:tblW w:w="0" w:type="auto"/>
        <w:tblLook w:val="04A0" w:firstRow="1" w:lastRow="0" w:firstColumn="1" w:lastColumn="0" w:noHBand="0" w:noVBand="1"/>
      </w:tblPr>
      <w:tblGrid>
        <w:gridCol w:w="3108"/>
        <w:gridCol w:w="2889"/>
        <w:gridCol w:w="2999"/>
      </w:tblGrid>
      <w:tr w:rsidR="001658CF" w:rsidRPr="001658CF" w14:paraId="77DFE5BF" w14:textId="77777777" w:rsidTr="00674F82">
        <w:trPr>
          <w:trHeight w:val="416"/>
        </w:trPr>
        <w:tc>
          <w:tcPr>
            <w:tcW w:w="3108" w:type="dxa"/>
            <w:tcBorders>
              <w:top w:val="single" w:sz="12" w:space="0" w:color="auto"/>
              <w:left w:val="single" w:sz="12" w:space="0" w:color="auto"/>
              <w:bottom w:val="single" w:sz="12" w:space="0" w:color="auto"/>
              <w:right w:val="single" w:sz="12" w:space="0" w:color="auto"/>
            </w:tcBorders>
          </w:tcPr>
          <w:p w14:paraId="40B561FF" w14:textId="77777777" w:rsidR="001658CF" w:rsidRPr="001658CF" w:rsidRDefault="001658CF" w:rsidP="00674F82">
            <w:pPr>
              <w:spacing w:after="0" w:line="240" w:lineRule="auto"/>
            </w:pPr>
          </w:p>
        </w:tc>
        <w:tc>
          <w:tcPr>
            <w:tcW w:w="2889" w:type="dxa"/>
            <w:tcBorders>
              <w:top w:val="single" w:sz="12" w:space="0" w:color="auto"/>
              <w:left w:val="single" w:sz="12" w:space="0" w:color="auto"/>
              <w:bottom w:val="single" w:sz="12" w:space="0" w:color="auto"/>
              <w:right w:val="single" w:sz="12" w:space="0" w:color="auto"/>
            </w:tcBorders>
          </w:tcPr>
          <w:p w14:paraId="097D3E58" w14:textId="77777777" w:rsidR="001658CF" w:rsidRPr="001658CF" w:rsidRDefault="001658CF" w:rsidP="00674F82">
            <w:pPr>
              <w:spacing w:after="0" w:line="240" w:lineRule="auto"/>
              <w:jc w:val="center"/>
              <w:rPr>
                <w:b/>
                <w:bCs/>
              </w:rPr>
            </w:pPr>
            <w:r w:rsidRPr="001658CF">
              <w:rPr>
                <w:b/>
                <w:bCs/>
              </w:rPr>
              <w:t>Bolton-le-Sands</w:t>
            </w:r>
          </w:p>
        </w:tc>
        <w:tc>
          <w:tcPr>
            <w:tcW w:w="2999" w:type="dxa"/>
            <w:tcBorders>
              <w:top w:val="single" w:sz="12" w:space="0" w:color="auto"/>
              <w:left w:val="single" w:sz="12" w:space="0" w:color="auto"/>
              <w:bottom w:val="single" w:sz="12" w:space="0" w:color="auto"/>
              <w:right w:val="single" w:sz="12" w:space="0" w:color="auto"/>
            </w:tcBorders>
          </w:tcPr>
          <w:p w14:paraId="24CD6D1E" w14:textId="77777777" w:rsidR="001658CF" w:rsidRPr="001658CF" w:rsidRDefault="001658CF" w:rsidP="00674F82">
            <w:pPr>
              <w:spacing w:after="0" w:line="240" w:lineRule="auto"/>
              <w:jc w:val="center"/>
              <w:rPr>
                <w:b/>
                <w:bCs/>
              </w:rPr>
            </w:pPr>
            <w:r w:rsidRPr="001658CF">
              <w:rPr>
                <w:b/>
                <w:bCs/>
              </w:rPr>
              <w:t>Prestbury</w:t>
            </w:r>
          </w:p>
        </w:tc>
      </w:tr>
      <w:tr w:rsidR="001658CF" w:rsidRPr="001658CF" w14:paraId="1E91EDE5" w14:textId="77777777" w:rsidTr="00674F82">
        <w:tc>
          <w:tcPr>
            <w:tcW w:w="3108" w:type="dxa"/>
            <w:tcBorders>
              <w:top w:val="single" w:sz="12" w:space="0" w:color="auto"/>
              <w:left w:val="single" w:sz="12" w:space="0" w:color="auto"/>
              <w:right w:val="single" w:sz="12" w:space="0" w:color="auto"/>
            </w:tcBorders>
          </w:tcPr>
          <w:p w14:paraId="637DC606" w14:textId="77777777" w:rsidR="001658CF" w:rsidRPr="001658CF" w:rsidRDefault="001658CF" w:rsidP="00674F82">
            <w:pPr>
              <w:spacing w:after="0" w:line="240" w:lineRule="auto"/>
            </w:pPr>
            <w:r w:rsidRPr="001658CF">
              <w:t>Known Subscription</w:t>
            </w:r>
          </w:p>
        </w:tc>
        <w:tc>
          <w:tcPr>
            <w:tcW w:w="2889" w:type="dxa"/>
            <w:tcBorders>
              <w:top w:val="single" w:sz="12" w:space="0" w:color="auto"/>
              <w:left w:val="single" w:sz="12" w:space="0" w:color="auto"/>
              <w:right w:val="single" w:sz="12" w:space="0" w:color="auto"/>
            </w:tcBorders>
          </w:tcPr>
          <w:p w14:paraId="6B22B4E9" w14:textId="77777777" w:rsidR="001658CF" w:rsidRPr="001658CF" w:rsidRDefault="001658CF" w:rsidP="00674F82">
            <w:pPr>
              <w:spacing w:after="0" w:line="240" w:lineRule="auto"/>
              <w:jc w:val="center"/>
            </w:pPr>
            <w:r w:rsidRPr="001658CF">
              <w:t>10</w:t>
            </w:r>
          </w:p>
        </w:tc>
        <w:tc>
          <w:tcPr>
            <w:tcW w:w="2999" w:type="dxa"/>
            <w:tcBorders>
              <w:top w:val="single" w:sz="12" w:space="0" w:color="auto"/>
              <w:left w:val="single" w:sz="12" w:space="0" w:color="auto"/>
              <w:right w:val="single" w:sz="12" w:space="0" w:color="auto"/>
            </w:tcBorders>
          </w:tcPr>
          <w:p w14:paraId="2D833B97" w14:textId="77777777" w:rsidR="001658CF" w:rsidRPr="001658CF" w:rsidRDefault="001658CF" w:rsidP="00674F82">
            <w:pPr>
              <w:spacing w:after="0" w:line="240" w:lineRule="auto"/>
              <w:jc w:val="center"/>
            </w:pPr>
            <w:r w:rsidRPr="001658CF">
              <w:t>10</w:t>
            </w:r>
          </w:p>
        </w:tc>
      </w:tr>
      <w:tr w:rsidR="001658CF" w:rsidRPr="001658CF" w14:paraId="7CE9D3AE" w14:textId="77777777" w:rsidTr="00674F82">
        <w:tc>
          <w:tcPr>
            <w:tcW w:w="3108" w:type="dxa"/>
            <w:tcBorders>
              <w:left w:val="single" w:sz="12" w:space="0" w:color="auto"/>
              <w:right w:val="single" w:sz="12" w:space="0" w:color="auto"/>
            </w:tcBorders>
          </w:tcPr>
          <w:p w14:paraId="5F601C18" w14:textId="77777777" w:rsidR="001658CF" w:rsidRPr="001658CF" w:rsidRDefault="001658CF" w:rsidP="00674F82">
            <w:pPr>
              <w:spacing w:after="0" w:line="240" w:lineRule="auto"/>
            </w:pPr>
            <w:r w:rsidRPr="001658CF">
              <w:t xml:space="preserve">     Full Signature</w:t>
            </w:r>
          </w:p>
        </w:tc>
        <w:tc>
          <w:tcPr>
            <w:tcW w:w="2889" w:type="dxa"/>
            <w:tcBorders>
              <w:left w:val="single" w:sz="12" w:space="0" w:color="auto"/>
              <w:right w:val="single" w:sz="12" w:space="0" w:color="auto"/>
            </w:tcBorders>
          </w:tcPr>
          <w:p w14:paraId="05229D83" w14:textId="77777777" w:rsidR="001658CF" w:rsidRPr="001658CF" w:rsidRDefault="001658CF" w:rsidP="00674F82">
            <w:pPr>
              <w:spacing w:after="0" w:line="240" w:lineRule="auto"/>
              <w:jc w:val="center"/>
            </w:pPr>
            <w:r w:rsidRPr="001658CF">
              <w:t>5</w:t>
            </w:r>
          </w:p>
        </w:tc>
        <w:tc>
          <w:tcPr>
            <w:tcW w:w="2999" w:type="dxa"/>
            <w:tcBorders>
              <w:left w:val="single" w:sz="12" w:space="0" w:color="auto"/>
              <w:right w:val="single" w:sz="12" w:space="0" w:color="auto"/>
            </w:tcBorders>
          </w:tcPr>
          <w:p w14:paraId="1C01676F" w14:textId="77777777" w:rsidR="001658CF" w:rsidRPr="001658CF" w:rsidRDefault="001658CF" w:rsidP="00674F82">
            <w:pPr>
              <w:spacing w:after="0" w:line="240" w:lineRule="auto"/>
              <w:jc w:val="center"/>
            </w:pPr>
            <w:r w:rsidRPr="001658CF">
              <w:t>9</w:t>
            </w:r>
          </w:p>
        </w:tc>
      </w:tr>
      <w:tr w:rsidR="001658CF" w:rsidRPr="001658CF" w14:paraId="42BE05D4" w14:textId="77777777" w:rsidTr="00674F82">
        <w:tc>
          <w:tcPr>
            <w:tcW w:w="3108" w:type="dxa"/>
            <w:tcBorders>
              <w:left w:val="single" w:sz="12" w:space="0" w:color="auto"/>
              <w:right w:val="single" w:sz="12" w:space="0" w:color="auto"/>
            </w:tcBorders>
          </w:tcPr>
          <w:p w14:paraId="316AA98E" w14:textId="77777777" w:rsidR="001658CF" w:rsidRPr="001658CF" w:rsidRDefault="001658CF" w:rsidP="00674F82">
            <w:pPr>
              <w:spacing w:after="0" w:line="240" w:lineRule="auto"/>
            </w:pPr>
            <w:r w:rsidRPr="001658CF">
              <w:t xml:space="preserve">     Initials</w:t>
            </w:r>
          </w:p>
        </w:tc>
        <w:tc>
          <w:tcPr>
            <w:tcW w:w="2889" w:type="dxa"/>
            <w:tcBorders>
              <w:left w:val="single" w:sz="12" w:space="0" w:color="auto"/>
              <w:right w:val="single" w:sz="12" w:space="0" w:color="auto"/>
            </w:tcBorders>
          </w:tcPr>
          <w:p w14:paraId="63F7836D" w14:textId="77777777" w:rsidR="001658CF" w:rsidRPr="001658CF" w:rsidRDefault="001658CF" w:rsidP="00674F82">
            <w:pPr>
              <w:spacing w:after="0" w:line="240" w:lineRule="auto"/>
              <w:jc w:val="center"/>
            </w:pPr>
            <w:r w:rsidRPr="001658CF">
              <w:t>2</w:t>
            </w:r>
          </w:p>
        </w:tc>
        <w:tc>
          <w:tcPr>
            <w:tcW w:w="2999" w:type="dxa"/>
            <w:tcBorders>
              <w:left w:val="single" w:sz="12" w:space="0" w:color="auto"/>
              <w:right w:val="single" w:sz="12" w:space="0" w:color="auto"/>
            </w:tcBorders>
          </w:tcPr>
          <w:p w14:paraId="2979DA72" w14:textId="77777777" w:rsidR="001658CF" w:rsidRPr="001658CF" w:rsidRDefault="001658CF" w:rsidP="00674F82">
            <w:pPr>
              <w:spacing w:after="0" w:line="240" w:lineRule="auto"/>
              <w:jc w:val="center"/>
            </w:pPr>
            <w:r w:rsidRPr="001658CF">
              <w:t>1</w:t>
            </w:r>
          </w:p>
        </w:tc>
      </w:tr>
      <w:tr w:rsidR="001658CF" w:rsidRPr="001658CF" w14:paraId="039AB2B7" w14:textId="77777777" w:rsidTr="00674F82">
        <w:tc>
          <w:tcPr>
            <w:tcW w:w="3108" w:type="dxa"/>
            <w:tcBorders>
              <w:left w:val="single" w:sz="12" w:space="0" w:color="auto"/>
              <w:right w:val="single" w:sz="12" w:space="0" w:color="auto"/>
            </w:tcBorders>
          </w:tcPr>
          <w:p w14:paraId="0EF27B9F" w14:textId="77777777" w:rsidR="001658CF" w:rsidRPr="001658CF" w:rsidRDefault="001658CF" w:rsidP="00674F82">
            <w:pPr>
              <w:spacing w:after="0" w:line="240" w:lineRule="auto"/>
            </w:pPr>
            <w:r w:rsidRPr="001658CF">
              <w:t xml:space="preserve">     Cross</w:t>
            </w:r>
          </w:p>
        </w:tc>
        <w:tc>
          <w:tcPr>
            <w:tcW w:w="2889" w:type="dxa"/>
            <w:tcBorders>
              <w:left w:val="single" w:sz="12" w:space="0" w:color="auto"/>
              <w:right w:val="single" w:sz="12" w:space="0" w:color="auto"/>
            </w:tcBorders>
          </w:tcPr>
          <w:p w14:paraId="077D41EE" w14:textId="77777777" w:rsidR="001658CF" w:rsidRPr="001658CF" w:rsidRDefault="001658CF" w:rsidP="00674F82">
            <w:pPr>
              <w:spacing w:after="0" w:line="240" w:lineRule="auto"/>
              <w:jc w:val="center"/>
            </w:pPr>
            <w:r w:rsidRPr="001658CF">
              <w:t>2</w:t>
            </w:r>
          </w:p>
        </w:tc>
        <w:tc>
          <w:tcPr>
            <w:tcW w:w="2999" w:type="dxa"/>
            <w:tcBorders>
              <w:left w:val="single" w:sz="12" w:space="0" w:color="auto"/>
              <w:right w:val="single" w:sz="12" w:space="0" w:color="auto"/>
            </w:tcBorders>
          </w:tcPr>
          <w:p w14:paraId="6B56FFA8" w14:textId="77777777" w:rsidR="001658CF" w:rsidRPr="001658CF" w:rsidRDefault="001658CF" w:rsidP="00674F82">
            <w:pPr>
              <w:spacing w:after="0" w:line="240" w:lineRule="auto"/>
              <w:jc w:val="center"/>
            </w:pPr>
            <w:r w:rsidRPr="001658CF">
              <w:t>0</w:t>
            </w:r>
          </w:p>
        </w:tc>
      </w:tr>
      <w:tr w:rsidR="001658CF" w:rsidRPr="001658CF" w14:paraId="70C14C7F" w14:textId="77777777" w:rsidTr="00674F82">
        <w:tc>
          <w:tcPr>
            <w:tcW w:w="3108" w:type="dxa"/>
            <w:tcBorders>
              <w:left w:val="single" w:sz="12" w:space="0" w:color="auto"/>
              <w:right w:val="single" w:sz="12" w:space="0" w:color="auto"/>
            </w:tcBorders>
          </w:tcPr>
          <w:p w14:paraId="60C6D27F" w14:textId="77777777" w:rsidR="001658CF" w:rsidRPr="001658CF" w:rsidRDefault="001658CF" w:rsidP="00674F82">
            <w:pPr>
              <w:spacing w:after="0" w:line="240" w:lineRule="auto"/>
            </w:pPr>
            <w:r w:rsidRPr="001658CF">
              <w:t xml:space="preserve">     Circle</w:t>
            </w:r>
          </w:p>
        </w:tc>
        <w:tc>
          <w:tcPr>
            <w:tcW w:w="2889" w:type="dxa"/>
            <w:tcBorders>
              <w:left w:val="single" w:sz="12" w:space="0" w:color="auto"/>
              <w:right w:val="single" w:sz="12" w:space="0" w:color="auto"/>
            </w:tcBorders>
          </w:tcPr>
          <w:p w14:paraId="46863EEF" w14:textId="77777777" w:rsidR="001658CF" w:rsidRPr="001658CF" w:rsidRDefault="001658CF" w:rsidP="00674F82">
            <w:pPr>
              <w:spacing w:after="0" w:line="240" w:lineRule="auto"/>
              <w:jc w:val="center"/>
            </w:pPr>
            <w:r w:rsidRPr="001658CF">
              <w:t>1</w:t>
            </w:r>
          </w:p>
        </w:tc>
        <w:tc>
          <w:tcPr>
            <w:tcW w:w="2999" w:type="dxa"/>
            <w:tcBorders>
              <w:left w:val="single" w:sz="12" w:space="0" w:color="auto"/>
              <w:right w:val="single" w:sz="12" w:space="0" w:color="auto"/>
            </w:tcBorders>
          </w:tcPr>
          <w:p w14:paraId="272926C6" w14:textId="77777777" w:rsidR="001658CF" w:rsidRPr="001658CF" w:rsidRDefault="001658CF" w:rsidP="00674F82">
            <w:pPr>
              <w:spacing w:after="0" w:line="240" w:lineRule="auto"/>
              <w:jc w:val="center"/>
            </w:pPr>
            <w:r w:rsidRPr="001658CF">
              <w:t>0</w:t>
            </w:r>
          </w:p>
        </w:tc>
      </w:tr>
      <w:tr w:rsidR="001658CF" w:rsidRPr="001658CF" w14:paraId="3552C4A1" w14:textId="77777777" w:rsidTr="00674F82">
        <w:tc>
          <w:tcPr>
            <w:tcW w:w="3108" w:type="dxa"/>
            <w:tcBorders>
              <w:left w:val="single" w:sz="12" w:space="0" w:color="auto"/>
              <w:bottom w:val="single" w:sz="12" w:space="0" w:color="auto"/>
              <w:right w:val="single" w:sz="12" w:space="0" w:color="auto"/>
            </w:tcBorders>
          </w:tcPr>
          <w:p w14:paraId="42A0AAC8" w14:textId="77777777" w:rsidR="001658CF" w:rsidRPr="001658CF" w:rsidRDefault="001658CF" w:rsidP="00674F82">
            <w:pPr>
              <w:spacing w:after="0" w:line="240" w:lineRule="auto"/>
            </w:pPr>
            <w:r w:rsidRPr="001658CF">
              <w:t>No Evidence of Subscription</w:t>
            </w:r>
          </w:p>
        </w:tc>
        <w:tc>
          <w:tcPr>
            <w:tcW w:w="2889" w:type="dxa"/>
            <w:tcBorders>
              <w:left w:val="single" w:sz="12" w:space="0" w:color="auto"/>
              <w:bottom w:val="single" w:sz="12" w:space="0" w:color="auto"/>
              <w:right w:val="single" w:sz="12" w:space="0" w:color="auto"/>
            </w:tcBorders>
          </w:tcPr>
          <w:p w14:paraId="28C4A43B" w14:textId="77777777" w:rsidR="001658CF" w:rsidRPr="001658CF" w:rsidRDefault="001658CF" w:rsidP="00674F82">
            <w:pPr>
              <w:spacing w:after="0" w:line="240" w:lineRule="auto"/>
              <w:jc w:val="center"/>
            </w:pPr>
            <w:r w:rsidRPr="001658CF">
              <w:t>9</w:t>
            </w:r>
          </w:p>
        </w:tc>
        <w:tc>
          <w:tcPr>
            <w:tcW w:w="2999" w:type="dxa"/>
            <w:tcBorders>
              <w:left w:val="single" w:sz="12" w:space="0" w:color="auto"/>
              <w:bottom w:val="single" w:sz="12" w:space="0" w:color="auto"/>
              <w:right w:val="single" w:sz="12" w:space="0" w:color="auto"/>
            </w:tcBorders>
          </w:tcPr>
          <w:p w14:paraId="1ADD42A7" w14:textId="77777777" w:rsidR="001658CF" w:rsidRPr="001658CF" w:rsidRDefault="001658CF" w:rsidP="00674F82">
            <w:pPr>
              <w:spacing w:after="0" w:line="240" w:lineRule="auto"/>
              <w:jc w:val="center"/>
            </w:pPr>
            <w:r w:rsidRPr="001658CF">
              <w:t>9</w:t>
            </w:r>
          </w:p>
        </w:tc>
      </w:tr>
      <w:tr w:rsidR="001658CF" w:rsidRPr="001658CF" w14:paraId="30AD5916" w14:textId="77777777" w:rsidTr="00674F82">
        <w:tc>
          <w:tcPr>
            <w:tcW w:w="3108" w:type="dxa"/>
            <w:tcBorders>
              <w:top w:val="single" w:sz="12" w:space="0" w:color="auto"/>
              <w:left w:val="single" w:sz="12" w:space="0" w:color="auto"/>
              <w:bottom w:val="single" w:sz="12" w:space="0" w:color="auto"/>
              <w:right w:val="single" w:sz="12" w:space="0" w:color="auto"/>
            </w:tcBorders>
          </w:tcPr>
          <w:p w14:paraId="434E24A9" w14:textId="77777777" w:rsidR="001658CF" w:rsidRPr="001658CF" w:rsidRDefault="001658CF" w:rsidP="00674F82">
            <w:pPr>
              <w:spacing w:after="0" w:line="240" w:lineRule="auto"/>
              <w:rPr>
                <w:b/>
                <w:bCs/>
              </w:rPr>
            </w:pPr>
            <w:r w:rsidRPr="001658CF">
              <w:rPr>
                <w:b/>
                <w:bCs/>
              </w:rPr>
              <w:t>Total People in Core Sample</w:t>
            </w:r>
          </w:p>
        </w:tc>
        <w:tc>
          <w:tcPr>
            <w:tcW w:w="2889" w:type="dxa"/>
            <w:tcBorders>
              <w:top w:val="single" w:sz="12" w:space="0" w:color="auto"/>
              <w:left w:val="single" w:sz="12" w:space="0" w:color="auto"/>
              <w:bottom w:val="single" w:sz="12" w:space="0" w:color="auto"/>
              <w:right w:val="single" w:sz="12" w:space="0" w:color="auto"/>
            </w:tcBorders>
          </w:tcPr>
          <w:p w14:paraId="27E14EDF" w14:textId="77777777" w:rsidR="001658CF" w:rsidRPr="001658CF" w:rsidRDefault="001658CF" w:rsidP="00674F82">
            <w:pPr>
              <w:spacing w:after="0" w:line="240" w:lineRule="auto"/>
              <w:jc w:val="center"/>
              <w:rPr>
                <w:b/>
                <w:bCs/>
              </w:rPr>
            </w:pPr>
            <w:r w:rsidRPr="001658CF">
              <w:rPr>
                <w:b/>
                <w:bCs/>
              </w:rPr>
              <w:t>19</w:t>
            </w:r>
          </w:p>
        </w:tc>
        <w:tc>
          <w:tcPr>
            <w:tcW w:w="2999" w:type="dxa"/>
            <w:tcBorders>
              <w:top w:val="single" w:sz="12" w:space="0" w:color="auto"/>
              <w:left w:val="single" w:sz="12" w:space="0" w:color="auto"/>
              <w:bottom w:val="single" w:sz="12" w:space="0" w:color="auto"/>
              <w:right w:val="single" w:sz="12" w:space="0" w:color="auto"/>
            </w:tcBorders>
          </w:tcPr>
          <w:p w14:paraId="099B94EF" w14:textId="77777777" w:rsidR="001658CF" w:rsidRPr="001658CF" w:rsidRDefault="001658CF" w:rsidP="00674F82">
            <w:pPr>
              <w:spacing w:after="0" w:line="240" w:lineRule="auto"/>
              <w:jc w:val="center"/>
              <w:rPr>
                <w:b/>
                <w:bCs/>
              </w:rPr>
            </w:pPr>
            <w:r w:rsidRPr="001658CF">
              <w:rPr>
                <w:b/>
                <w:bCs/>
              </w:rPr>
              <w:t>19</w:t>
            </w:r>
          </w:p>
        </w:tc>
      </w:tr>
    </w:tbl>
    <w:p w14:paraId="053F66AE" w14:textId="77777777" w:rsidR="001658CF" w:rsidRPr="001658CF" w:rsidRDefault="001658CF" w:rsidP="001658CF"/>
    <w:p w14:paraId="79F328AA" w14:textId="77777777" w:rsidR="00674F82" w:rsidRDefault="00674F82" w:rsidP="001658CF">
      <w:pPr>
        <w:jc w:val="center"/>
      </w:pPr>
    </w:p>
    <w:p w14:paraId="4BC4BE68" w14:textId="77777777" w:rsidR="00674F82" w:rsidRDefault="00674F82" w:rsidP="001658CF">
      <w:pPr>
        <w:jc w:val="center"/>
      </w:pPr>
    </w:p>
    <w:p w14:paraId="2B732041" w14:textId="77777777" w:rsidR="00674F82" w:rsidRDefault="00674F82" w:rsidP="001658CF">
      <w:pPr>
        <w:jc w:val="center"/>
      </w:pPr>
    </w:p>
    <w:p w14:paraId="470C4278" w14:textId="77777777" w:rsidR="00674F82" w:rsidRDefault="00674F82" w:rsidP="001658CF">
      <w:pPr>
        <w:jc w:val="center"/>
      </w:pPr>
    </w:p>
    <w:p w14:paraId="1E2011CA" w14:textId="77777777" w:rsidR="00674F82" w:rsidRDefault="00674F82" w:rsidP="001658CF">
      <w:pPr>
        <w:jc w:val="center"/>
      </w:pPr>
    </w:p>
    <w:p w14:paraId="6C5D9449" w14:textId="3C5EDBB9" w:rsidR="001658CF" w:rsidRDefault="001658CF" w:rsidP="001658CF">
      <w:pPr>
        <w:jc w:val="center"/>
      </w:pPr>
      <w:r w:rsidRPr="001658CF">
        <w:t>Table 26 – Availability of subscription evidence for inscribers in the Bolton-le-Sands and Prestbury core sample</w:t>
      </w:r>
      <w:r>
        <w:t>.</w:t>
      </w:r>
    </w:p>
    <w:p w14:paraId="5DCA3B5B" w14:textId="77777777" w:rsidR="001658CF" w:rsidRDefault="001658CF">
      <w:pPr>
        <w:spacing w:after="0" w:line="240" w:lineRule="auto"/>
      </w:pPr>
      <w:r>
        <w:br w:type="page"/>
      </w:r>
    </w:p>
    <w:p w14:paraId="44AE0B3E" w14:textId="0306DD53" w:rsidR="001658CF" w:rsidRDefault="001658CF">
      <w:pPr>
        <w:spacing w:after="0" w:line="240" w:lineRule="auto"/>
      </w:pPr>
    </w:p>
    <w:p w14:paraId="053B74B0" w14:textId="77777777" w:rsidR="00674F82" w:rsidRDefault="00674F82">
      <w:pPr>
        <w:spacing w:after="0" w:line="240" w:lineRule="auto"/>
      </w:pPr>
    </w:p>
    <w:p w14:paraId="53E552FC" w14:textId="77777777" w:rsidR="00674F82" w:rsidRDefault="00674F82">
      <w:pPr>
        <w:spacing w:after="0" w:line="240" w:lineRule="auto"/>
      </w:pPr>
    </w:p>
    <w:p w14:paraId="5DAB6CDF" w14:textId="77777777" w:rsidR="00674F82" w:rsidRDefault="00674F82">
      <w:pPr>
        <w:spacing w:after="0" w:line="240" w:lineRule="auto"/>
      </w:pPr>
    </w:p>
    <w:p w14:paraId="0AFA13BF" w14:textId="77777777" w:rsidR="00674F82" w:rsidRDefault="00674F82">
      <w:pPr>
        <w:spacing w:after="0" w:line="240" w:lineRule="auto"/>
      </w:pPr>
    </w:p>
    <w:p w14:paraId="05BFB057" w14:textId="77777777" w:rsidR="00674F82" w:rsidRDefault="00674F82">
      <w:pPr>
        <w:spacing w:after="0" w:line="240" w:lineRule="auto"/>
      </w:pPr>
    </w:p>
    <w:p w14:paraId="20727313" w14:textId="77777777" w:rsidR="00674F82" w:rsidRDefault="00674F82">
      <w:pPr>
        <w:spacing w:after="0" w:line="240" w:lineRule="auto"/>
      </w:pPr>
    </w:p>
    <w:p w14:paraId="0862D2D7" w14:textId="77777777" w:rsidR="00674F82" w:rsidRDefault="00674F82">
      <w:pPr>
        <w:spacing w:after="0" w:line="240" w:lineRule="auto"/>
      </w:pPr>
    </w:p>
    <w:tbl>
      <w:tblPr>
        <w:tblStyle w:val="TableGrid13"/>
        <w:tblW w:w="9341" w:type="dxa"/>
        <w:tblLook w:val="04A0" w:firstRow="1" w:lastRow="0" w:firstColumn="1" w:lastColumn="0" w:noHBand="0" w:noVBand="1"/>
      </w:tblPr>
      <w:tblGrid>
        <w:gridCol w:w="2962"/>
        <w:gridCol w:w="3119"/>
        <w:gridCol w:w="3260"/>
      </w:tblGrid>
      <w:tr w:rsidR="00B9725A" w:rsidRPr="00B9725A" w14:paraId="23BB10AA" w14:textId="77777777" w:rsidTr="005322D8">
        <w:tc>
          <w:tcPr>
            <w:tcW w:w="2962" w:type="dxa"/>
            <w:vMerge w:val="restart"/>
            <w:tcBorders>
              <w:top w:val="single" w:sz="12" w:space="0" w:color="auto"/>
              <w:left w:val="single" w:sz="12" w:space="0" w:color="auto"/>
              <w:right w:val="single" w:sz="12" w:space="0" w:color="auto"/>
            </w:tcBorders>
          </w:tcPr>
          <w:p w14:paraId="52856A3F" w14:textId="77777777" w:rsidR="00B9725A" w:rsidRPr="00B9725A" w:rsidRDefault="00B9725A" w:rsidP="00B9725A">
            <w:pPr>
              <w:spacing w:after="0" w:line="240" w:lineRule="auto"/>
            </w:pPr>
          </w:p>
        </w:tc>
        <w:tc>
          <w:tcPr>
            <w:tcW w:w="6379" w:type="dxa"/>
            <w:gridSpan w:val="2"/>
            <w:tcBorders>
              <w:top w:val="single" w:sz="12" w:space="0" w:color="auto"/>
              <w:left w:val="single" w:sz="12" w:space="0" w:color="auto"/>
              <w:bottom w:val="single" w:sz="12" w:space="0" w:color="auto"/>
              <w:right w:val="single" w:sz="12" w:space="0" w:color="auto"/>
            </w:tcBorders>
          </w:tcPr>
          <w:p w14:paraId="6349DD48" w14:textId="77777777" w:rsidR="00B9725A" w:rsidRPr="00B9725A" w:rsidRDefault="00B9725A" w:rsidP="00B9725A">
            <w:pPr>
              <w:spacing w:after="0" w:line="240" w:lineRule="auto"/>
              <w:jc w:val="center"/>
              <w:rPr>
                <w:b/>
                <w:bCs/>
              </w:rPr>
            </w:pPr>
            <w:r w:rsidRPr="00B9725A">
              <w:rPr>
                <w:b/>
                <w:bCs/>
              </w:rPr>
              <w:t>Number of Testators Making Bequests</w:t>
            </w:r>
          </w:p>
        </w:tc>
      </w:tr>
      <w:tr w:rsidR="00B9725A" w:rsidRPr="00B9725A" w14:paraId="5BBAD786" w14:textId="77777777" w:rsidTr="005322D8">
        <w:tc>
          <w:tcPr>
            <w:tcW w:w="2962" w:type="dxa"/>
            <w:vMerge/>
            <w:tcBorders>
              <w:left w:val="single" w:sz="12" w:space="0" w:color="auto"/>
              <w:bottom w:val="single" w:sz="12" w:space="0" w:color="auto"/>
              <w:right w:val="single" w:sz="12" w:space="0" w:color="auto"/>
            </w:tcBorders>
          </w:tcPr>
          <w:p w14:paraId="5A7B06C0" w14:textId="77777777" w:rsidR="00B9725A" w:rsidRPr="00B9725A" w:rsidRDefault="00B9725A" w:rsidP="00B9725A">
            <w:pPr>
              <w:spacing w:after="0" w:line="240" w:lineRule="auto"/>
            </w:pPr>
          </w:p>
        </w:tc>
        <w:tc>
          <w:tcPr>
            <w:tcW w:w="3119" w:type="dxa"/>
            <w:tcBorders>
              <w:top w:val="single" w:sz="12" w:space="0" w:color="auto"/>
              <w:left w:val="single" w:sz="12" w:space="0" w:color="auto"/>
              <w:bottom w:val="single" w:sz="12" w:space="0" w:color="auto"/>
            </w:tcBorders>
          </w:tcPr>
          <w:p w14:paraId="3CBEC80B" w14:textId="77777777" w:rsidR="00B9725A" w:rsidRPr="00B9725A" w:rsidRDefault="00B9725A" w:rsidP="00B9725A">
            <w:pPr>
              <w:spacing w:after="0" w:line="240" w:lineRule="auto"/>
              <w:jc w:val="center"/>
              <w:rPr>
                <w:b/>
                <w:bCs/>
              </w:rPr>
            </w:pPr>
            <w:r w:rsidRPr="00B9725A">
              <w:rPr>
                <w:b/>
                <w:bCs/>
              </w:rPr>
              <w:t>Bolton-le-Sands</w:t>
            </w:r>
          </w:p>
        </w:tc>
        <w:tc>
          <w:tcPr>
            <w:tcW w:w="3260" w:type="dxa"/>
            <w:tcBorders>
              <w:top w:val="single" w:sz="12" w:space="0" w:color="auto"/>
              <w:left w:val="single" w:sz="12" w:space="0" w:color="auto"/>
              <w:bottom w:val="single" w:sz="12" w:space="0" w:color="auto"/>
              <w:right w:val="single" w:sz="12" w:space="0" w:color="auto"/>
            </w:tcBorders>
          </w:tcPr>
          <w:p w14:paraId="7E0D3518" w14:textId="77777777" w:rsidR="00B9725A" w:rsidRPr="00B9725A" w:rsidRDefault="00B9725A" w:rsidP="00B9725A">
            <w:pPr>
              <w:spacing w:after="0" w:line="240" w:lineRule="auto"/>
              <w:jc w:val="center"/>
              <w:rPr>
                <w:b/>
                <w:bCs/>
              </w:rPr>
            </w:pPr>
            <w:r w:rsidRPr="00B9725A">
              <w:rPr>
                <w:b/>
                <w:bCs/>
              </w:rPr>
              <w:t>Prestbury</w:t>
            </w:r>
          </w:p>
        </w:tc>
      </w:tr>
      <w:tr w:rsidR="00B9725A" w:rsidRPr="00B9725A" w14:paraId="343F90C4" w14:textId="77777777" w:rsidTr="005322D8">
        <w:tc>
          <w:tcPr>
            <w:tcW w:w="2962" w:type="dxa"/>
            <w:tcBorders>
              <w:top w:val="single" w:sz="12" w:space="0" w:color="auto"/>
              <w:left w:val="single" w:sz="12" w:space="0" w:color="auto"/>
              <w:right w:val="single" w:sz="12" w:space="0" w:color="auto"/>
            </w:tcBorders>
          </w:tcPr>
          <w:p w14:paraId="29EB089F" w14:textId="77777777" w:rsidR="00B9725A" w:rsidRPr="00B9725A" w:rsidRDefault="00B9725A" w:rsidP="00B9725A">
            <w:pPr>
              <w:spacing w:after="0" w:line="240" w:lineRule="auto"/>
            </w:pPr>
            <w:r w:rsidRPr="00B9725A">
              <w:t>Real Estate</w:t>
            </w:r>
          </w:p>
        </w:tc>
        <w:tc>
          <w:tcPr>
            <w:tcW w:w="3119" w:type="dxa"/>
            <w:tcBorders>
              <w:top w:val="single" w:sz="12" w:space="0" w:color="auto"/>
              <w:left w:val="single" w:sz="12" w:space="0" w:color="auto"/>
            </w:tcBorders>
          </w:tcPr>
          <w:p w14:paraId="38B6868A" w14:textId="77777777" w:rsidR="00B9725A" w:rsidRPr="00B9725A" w:rsidRDefault="00B9725A" w:rsidP="00B9725A">
            <w:pPr>
              <w:spacing w:after="0" w:line="240" w:lineRule="auto"/>
              <w:jc w:val="center"/>
            </w:pPr>
            <w:r w:rsidRPr="00B9725A">
              <w:t>65</w:t>
            </w:r>
          </w:p>
        </w:tc>
        <w:tc>
          <w:tcPr>
            <w:tcW w:w="3260" w:type="dxa"/>
            <w:tcBorders>
              <w:top w:val="single" w:sz="12" w:space="0" w:color="auto"/>
              <w:left w:val="single" w:sz="12" w:space="0" w:color="auto"/>
              <w:right w:val="single" w:sz="12" w:space="0" w:color="auto"/>
            </w:tcBorders>
          </w:tcPr>
          <w:p w14:paraId="4D54409C" w14:textId="77777777" w:rsidR="00B9725A" w:rsidRPr="00B9725A" w:rsidRDefault="00B9725A" w:rsidP="00B9725A">
            <w:pPr>
              <w:spacing w:after="0" w:line="240" w:lineRule="auto"/>
              <w:jc w:val="center"/>
            </w:pPr>
            <w:r w:rsidRPr="00B9725A">
              <w:t>62</w:t>
            </w:r>
          </w:p>
        </w:tc>
      </w:tr>
      <w:tr w:rsidR="00B9725A" w:rsidRPr="00B9725A" w14:paraId="5CEBE53D" w14:textId="77777777" w:rsidTr="005322D8">
        <w:tc>
          <w:tcPr>
            <w:tcW w:w="2962" w:type="dxa"/>
            <w:tcBorders>
              <w:top w:val="single" w:sz="4" w:space="0" w:color="auto"/>
              <w:left w:val="single" w:sz="12" w:space="0" w:color="auto"/>
              <w:right w:val="single" w:sz="12" w:space="0" w:color="auto"/>
            </w:tcBorders>
          </w:tcPr>
          <w:p w14:paraId="05A17EDB" w14:textId="77777777" w:rsidR="00B9725A" w:rsidRPr="00B9725A" w:rsidRDefault="00B9725A" w:rsidP="00B9725A">
            <w:pPr>
              <w:spacing w:after="0" w:line="240" w:lineRule="auto"/>
            </w:pPr>
            <w:r w:rsidRPr="00B9725A">
              <w:t>Furniture</w:t>
            </w:r>
          </w:p>
        </w:tc>
        <w:tc>
          <w:tcPr>
            <w:tcW w:w="3119" w:type="dxa"/>
            <w:tcBorders>
              <w:top w:val="single" w:sz="4" w:space="0" w:color="auto"/>
              <w:left w:val="single" w:sz="12" w:space="0" w:color="auto"/>
            </w:tcBorders>
          </w:tcPr>
          <w:p w14:paraId="1F8C4E42" w14:textId="77777777" w:rsidR="00B9725A" w:rsidRPr="00B9725A" w:rsidRDefault="00B9725A" w:rsidP="00B9725A">
            <w:pPr>
              <w:spacing w:after="0" w:line="240" w:lineRule="auto"/>
              <w:jc w:val="center"/>
            </w:pPr>
            <w:r w:rsidRPr="00B9725A">
              <w:t>26</w:t>
            </w:r>
          </w:p>
        </w:tc>
        <w:tc>
          <w:tcPr>
            <w:tcW w:w="3260" w:type="dxa"/>
            <w:tcBorders>
              <w:top w:val="single" w:sz="4" w:space="0" w:color="auto"/>
              <w:left w:val="single" w:sz="12" w:space="0" w:color="auto"/>
              <w:right w:val="single" w:sz="12" w:space="0" w:color="auto"/>
            </w:tcBorders>
          </w:tcPr>
          <w:p w14:paraId="64A30461" w14:textId="77777777" w:rsidR="00B9725A" w:rsidRPr="00B9725A" w:rsidRDefault="00B9725A" w:rsidP="00B9725A">
            <w:pPr>
              <w:spacing w:after="0" w:line="240" w:lineRule="auto"/>
              <w:jc w:val="center"/>
            </w:pPr>
            <w:r w:rsidRPr="00B9725A">
              <w:t>34</w:t>
            </w:r>
          </w:p>
        </w:tc>
      </w:tr>
      <w:tr w:rsidR="00B9725A" w:rsidRPr="00B9725A" w14:paraId="11A6F2C5" w14:textId="77777777" w:rsidTr="005322D8">
        <w:tc>
          <w:tcPr>
            <w:tcW w:w="2962" w:type="dxa"/>
            <w:tcBorders>
              <w:left w:val="single" w:sz="12" w:space="0" w:color="auto"/>
              <w:right w:val="single" w:sz="12" w:space="0" w:color="auto"/>
            </w:tcBorders>
          </w:tcPr>
          <w:p w14:paraId="60C6337E" w14:textId="77777777" w:rsidR="00B9725A" w:rsidRPr="00B9725A" w:rsidRDefault="00B9725A" w:rsidP="00B9725A">
            <w:pPr>
              <w:spacing w:after="0" w:line="240" w:lineRule="auto"/>
            </w:pPr>
            <w:r w:rsidRPr="00B9725A">
              <w:t>Kitchenware</w:t>
            </w:r>
          </w:p>
        </w:tc>
        <w:tc>
          <w:tcPr>
            <w:tcW w:w="3119" w:type="dxa"/>
            <w:tcBorders>
              <w:left w:val="single" w:sz="12" w:space="0" w:color="auto"/>
            </w:tcBorders>
          </w:tcPr>
          <w:p w14:paraId="2EB25CEA" w14:textId="77777777" w:rsidR="00B9725A" w:rsidRPr="00B9725A" w:rsidRDefault="00B9725A" w:rsidP="00B9725A">
            <w:pPr>
              <w:spacing w:after="0" w:line="240" w:lineRule="auto"/>
              <w:jc w:val="center"/>
            </w:pPr>
            <w:r w:rsidRPr="00B9725A">
              <w:t>5</w:t>
            </w:r>
          </w:p>
        </w:tc>
        <w:tc>
          <w:tcPr>
            <w:tcW w:w="3260" w:type="dxa"/>
            <w:tcBorders>
              <w:left w:val="single" w:sz="12" w:space="0" w:color="auto"/>
              <w:right w:val="single" w:sz="12" w:space="0" w:color="auto"/>
            </w:tcBorders>
          </w:tcPr>
          <w:p w14:paraId="0BA34551" w14:textId="77777777" w:rsidR="00B9725A" w:rsidRPr="00B9725A" w:rsidRDefault="00B9725A" w:rsidP="00B9725A">
            <w:pPr>
              <w:spacing w:after="0" w:line="240" w:lineRule="auto"/>
              <w:jc w:val="center"/>
            </w:pPr>
            <w:r w:rsidRPr="00B9725A">
              <w:t>14</w:t>
            </w:r>
          </w:p>
        </w:tc>
      </w:tr>
      <w:tr w:rsidR="00B9725A" w:rsidRPr="00B9725A" w14:paraId="0A5F8FCC" w14:textId="77777777" w:rsidTr="005322D8">
        <w:tc>
          <w:tcPr>
            <w:tcW w:w="2962" w:type="dxa"/>
            <w:tcBorders>
              <w:left w:val="single" w:sz="12" w:space="0" w:color="auto"/>
              <w:right w:val="single" w:sz="12" w:space="0" w:color="auto"/>
            </w:tcBorders>
          </w:tcPr>
          <w:p w14:paraId="4CBC27D6" w14:textId="77777777" w:rsidR="00B9725A" w:rsidRPr="00B9725A" w:rsidRDefault="00B9725A" w:rsidP="00B9725A">
            <w:pPr>
              <w:spacing w:after="0" w:line="240" w:lineRule="auto"/>
            </w:pPr>
            <w:r w:rsidRPr="00B9725A">
              <w:t>All Textiles</w:t>
            </w:r>
          </w:p>
        </w:tc>
        <w:tc>
          <w:tcPr>
            <w:tcW w:w="3119" w:type="dxa"/>
            <w:tcBorders>
              <w:left w:val="single" w:sz="12" w:space="0" w:color="auto"/>
            </w:tcBorders>
          </w:tcPr>
          <w:p w14:paraId="69512664" w14:textId="77777777" w:rsidR="00B9725A" w:rsidRPr="00B9725A" w:rsidRDefault="00B9725A" w:rsidP="00B9725A">
            <w:pPr>
              <w:spacing w:after="0" w:line="240" w:lineRule="auto"/>
              <w:jc w:val="center"/>
            </w:pPr>
            <w:r w:rsidRPr="00B9725A">
              <w:t>17</w:t>
            </w:r>
          </w:p>
        </w:tc>
        <w:tc>
          <w:tcPr>
            <w:tcW w:w="3260" w:type="dxa"/>
            <w:tcBorders>
              <w:left w:val="single" w:sz="12" w:space="0" w:color="auto"/>
              <w:right w:val="single" w:sz="12" w:space="0" w:color="auto"/>
            </w:tcBorders>
          </w:tcPr>
          <w:p w14:paraId="693AA883" w14:textId="77777777" w:rsidR="00B9725A" w:rsidRPr="00B9725A" w:rsidRDefault="00B9725A" w:rsidP="00B9725A">
            <w:pPr>
              <w:spacing w:after="0" w:line="240" w:lineRule="auto"/>
              <w:jc w:val="center"/>
            </w:pPr>
            <w:r w:rsidRPr="00B9725A">
              <w:t>29</w:t>
            </w:r>
          </w:p>
        </w:tc>
      </w:tr>
      <w:tr w:rsidR="00B9725A" w:rsidRPr="00B9725A" w14:paraId="409AAD63" w14:textId="77777777" w:rsidTr="005322D8">
        <w:tc>
          <w:tcPr>
            <w:tcW w:w="2962" w:type="dxa"/>
            <w:tcBorders>
              <w:left w:val="single" w:sz="12" w:space="0" w:color="auto"/>
              <w:right w:val="single" w:sz="12" w:space="0" w:color="auto"/>
            </w:tcBorders>
          </w:tcPr>
          <w:p w14:paraId="0F1C2F4C" w14:textId="77777777" w:rsidR="00B9725A" w:rsidRPr="00B9725A" w:rsidRDefault="00B9725A" w:rsidP="00B9725A">
            <w:pPr>
              <w:spacing w:after="0" w:line="240" w:lineRule="auto"/>
            </w:pPr>
            <w:r w:rsidRPr="00B9725A">
              <w:t xml:space="preserve">     Clothing</w:t>
            </w:r>
          </w:p>
        </w:tc>
        <w:tc>
          <w:tcPr>
            <w:tcW w:w="3119" w:type="dxa"/>
            <w:tcBorders>
              <w:left w:val="single" w:sz="12" w:space="0" w:color="auto"/>
            </w:tcBorders>
          </w:tcPr>
          <w:p w14:paraId="474F3433" w14:textId="77777777" w:rsidR="00B9725A" w:rsidRPr="00B9725A" w:rsidRDefault="00B9725A" w:rsidP="00B9725A">
            <w:pPr>
              <w:spacing w:after="0" w:line="240" w:lineRule="auto"/>
              <w:jc w:val="center"/>
            </w:pPr>
            <w:r w:rsidRPr="00B9725A">
              <w:t>14</w:t>
            </w:r>
          </w:p>
        </w:tc>
        <w:tc>
          <w:tcPr>
            <w:tcW w:w="3260" w:type="dxa"/>
            <w:tcBorders>
              <w:left w:val="single" w:sz="12" w:space="0" w:color="auto"/>
              <w:right w:val="single" w:sz="12" w:space="0" w:color="auto"/>
            </w:tcBorders>
          </w:tcPr>
          <w:p w14:paraId="44926E35" w14:textId="77777777" w:rsidR="00B9725A" w:rsidRPr="00B9725A" w:rsidRDefault="00B9725A" w:rsidP="00B9725A">
            <w:pPr>
              <w:spacing w:after="0" w:line="240" w:lineRule="auto"/>
              <w:jc w:val="center"/>
            </w:pPr>
            <w:r w:rsidRPr="00B9725A">
              <w:t>17</w:t>
            </w:r>
          </w:p>
        </w:tc>
      </w:tr>
      <w:tr w:rsidR="00B9725A" w:rsidRPr="00B9725A" w14:paraId="421F593F" w14:textId="77777777" w:rsidTr="005322D8">
        <w:tc>
          <w:tcPr>
            <w:tcW w:w="2962" w:type="dxa"/>
            <w:tcBorders>
              <w:left w:val="single" w:sz="12" w:space="0" w:color="auto"/>
              <w:right w:val="single" w:sz="12" w:space="0" w:color="auto"/>
            </w:tcBorders>
          </w:tcPr>
          <w:p w14:paraId="08FA8968" w14:textId="77777777" w:rsidR="00B9725A" w:rsidRPr="00B9725A" w:rsidRDefault="00B9725A" w:rsidP="00B9725A">
            <w:pPr>
              <w:spacing w:after="0" w:line="240" w:lineRule="auto"/>
            </w:pPr>
            <w:r w:rsidRPr="00B9725A">
              <w:t xml:space="preserve">     Bedding</w:t>
            </w:r>
          </w:p>
        </w:tc>
        <w:tc>
          <w:tcPr>
            <w:tcW w:w="3119" w:type="dxa"/>
            <w:tcBorders>
              <w:left w:val="single" w:sz="12" w:space="0" w:color="auto"/>
            </w:tcBorders>
          </w:tcPr>
          <w:p w14:paraId="0E76177A" w14:textId="77777777" w:rsidR="00B9725A" w:rsidRPr="00B9725A" w:rsidRDefault="00B9725A" w:rsidP="00B9725A">
            <w:pPr>
              <w:spacing w:after="0" w:line="240" w:lineRule="auto"/>
              <w:jc w:val="center"/>
            </w:pPr>
            <w:r w:rsidRPr="00B9725A">
              <w:t>6</w:t>
            </w:r>
          </w:p>
        </w:tc>
        <w:tc>
          <w:tcPr>
            <w:tcW w:w="3260" w:type="dxa"/>
            <w:tcBorders>
              <w:left w:val="single" w:sz="12" w:space="0" w:color="auto"/>
              <w:right w:val="single" w:sz="12" w:space="0" w:color="auto"/>
            </w:tcBorders>
          </w:tcPr>
          <w:p w14:paraId="636F5BBD" w14:textId="77777777" w:rsidR="00B9725A" w:rsidRPr="00B9725A" w:rsidRDefault="00B9725A" w:rsidP="00B9725A">
            <w:pPr>
              <w:spacing w:after="0" w:line="240" w:lineRule="auto"/>
              <w:jc w:val="center"/>
            </w:pPr>
            <w:r w:rsidRPr="00B9725A">
              <w:t>15</w:t>
            </w:r>
          </w:p>
        </w:tc>
      </w:tr>
      <w:tr w:rsidR="00B9725A" w:rsidRPr="00B9725A" w14:paraId="24325FB1" w14:textId="77777777" w:rsidTr="005322D8">
        <w:tc>
          <w:tcPr>
            <w:tcW w:w="2962" w:type="dxa"/>
            <w:tcBorders>
              <w:left w:val="single" w:sz="12" w:space="0" w:color="auto"/>
              <w:right w:val="single" w:sz="12" w:space="0" w:color="auto"/>
            </w:tcBorders>
          </w:tcPr>
          <w:p w14:paraId="47AF9BD4" w14:textId="77777777" w:rsidR="00B9725A" w:rsidRPr="00B9725A" w:rsidRDefault="00B9725A" w:rsidP="00B9725A">
            <w:pPr>
              <w:spacing w:after="0" w:line="240" w:lineRule="auto"/>
            </w:pPr>
            <w:r w:rsidRPr="00B9725A">
              <w:t>Cash</w:t>
            </w:r>
          </w:p>
        </w:tc>
        <w:tc>
          <w:tcPr>
            <w:tcW w:w="3119" w:type="dxa"/>
            <w:tcBorders>
              <w:left w:val="single" w:sz="12" w:space="0" w:color="auto"/>
            </w:tcBorders>
          </w:tcPr>
          <w:p w14:paraId="36F9FAF8" w14:textId="77777777" w:rsidR="00B9725A" w:rsidRPr="00B9725A" w:rsidRDefault="00B9725A" w:rsidP="00B9725A">
            <w:pPr>
              <w:spacing w:after="0" w:line="240" w:lineRule="auto"/>
              <w:jc w:val="center"/>
            </w:pPr>
            <w:r w:rsidRPr="00B9725A">
              <w:t>75</w:t>
            </w:r>
          </w:p>
        </w:tc>
        <w:tc>
          <w:tcPr>
            <w:tcW w:w="3260" w:type="dxa"/>
            <w:tcBorders>
              <w:left w:val="single" w:sz="12" w:space="0" w:color="auto"/>
              <w:right w:val="single" w:sz="12" w:space="0" w:color="auto"/>
            </w:tcBorders>
          </w:tcPr>
          <w:p w14:paraId="2F1DC59A" w14:textId="77777777" w:rsidR="00B9725A" w:rsidRPr="00B9725A" w:rsidRDefault="00B9725A" w:rsidP="00B9725A">
            <w:pPr>
              <w:spacing w:after="0" w:line="240" w:lineRule="auto"/>
              <w:jc w:val="center"/>
            </w:pPr>
            <w:r w:rsidRPr="00B9725A">
              <w:t>88</w:t>
            </w:r>
          </w:p>
        </w:tc>
      </w:tr>
      <w:tr w:rsidR="00B9725A" w:rsidRPr="00B9725A" w14:paraId="55738DA9" w14:textId="77777777" w:rsidTr="005322D8">
        <w:tc>
          <w:tcPr>
            <w:tcW w:w="2962" w:type="dxa"/>
            <w:tcBorders>
              <w:left w:val="single" w:sz="12" w:space="0" w:color="auto"/>
              <w:right w:val="single" w:sz="12" w:space="0" w:color="auto"/>
            </w:tcBorders>
          </w:tcPr>
          <w:p w14:paraId="3B8DCC5D" w14:textId="77777777" w:rsidR="00B9725A" w:rsidRPr="00B9725A" w:rsidRDefault="00B9725A" w:rsidP="00B9725A">
            <w:pPr>
              <w:spacing w:after="0" w:line="240" w:lineRule="auto"/>
            </w:pPr>
            <w:r w:rsidRPr="00B9725A">
              <w:t>Charity</w:t>
            </w:r>
          </w:p>
        </w:tc>
        <w:tc>
          <w:tcPr>
            <w:tcW w:w="3119" w:type="dxa"/>
            <w:tcBorders>
              <w:left w:val="single" w:sz="12" w:space="0" w:color="auto"/>
            </w:tcBorders>
          </w:tcPr>
          <w:p w14:paraId="49E5D511" w14:textId="77777777" w:rsidR="00B9725A" w:rsidRPr="00B9725A" w:rsidRDefault="00B9725A" w:rsidP="00B9725A">
            <w:pPr>
              <w:spacing w:after="0" w:line="240" w:lineRule="auto"/>
              <w:jc w:val="center"/>
            </w:pPr>
            <w:r w:rsidRPr="00B9725A">
              <w:t>8</w:t>
            </w:r>
          </w:p>
        </w:tc>
        <w:tc>
          <w:tcPr>
            <w:tcW w:w="3260" w:type="dxa"/>
            <w:tcBorders>
              <w:left w:val="single" w:sz="12" w:space="0" w:color="auto"/>
              <w:right w:val="single" w:sz="12" w:space="0" w:color="auto"/>
            </w:tcBorders>
          </w:tcPr>
          <w:p w14:paraId="112BB962" w14:textId="77777777" w:rsidR="00B9725A" w:rsidRPr="00B9725A" w:rsidRDefault="00B9725A" w:rsidP="00B9725A">
            <w:pPr>
              <w:spacing w:after="0" w:line="240" w:lineRule="auto"/>
              <w:jc w:val="center"/>
            </w:pPr>
            <w:r w:rsidRPr="00B9725A">
              <w:t>15</w:t>
            </w:r>
          </w:p>
        </w:tc>
      </w:tr>
      <w:tr w:rsidR="00B9725A" w:rsidRPr="00B9725A" w14:paraId="390E92BC" w14:textId="77777777" w:rsidTr="005322D8">
        <w:tc>
          <w:tcPr>
            <w:tcW w:w="2962" w:type="dxa"/>
            <w:tcBorders>
              <w:left w:val="single" w:sz="12" w:space="0" w:color="auto"/>
              <w:right w:val="single" w:sz="12" w:space="0" w:color="auto"/>
            </w:tcBorders>
          </w:tcPr>
          <w:p w14:paraId="4D0E7AEA" w14:textId="77777777" w:rsidR="00B9725A" w:rsidRPr="00B9725A" w:rsidRDefault="00B9725A" w:rsidP="00B9725A">
            <w:pPr>
              <w:spacing w:after="0" w:line="240" w:lineRule="auto"/>
            </w:pPr>
            <w:r w:rsidRPr="00B9725A">
              <w:t>Livestock</w:t>
            </w:r>
          </w:p>
        </w:tc>
        <w:tc>
          <w:tcPr>
            <w:tcW w:w="3119" w:type="dxa"/>
            <w:tcBorders>
              <w:left w:val="single" w:sz="12" w:space="0" w:color="auto"/>
            </w:tcBorders>
          </w:tcPr>
          <w:p w14:paraId="3F8E39C6" w14:textId="77777777" w:rsidR="00B9725A" w:rsidRPr="00B9725A" w:rsidRDefault="00B9725A" w:rsidP="00B9725A">
            <w:pPr>
              <w:spacing w:after="0" w:line="240" w:lineRule="auto"/>
              <w:jc w:val="center"/>
            </w:pPr>
            <w:r w:rsidRPr="00B9725A">
              <w:t>11</w:t>
            </w:r>
          </w:p>
        </w:tc>
        <w:tc>
          <w:tcPr>
            <w:tcW w:w="3260" w:type="dxa"/>
            <w:tcBorders>
              <w:left w:val="single" w:sz="12" w:space="0" w:color="auto"/>
              <w:right w:val="single" w:sz="12" w:space="0" w:color="auto"/>
            </w:tcBorders>
          </w:tcPr>
          <w:p w14:paraId="4E4B47CE" w14:textId="77777777" w:rsidR="00B9725A" w:rsidRPr="00B9725A" w:rsidRDefault="00B9725A" w:rsidP="00B9725A">
            <w:pPr>
              <w:spacing w:after="0" w:line="240" w:lineRule="auto"/>
              <w:jc w:val="center"/>
            </w:pPr>
            <w:r w:rsidRPr="00B9725A">
              <w:t>11</w:t>
            </w:r>
          </w:p>
        </w:tc>
      </w:tr>
      <w:tr w:rsidR="00B9725A" w:rsidRPr="00B9725A" w14:paraId="449742D8" w14:textId="77777777" w:rsidTr="005322D8">
        <w:tc>
          <w:tcPr>
            <w:tcW w:w="2962" w:type="dxa"/>
            <w:tcBorders>
              <w:left w:val="single" w:sz="12" w:space="0" w:color="auto"/>
              <w:bottom w:val="single" w:sz="12" w:space="0" w:color="auto"/>
              <w:right w:val="single" w:sz="12" w:space="0" w:color="auto"/>
            </w:tcBorders>
          </w:tcPr>
          <w:p w14:paraId="7F201B85" w14:textId="77777777" w:rsidR="00B9725A" w:rsidRPr="00B9725A" w:rsidRDefault="00B9725A" w:rsidP="00B9725A">
            <w:pPr>
              <w:spacing w:after="0" w:line="240" w:lineRule="auto"/>
            </w:pPr>
            <w:r w:rsidRPr="00B9725A">
              <w:t>Husbandry Equipment</w:t>
            </w:r>
          </w:p>
        </w:tc>
        <w:tc>
          <w:tcPr>
            <w:tcW w:w="3119" w:type="dxa"/>
            <w:tcBorders>
              <w:left w:val="single" w:sz="12" w:space="0" w:color="auto"/>
              <w:bottom w:val="single" w:sz="12" w:space="0" w:color="auto"/>
            </w:tcBorders>
          </w:tcPr>
          <w:p w14:paraId="0DCCCCBC" w14:textId="77777777" w:rsidR="00B9725A" w:rsidRPr="00B9725A" w:rsidRDefault="00B9725A" w:rsidP="00B9725A">
            <w:pPr>
              <w:spacing w:after="0" w:line="240" w:lineRule="auto"/>
              <w:jc w:val="center"/>
            </w:pPr>
            <w:r w:rsidRPr="00B9725A">
              <w:t>2</w:t>
            </w:r>
          </w:p>
        </w:tc>
        <w:tc>
          <w:tcPr>
            <w:tcW w:w="3260" w:type="dxa"/>
            <w:tcBorders>
              <w:left w:val="single" w:sz="12" w:space="0" w:color="auto"/>
              <w:bottom w:val="single" w:sz="12" w:space="0" w:color="auto"/>
              <w:right w:val="single" w:sz="12" w:space="0" w:color="auto"/>
            </w:tcBorders>
          </w:tcPr>
          <w:p w14:paraId="04D6EEE4" w14:textId="77777777" w:rsidR="00B9725A" w:rsidRPr="00B9725A" w:rsidRDefault="00B9725A" w:rsidP="00B9725A">
            <w:pPr>
              <w:spacing w:after="0" w:line="240" w:lineRule="auto"/>
              <w:jc w:val="center"/>
            </w:pPr>
            <w:r w:rsidRPr="00B9725A">
              <w:t>9</w:t>
            </w:r>
          </w:p>
        </w:tc>
      </w:tr>
      <w:tr w:rsidR="00B9725A" w:rsidRPr="00B9725A" w14:paraId="7B277F79" w14:textId="77777777" w:rsidTr="005322D8">
        <w:tc>
          <w:tcPr>
            <w:tcW w:w="2962" w:type="dxa"/>
            <w:tcBorders>
              <w:top w:val="single" w:sz="12" w:space="0" w:color="auto"/>
              <w:left w:val="single" w:sz="12" w:space="0" w:color="auto"/>
              <w:right w:val="single" w:sz="12" w:space="0" w:color="auto"/>
            </w:tcBorders>
          </w:tcPr>
          <w:p w14:paraId="79EC4423" w14:textId="77777777" w:rsidR="00B9725A" w:rsidRPr="00B9725A" w:rsidRDefault="00B9725A" w:rsidP="00B9725A">
            <w:pPr>
              <w:spacing w:after="0" w:line="240" w:lineRule="auto"/>
              <w:rPr>
                <w:b/>
                <w:bCs/>
              </w:rPr>
            </w:pPr>
            <w:r w:rsidRPr="00B9725A">
              <w:rPr>
                <w:b/>
                <w:bCs/>
              </w:rPr>
              <w:t>Total No. of Testators</w:t>
            </w:r>
          </w:p>
        </w:tc>
        <w:tc>
          <w:tcPr>
            <w:tcW w:w="3119" w:type="dxa"/>
            <w:tcBorders>
              <w:top w:val="single" w:sz="12" w:space="0" w:color="auto"/>
              <w:left w:val="single" w:sz="12" w:space="0" w:color="auto"/>
            </w:tcBorders>
          </w:tcPr>
          <w:p w14:paraId="77FEF397" w14:textId="77777777" w:rsidR="00B9725A" w:rsidRPr="00B9725A" w:rsidRDefault="00B9725A" w:rsidP="00B9725A">
            <w:pPr>
              <w:spacing w:after="0" w:line="240" w:lineRule="auto"/>
              <w:jc w:val="center"/>
              <w:rPr>
                <w:b/>
                <w:bCs/>
              </w:rPr>
            </w:pPr>
            <w:r w:rsidRPr="00B9725A">
              <w:rPr>
                <w:b/>
                <w:bCs/>
              </w:rPr>
              <w:t>99</w:t>
            </w:r>
          </w:p>
        </w:tc>
        <w:tc>
          <w:tcPr>
            <w:tcW w:w="3260" w:type="dxa"/>
            <w:tcBorders>
              <w:top w:val="single" w:sz="12" w:space="0" w:color="auto"/>
              <w:left w:val="single" w:sz="12" w:space="0" w:color="auto"/>
              <w:right w:val="single" w:sz="12" w:space="0" w:color="auto"/>
            </w:tcBorders>
          </w:tcPr>
          <w:p w14:paraId="0AD3D1E2" w14:textId="77777777" w:rsidR="00B9725A" w:rsidRPr="00B9725A" w:rsidRDefault="00B9725A" w:rsidP="00B9725A">
            <w:pPr>
              <w:spacing w:after="0" w:line="240" w:lineRule="auto"/>
              <w:jc w:val="center"/>
              <w:rPr>
                <w:b/>
                <w:bCs/>
              </w:rPr>
            </w:pPr>
            <w:r w:rsidRPr="00B9725A">
              <w:rPr>
                <w:b/>
                <w:bCs/>
              </w:rPr>
              <w:t>99</w:t>
            </w:r>
          </w:p>
        </w:tc>
      </w:tr>
    </w:tbl>
    <w:p w14:paraId="355243E3" w14:textId="77777777" w:rsidR="00B9725A" w:rsidRPr="00B9725A" w:rsidRDefault="00B9725A" w:rsidP="00B9725A">
      <w:pPr>
        <w:jc w:val="center"/>
      </w:pPr>
    </w:p>
    <w:p w14:paraId="300329EB" w14:textId="77777777" w:rsidR="00B9725A" w:rsidRPr="00B9725A" w:rsidRDefault="00B9725A" w:rsidP="00B9725A">
      <w:pPr>
        <w:jc w:val="center"/>
      </w:pPr>
      <w:r w:rsidRPr="00B9725A">
        <w:t>Table 27 – Bequests of real property, moveable goods and personal estate in wills within the Bolton-le-Sands and Prestbury wider survey.</w:t>
      </w:r>
    </w:p>
    <w:p w14:paraId="046BD6AB" w14:textId="77777777" w:rsidR="00B9725A" w:rsidRPr="00B9725A" w:rsidRDefault="00B9725A" w:rsidP="00B9725A">
      <w:r w:rsidRPr="00B9725A">
        <w:br w:type="page"/>
      </w:r>
    </w:p>
    <w:p w14:paraId="38171DBC" w14:textId="77777777" w:rsidR="00B9725A" w:rsidRDefault="00B9725A" w:rsidP="00B9725A"/>
    <w:p w14:paraId="5D50AE4D" w14:textId="77777777" w:rsidR="00674F82" w:rsidRDefault="00674F82" w:rsidP="00B9725A"/>
    <w:p w14:paraId="39CA83C0" w14:textId="77777777" w:rsidR="00674F82" w:rsidRDefault="00674F82" w:rsidP="00B9725A"/>
    <w:p w14:paraId="465A931D" w14:textId="77777777" w:rsidR="00674F82" w:rsidRDefault="00674F82" w:rsidP="00B9725A"/>
    <w:p w14:paraId="4734007E" w14:textId="77777777" w:rsidR="00674F82" w:rsidRPr="00B9725A" w:rsidRDefault="00674F82" w:rsidP="00B9725A"/>
    <w:tbl>
      <w:tblPr>
        <w:tblStyle w:val="TableGrid13"/>
        <w:tblW w:w="9341" w:type="dxa"/>
        <w:tblLook w:val="04A0" w:firstRow="1" w:lastRow="0" w:firstColumn="1" w:lastColumn="0" w:noHBand="0" w:noVBand="1"/>
      </w:tblPr>
      <w:tblGrid>
        <w:gridCol w:w="2446"/>
        <w:gridCol w:w="1650"/>
        <w:gridCol w:w="1701"/>
        <w:gridCol w:w="1843"/>
        <w:gridCol w:w="1701"/>
      </w:tblGrid>
      <w:tr w:rsidR="00B9725A" w:rsidRPr="00B9725A" w14:paraId="5B57F27E" w14:textId="77777777" w:rsidTr="005322D8">
        <w:tc>
          <w:tcPr>
            <w:tcW w:w="2446" w:type="dxa"/>
            <w:vMerge w:val="restart"/>
            <w:tcBorders>
              <w:top w:val="single" w:sz="12" w:space="0" w:color="auto"/>
              <w:left w:val="single" w:sz="12" w:space="0" w:color="auto"/>
              <w:right w:val="single" w:sz="12" w:space="0" w:color="auto"/>
            </w:tcBorders>
          </w:tcPr>
          <w:p w14:paraId="69DC974D" w14:textId="77777777" w:rsidR="00B9725A" w:rsidRPr="00B9725A" w:rsidRDefault="00B9725A" w:rsidP="00B9725A">
            <w:pPr>
              <w:spacing w:after="0" w:line="240" w:lineRule="auto"/>
            </w:pPr>
          </w:p>
        </w:tc>
        <w:tc>
          <w:tcPr>
            <w:tcW w:w="3351" w:type="dxa"/>
            <w:gridSpan w:val="2"/>
            <w:tcBorders>
              <w:top w:val="single" w:sz="12" w:space="0" w:color="auto"/>
              <w:left w:val="single" w:sz="12" w:space="0" w:color="auto"/>
              <w:bottom w:val="single" w:sz="12" w:space="0" w:color="auto"/>
              <w:right w:val="single" w:sz="12" w:space="0" w:color="auto"/>
            </w:tcBorders>
          </w:tcPr>
          <w:p w14:paraId="4EA5554A" w14:textId="77777777" w:rsidR="00B9725A" w:rsidRPr="00B9725A" w:rsidRDefault="00B9725A" w:rsidP="00B9725A">
            <w:pPr>
              <w:spacing w:after="0" w:line="240" w:lineRule="auto"/>
              <w:jc w:val="center"/>
              <w:rPr>
                <w:b/>
                <w:bCs/>
              </w:rPr>
            </w:pPr>
            <w:r w:rsidRPr="00B9725A">
              <w:rPr>
                <w:b/>
                <w:bCs/>
              </w:rPr>
              <w:t>Bolton-le-Sands</w:t>
            </w:r>
          </w:p>
          <w:p w14:paraId="37C5DC70" w14:textId="77777777" w:rsidR="00B9725A" w:rsidRPr="00B9725A" w:rsidRDefault="00B9725A" w:rsidP="00B9725A">
            <w:pPr>
              <w:spacing w:after="0" w:line="240" w:lineRule="auto"/>
              <w:jc w:val="center"/>
              <w:rPr>
                <w:b/>
                <w:bCs/>
              </w:rPr>
            </w:pPr>
          </w:p>
        </w:tc>
        <w:tc>
          <w:tcPr>
            <w:tcW w:w="3544" w:type="dxa"/>
            <w:gridSpan w:val="2"/>
            <w:tcBorders>
              <w:top w:val="single" w:sz="12" w:space="0" w:color="auto"/>
              <w:left w:val="single" w:sz="12" w:space="0" w:color="auto"/>
              <w:bottom w:val="single" w:sz="12" w:space="0" w:color="auto"/>
              <w:right w:val="single" w:sz="12" w:space="0" w:color="auto"/>
            </w:tcBorders>
          </w:tcPr>
          <w:p w14:paraId="3CA68563" w14:textId="77777777" w:rsidR="00B9725A" w:rsidRPr="00B9725A" w:rsidRDefault="00B9725A" w:rsidP="00B9725A">
            <w:pPr>
              <w:spacing w:after="0" w:line="240" w:lineRule="auto"/>
              <w:jc w:val="center"/>
              <w:rPr>
                <w:b/>
                <w:bCs/>
              </w:rPr>
            </w:pPr>
            <w:r w:rsidRPr="00B9725A">
              <w:rPr>
                <w:b/>
                <w:bCs/>
              </w:rPr>
              <w:t>Prestbury</w:t>
            </w:r>
          </w:p>
        </w:tc>
      </w:tr>
      <w:tr w:rsidR="00B9725A" w:rsidRPr="00B9725A" w14:paraId="569D1EEF" w14:textId="77777777" w:rsidTr="005322D8">
        <w:tc>
          <w:tcPr>
            <w:tcW w:w="2446" w:type="dxa"/>
            <w:vMerge/>
            <w:tcBorders>
              <w:left w:val="single" w:sz="12" w:space="0" w:color="auto"/>
              <w:bottom w:val="single" w:sz="12" w:space="0" w:color="auto"/>
              <w:right w:val="single" w:sz="12" w:space="0" w:color="auto"/>
            </w:tcBorders>
          </w:tcPr>
          <w:p w14:paraId="57FEA935" w14:textId="77777777" w:rsidR="00B9725A" w:rsidRPr="00B9725A" w:rsidRDefault="00B9725A" w:rsidP="00B9725A">
            <w:pPr>
              <w:spacing w:after="0" w:line="240" w:lineRule="auto"/>
            </w:pPr>
          </w:p>
        </w:tc>
        <w:tc>
          <w:tcPr>
            <w:tcW w:w="1650" w:type="dxa"/>
            <w:tcBorders>
              <w:top w:val="single" w:sz="12" w:space="0" w:color="auto"/>
              <w:left w:val="single" w:sz="12" w:space="0" w:color="auto"/>
              <w:bottom w:val="single" w:sz="12" w:space="0" w:color="auto"/>
            </w:tcBorders>
          </w:tcPr>
          <w:p w14:paraId="5FAE437F" w14:textId="77777777" w:rsidR="00B9725A" w:rsidRPr="00B9725A" w:rsidRDefault="00B9725A" w:rsidP="00B9725A">
            <w:pPr>
              <w:spacing w:after="0" w:line="240" w:lineRule="auto"/>
              <w:jc w:val="center"/>
              <w:rPr>
                <w:b/>
                <w:bCs/>
              </w:rPr>
            </w:pPr>
            <w:r w:rsidRPr="00B9725A">
              <w:rPr>
                <w:b/>
                <w:bCs/>
              </w:rPr>
              <w:t>Real Estate</w:t>
            </w:r>
          </w:p>
        </w:tc>
        <w:tc>
          <w:tcPr>
            <w:tcW w:w="1701" w:type="dxa"/>
            <w:tcBorders>
              <w:top w:val="single" w:sz="12" w:space="0" w:color="auto"/>
              <w:left w:val="single" w:sz="12" w:space="0" w:color="auto"/>
              <w:bottom w:val="single" w:sz="12" w:space="0" w:color="auto"/>
              <w:right w:val="single" w:sz="12" w:space="0" w:color="auto"/>
            </w:tcBorders>
          </w:tcPr>
          <w:p w14:paraId="3B6058E5" w14:textId="77777777" w:rsidR="00B9725A" w:rsidRPr="00B9725A" w:rsidRDefault="00B9725A" w:rsidP="00B9725A">
            <w:pPr>
              <w:spacing w:after="0" w:line="240" w:lineRule="auto"/>
              <w:jc w:val="center"/>
              <w:rPr>
                <w:b/>
                <w:bCs/>
              </w:rPr>
            </w:pPr>
            <w:r w:rsidRPr="00B9725A">
              <w:rPr>
                <w:b/>
                <w:bCs/>
              </w:rPr>
              <w:t>No Real Estate</w:t>
            </w:r>
          </w:p>
        </w:tc>
        <w:tc>
          <w:tcPr>
            <w:tcW w:w="1843" w:type="dxa"/>
            <w:tcBorders>
              <w:top w:val="single" w:sz="12" w:space="0" w:color="auto"/>
              <w:left w:val="single" w:sz="12" w:space="0" w:color="auto"/>
              <w:bottom w:val="single" w:sz="12" w:space="0" w:color="auto"/>
              <w:right w:val="single" w:sz="12" w:space="0" w:color="auto"/>
            </w:tcBorders>
          </w:tcPr>
          <w:p w14:paraId="7A3F2965" w14:textId="77777777" w:rsidR="00B9725A" w:rsidRPr="00B9725A" w:rsidRDefault="00B9725A" w:rsidP="00B9725A">
            <w:pPr>
              <w:spacing w:after="0" w:line="240" w:lineRule="auto"/>
              <w:jc w:val="center"/>
              <w:rPr>
                <w:b/>
                <w:bCs/>
              </w:rPr>
            </w:pPr>
            <w:r w:rsidRPr="00B9725A">
              <w:rPr>
                <w:b/>
                <w:bCs/>
              </w:rPr>
              <w:t>Real Estate</w:t>
            </w:r>
          </w:p>
        </w:tc>
        <w:tc>
          <w:tcPr>
            <w:tcW w:w="1701" w:type="dxa"/>
            <w:tcBorders>
              <w:top w:val="single" w:sz="12" w:space="0" w:color="auto"/>
              <w:left w:val="single" w:sz="12" w:space="0" w:color="auto"/>
              <w:bottom w:val="single" w:sz="12" w:space="0" w:color="auto"/>
              <w:right w:val="single" w:sz="12" w:space="0" w:color="auto"/>
            </w:tcBorders>
          </w:tcPr>
          <w:p w14:paraId="64241095" w14:textId="77777777" w:rsidR="00B9725A" w:rsidRPr="00B9725A" w:rsidRDefault="00B9725A" w:rsidP="00B9725A">
            <w:pPr>
              <w:spacing w:after="0" w:line="240" w:lineRule="auto"/>
              <w:jc w:val="center"/>
              <w:rPr>
                <w:b/>
                <w:bCs/>
              </w:rPr>
            </w:pPr>
            <w:r w:rsidRPr="00B9725A">
              <w:rPr>
                <w:b/>
                <w:bCs/>
              </w:rPr>
              <w:t>No Real Estate</w:t>
            </w:r>
          </w:p>
        </w:tc>
      </w:tr>
      <w:tr w:rsidR="00B9725A" w:rsidRPr="00B9725A" w14:paraId="4D03996D" w14:textId="77777777" w:rsidTr="005322D8">
        <w:tc>
          <w:tcPr>
            <w:tcW w:w="2446" w:type="dxa"/>
            <w:tcBorders>
              <w:top w:val="single" w:sz="4" w:space="0" w:color="auto"/>
              <w:left w:val="single" w:sz="12" w:space="0" w:color="auto"/>
              <w:right w:val="single" w:sz="12" w:space="0" w:color="auto"/>
            </w:tcBorders>
          </w:tcPr>
          <w:p w14:paraId="64B8ABDC" w14:textId="77777777" w:rsidR="00B9725A" w:rsidRPr="00B9725A" w:rsidRDefault="00B9725A" w:rsidP="00B9725A">
            <w:pPr>
              <w:spacing w:after="0" w:line="240" w:lineRule="auto"/>
              <w:rPr>
                <w:b/>
                <w:bCs/>
              </w:rPr>
            </w:pPr>
            <w:r w:rsidRPr="00B9725A">
              <w:rPr>
                <w:b/>
                <w:bCs/>
              </w:rPr>
              <w:t>Furniture</w:t>
            </w:r>
          </w:p>
        </w:tc>
        <w:tc>
          <w:tcPr>
            <w:tcW w:w="1650" w:type="dxa"/>
            <w:tcBorders>
              <w:top w:val="single" w:sz="4" w:space="0" w:color="auto"/>
              <w:left w:val="single" w:sz="12" w:space="0" w:color="auto"/>
            </w:tcBorders>
          </w:tcPr>
          <w:p w14:paraId="1BA60C7D" w14:textId="77777777" w:rsidR="00B9725A" w:rsidRPr="00B9725A" w:rsidRDefault="00B9725A" w:rsidP="00B9725A">
            <w:pPr>
              <w:spacing w:after="0" w:line="240" w:lineRule="auto"/>
              <w:jc w:val="center"/>
            </w:pPr>
            <w:r w:rsidRPr="00B9725A">
              <w:t>23%</w:t>
            </w:r>
          </w:p>
        </w:tc>
        <w:tc>
          <w:tcPr>
            <w:tcW w:w="1701" w:type="dxa"/>
            <w:tcBorders>
              <w:top w:val="single" w:sz="4" w:space="0" w:color="auto"/>
              <w:left w:val="single" w:sz="12" w:space="0" w:color="auto"/>
              <w:right w:val="single" w:sz="12" w:space="0" w:color="auto"/>
            </w:tcBorders>
          </w:tcPr>
          <w:p w14:paraId="4C39CAA9" w14:textId="77777777" w:rsidR="00B9725A" w:rsidRPr="00B9725A" w:rsidRDefault="00B9725A" w:rsidP="00B9725A">
            <w:pPr>
              <w:spacing w:after="0" w:line="240" w:lineRule="auto"/>
              <w:jc w:val="center"/>
            </w:pPr>
            <w:r w:rsidRPr="00B9725A">
              <w:t>32%</w:t>
            </w:r>
          </w:p>
        </w:tc>
        <w:tc>
          <w:tcPr>
            <w:tcW w:w="1843" w:type="dxa"/>
            <w:tcBorders>
              <w:top w:val="single" w:sz="4" w:space="0" w:color="auto"/>
              <w:left w:val="single" w:sz="12" w:space="0" w:color="auto"/>
              <w:right w:val="single" w:sz="12" w:space="0" w:color="auto"/>
            </w:tcBorders>
          </w:tcPr>
          <w:p w14:paraId="60209886" w14:textId="77777777" w:rsidR="00B9725A" w:rsidRPr="00B9725A" w:rsidRDefault="00B9725A" w:rsidP="00B9725A">
            <w:pPr>
              <w:spacing w:after="0" w:line="240" w:lineRule="auto"/>
              <w:jc w:val="center"/>
            </w:pPr>
            <w:r w:rsidRPr="00B9725A">
              <w:t>31%</w:t>
            </w:r>
          </w:p>
        </w:tc>
        <w:tc>
          <w:tcPr>
            <w:tcW w:w="1701" w:type="dxa"/>
            <w:tcBorders>
              <w:top w:val="single" w:sz="4" w:space="0" w:color="auto"/>
              <w:left w:val="single" w:sz="12" w:space="0" w:color="auto"/>
              <w:right w:val="single" w:sz="12" w:space="0" w:color="auto"/>
            </w:tcBorders>
          </w:tcPr>
          <w:p w14:paraId="5D88326E" w14:textId="77777777" w:rsidR="00B9725A" w:rsidRPr="00B9725A" w:rsidRDefault="00B9725A" w:rsidP="00B9725A">
            <w:pPr>
              <w:spacing w:after="0" w:line="240" w:lineRule="auto"/>
              <w:jc w:val="center"/>
            </w:pPr>
            <w:r w:rsidRPr="00B9725A">
              <w:t>41%</w:t>
            </w:r>
          </w:p>
        </w:tc>
      </w:tr>
      <w:tr w:rsidR="00B9725A" w:rsidRPr="00B9725A" w14:paraId="383DA7F6" w14:textId="77777777" w:rsidTr="005322D8">
        <w:tc>
          <w:tcPr>
            <w:tcW w:w="2446" w:type="dxa"/>
            <w:tcBorders>
              <w:left w:val="single" w:sz="12" w:space="0" w:color="auto"/>
              <w:right w:val="single" w:sz="12" w:space="0" w:color="auto"/>
            </w:tcBorders>
          </w:tcPr>
          <w:p w14:paraId="1E21C0EB" w14:textId="77777777" w:rsidR="00B9725A" w:rsidRPr="00B9725A" w:rsidRDefault="00B9725A" w:rsidP="00B9725A">
            <w:pPr>
              <w:spacing w:after="0" w:line="240" w:lineRule="auto"/>
              <w:rPr>
                <w:b/>
                <w:bCs/>
              </w:rPr>
            </w:pPr>
            <w:r w:rsidRPr="00B9725A">
              <w:rPr>
                <w:b/>
                <w:bCs/>
              </w:rPr>
              <w:t>Kitchenware</w:t>
            </w:r>
          </w:p>
        </w:tc>
        <w:tc>
          <w:tcPr>
            <w:tcW w:w="1650" w:type="dxa"/>
            <w:tcBorders>
              <w:left w:val="single" w:sz="12" w:space="0" w:color="auto"/>
            </w:tcBorders>
          </w:tcPr>
          <w:p w14:paraId="0FF2B471" w14:textId="77777777" w:rsidR="00B9725A" w:rsidRPr="00B9725A" w:rsidRDefault="00B9725A" w:rsidP="00B9725A">
            <w:pPr>
              <w:spacing w:after="0" w:line="240" w:lineRule="auto"/>
              <w:jc w:val="center"/>
            </w:pPr>
            <w:r w:rsidRPr="00B9725A">
              <w:t>3%</w:t>
            </w:r>
          </w:p>
        </w:tc>
        <w:tc>
          <w:tcPr>
            <w:tcW w:w="1701" w:type="dxa"/>
            <w:tcBorders>
              <w:left w:val="single" w:sz="12" w:space="0" w:color="auto"/>
              <w:right w:val="single" w:sz="12" w:space="0" w:color="auto"/>
            </w:tcBorders>
          </w:tcPr>
          <w:p w14:paraId="6D0107F3" w14:textId="77777777" w:rsidR="00B9725A" w:rsidRPr="00B9725A" w:rsidRDefault="00B9725A" w:rsidP="00B9725A">
            <w:pPr>
              <w:spacing w:after="0" w:line="240" w:lineRule="auto"/>
              <w:jc w:val="center"/>
            </w:pPr>
            <w:r w:rsidRPr="00B9725A">
              <w:t>8%</w:t>
            </w:r>
          </w:p>
        </w:tc>
        <w:tc>
          <w:tcPr>
            <w:tcW w:w="1843" w:type="dxa"/>
            <w:tcBorders>
              <w:left w:val="single" w:sz="12" w:space="0" w:color="auto"/>
              <w:right w:val="single" w:sz="12" w:space="0" w:color="auto"/>
            </w:tcBorders>
          </w:tcPr>
          <w:p w14:paraId="5B9AD842" w14:textId="77777777" w:rsidR="00B9725A" w:rsidRPr="00B9725A" w:rsidRDefault="00B9725A" w:rsidP="00B9725A">
            <w:pPr>
              <w:spacing w:after="0" w:line="240" w:lineRule="auto"/>
              <w:jc w:val="center"/>
            </w:pPr>
            <w:r w:rsidRPr="00B9725A">
              <w:t>10%</w:t>
            </w:r>
          </w:p>
        </w:tc>
        <w:tc>
          <w:tcPr>
            <w:tcW w:w="1701" w:type="dxa"/>
            <w:tcBorders>
              <w:left w:val="single" w:sz="12" w:space="0" w:color="auto"/>
              <w:right w:val="single" w:sz="12" w:space="0" w:color="auto"/>
            </w:tcBorders>
          </w:tcPr>
          <w:p w14:paraId="5E6733DE" w14:textId="77777777" w:rsidR="00B9725A" w:rsidRPr="00B9725A" w:rsidRDefault="00B9725A" w:rsidP="00B9725A">
            <w:pPr>
              <w:spacing w:after="0" w:line="240" w:lineRule="auto"/>
              <w:jc w:val="center"/>
            </w:pPr>
            <w:r w:rsidRPr="00B9725A">
              <w:t>22%</w:t>
            </w:r>
          </w:p>
        </w:tc>
      </w:tr>
      <w:tr w:rsidR="00B9725A" w:rsidRPr="00B9725A" w14:paraId="33EB868D" w14:textId="77777777" w:rsidTr="005322D8">
        <w:tc>
          <w:tcPr>
            <w:tcW w:w="2446" w:type="dxa"/>
            <w:tcBorders>
              <w:left w:val="single" w:sz="12" w:space="0" w:color="auto"/>
              <w:right w:val="single" w:sz="12" w:space="0" w:color="auto"/>
            </w:tcBorders>
          </w:tcPr>
          <w:p w14:paraId="306159D1" w14:textId="77777777" w:rsidR="00B9725A" w:rsidRPr="00B9725A" w:rsidRDefault="00B9725A" w:rsidP="00B9725A">
            <w:pPr>
              <w:spacing w:after="0" w:line="240" w:lineRule="auto"/>
              <w:rPr>
                <w:b/>
                <w:bCs/>
              </w:rPr>
            </w:pPr>
            <w:r w:rsidRPr="00B9725A">
              <w:rPr>
                <w:b/>
                <w:bCs/>
              </w:rPr>
              <w:t>All Textiles</w:t>
            </w:r>
          </w:p>
        </w:tc>
        <w:tc>
          <w:tcPr>
            <w:tcW w:w="1650" w:type="dxa"/>
            <w:tcBorders>
              <w:left w:val="single" w:sz="12" w:space="0" w:color="auto"/>
            </w:tcBorders>
          </w:tcPr>
          <w:p w14:paraId="21BF6B6A" w14:textId="77777777" w:rsidR="00B9725A" w:rsidRPr="00B9725A" w:rsidRDefault="00B9725A" w:rsidP="00B9725A">
            <w:pPr>
              <w:spacing w:after="0" w:line="240" w:lineRule="auto"/>
              <w:jc w:val="center"/>
            </w:pPr>
            <w:r w:rsidRPr="00B9725A">
              <w:t>26%</w:t>
            </w:r>
          </w:p>
        </w:tc>
        <w:tc>
          <w:tcPr>
            <w:tcW w:w="1701" w:type="dxa"/>
            <w:tcBorders>
              <w:left w:val="single" w:sz="12" w:space="0" w:color="auto"/>
              <w:right w:val="single" w:sz="12" w:space="0" w:color="auto"/>
            </w:tcBorders>
          </w:tcPr>
          <w:p w14:paraId="478875BC" w14:textId="77777777" w:rsidR="00B9725A" w:rsidRPr="00B9725A" w:rsidRDefault="00B9725A" w:rsidP="00B9725A">
            <w:pPr>
              <w:spacing w:after="0" w:line="240" w:lineRule="auto"/>
              <w:jc w:val="center"/>
            </w:pPr>
            <w:r w:rsidRPr="00B9725A">
              <w:t>41%</w:t>
            </w:r>
          </w:p>
        </w:tc>
        <w:tc>
          <w:tcPr>
            <w:tcW w:w="1843" w:type="dxa"/>
            <w:tcBorders>
              <w:left w:val="single" w:sz="12" w:space="0" w:color="auto"/>
              <w:right w:val="single" w:sz="12" w:space="0" w:color="auto"/>
            </w:tcBorders>
          </w:tcPr>
          <w:p w14:paraId="591977ED" w14:textId="77777777" w:rsidR="00B9725A" w:rsidRPr="00B9725A" w:rsidRDefault="00B9725A" w:rsidP="00B9725A">
            <w:pPr>
              <w:spacing w:after="0" w:line="240" w:lineRule="auto"/>
              <w:jc w:val="center"/>
            </w:pPr>
            <w:r w:rsidRPr="00B9725A">
              <w:t>27%</w:t>
            </w:r>
          </w:p>
        </w:tc>
        <w:tc>
          <w:tcPr>
            <w:tcW w:w="1701" w:type="dxa"/>
            <w:tcBorders>
              <w:left w:val="single" w:sz="12" w:space="0" w:color="auto"/>
              <w:right w:val="single" w:sz="12" w:space="0" w:color="auto"/>
            </w:tcBorders>
          </w:tcPr>
          <w:p w14:paraId="411A95A4" w14:textId="77777777" w:rsidR="00B9725A" w:rsidRPr="00B9725A" w:rsidRDefault="00B9725A" w:rsidP="00B9725A">
            <w:pPr>
              <w:spacing w:after="0" w:line="240" w:lineRule="auto"/>
              <w:jc w:val="center"/>
            </w:pPr>
            <w:r w:rsidRPr="00B9725A">
              <w:t>32%</w:t>
            </w:r>
          </w:p>
        </w:tc>
      </w:tr>
      <w:tr w:rsidR="00B9725A" w:rsidRPr="00B9725A" w14:paraId="67A4D037" w14:textId="77777777" w:rsidTr="005322D8">
        <w:tc>
          <w:tcPr>
            <w:tcW w:w="2446" w:type="dxa"/>
            <w:tcBorders>
              <w:left w:val="single" w:sz="12" w:space="0" w:color="auto"/>
              <w:right w:val="single" w:sz="12" w:space="0" w:color="auto"/>
            </w:tcBorders>
          </w:tcPr>
          <w:p w14:paraId="6D959E1F" w14:textId="77777777" w:rsidR="00B9725A" w:rsidRPr="00B9725A" w:rsidRDefault="00B9725A" w:rsidP="00B9725A">
            <w:pPr>
              <w:spacing w:after="0" w:line="240" w:lineRule="auto"/>
              <w:rPr>
                <w:b/>
                <w:bCs/>
              </w:rPr>
            </w:pPr>
            <w:r w:rsidRPr="00B9725A">
              <w:rPr>
                <w:b/>
                <w:bCs/>
              </w:rPr>
              <w:t xml:space="preserve">     Clothing</w:t>
            </w:r>
          </w:p>
        </w:tc>
        <w:tc>
          <w:tcPr>
            <w:tcW w:w="1650" w:type="dxa"/>
            <w:tcBorders>
              <w:left w:val="single" w:sz="12" w:space="0" w:color="auto"/>
            </w:tcBorders>
          </w:tcPr>
          <w:p w14:paraId="1FDFEF5E" w14:textId="77777777" w:rsidR="00B9725A" w:rsidRPr="00B9725A" w:rsidRDefault="00B9725A" w:rsidP="00B9725A">
            <w:pPr>
              <w:spacing w:after="0" w:line="240" w:lineRule="auto"/>
              <w:jc w:val="center"/>
            </w:pPr>
            <w:r w:rsidRPr="00B9725A">
              <w:t>21%</w:t>
            </w:r>
          </w:p>
        </w:tc>
        <w:tc>
          <w:tcPr>
            <w:tcW w:w="1701" w:type="dxa"/>
            <w:tcBorders>
              <w:left w:val="single" w:sz="12" w:space="0" w:color="auto"/>
              <w:right w:val="single" w:sz="12" w:space="0" w:color="auto"/>
            </w:tcBorders>
          </w:tcPr>
          <w:p w14:paraId="6CEEB666" w14:textId="77777777" w:rsidR="00B9725A" w:rsidRPr="00B9725A" w:rsidRDefault="00B9725A" w:rsidP="00B9725A">
            <w:pPr>
              <w:spacing w:after="0" w:line="240" w:lineRule="auto"/>
              <w:jc w:val="center"/>
            </w:pPr>
            <w:r w:rsidRPr="00B9725A">
              <w:t>29%</w:t>
            </w:r>
          </w:p>
        </w:tc>
        <w:tc>
          <w:tcPr>
            <w:tcW w:w="1843" w:type="dxa"/>
            <w:tcBorders>
              <w:left w:val="single" w:sz="12" w:space="0" w:color="auto"/>
              <w:right w:val="single" w:sz="12" w:space="0" w:color="auto"/>
            </w:tcBorders>
          </w:tcPr>
          <w:p w14:paraId="1CD84B50" w14:textId="77777777" w:rsidR="00B9725A" w:rsidRPr="00B9725A" w:rsidRDefault="00B9725A" w:rsidP="00B9725A">
            <w:pPr>
              <w:spacing w:after="0" w:line="240" w:lineRule="auto"/>
              <w:jc w:val="center"/>
            </w:pPr>
            <w:r w:rsidRPr="00B9725A">
              <w:t>16%</w:t>
            </w:r>
          </w:p>
        </w:tc>
        <w:tc>
          <w:tcPr>
            <w:tcW w:w="1701" w:type="dxa"/>
            <w:tcBorders>
              <w:left w:val="single" w:sz="12" w:space="0" w:color="auto"/>
              <w:right w:val="single" w:sz="12" w:space="0" w:color="auto"/>
            </w:tcBorders>
          </w:tcPr>
          <w:p w14:paraId="30CDF10A" w14:textId="77777777" w:rsidR="00B9725A" w:rsidRPr="00B9725A" w:rsidRDefault="00B9725A" w:rsidP="00B9725A">
            <w:pPr>
              <w:spacing w:after="0" w:line="240" w:lineRule="auto"/>
              <w:jc w:val="center"/>
            </w:pPr>
            <w:r w:rsidRPr="00B9725A">
              <w:t>19%</w:t>
            </w:r>
          </w:p>
        </w:tc>
      </w:tr>
      <w:tr w:rsidR="00B9725A" w:rsidRPr="00B9725A" w14:paraId="23FFABEE" w14:textId="77777777" w:rsidTr="005322D8">
        <w:tc>
          <w:tcPr>
            <w:tcW w:w="2446" w:type="dxa"/>
            <w:tcBorders>
              <w:left w:val="single" w:sz="12" w:space="0" w:color="auto"/>
              <w:right w:val="single" w:sz="12" w:space="0" w:color="auto"/>
            </w:tcBorders>
          </w:tcPr>
          <w:p w14:paraId="38D4C80A" w14:textId="77777777" w:rsidR="00B9725A" w:rsidRPr="00B9725A" w:rsidRDefault="00B9725A" w:rsidP="00B9725A">
            <w:pPr>
              <w:spacing w:after="0" w:line="240" w:lineRule="auto"/>
              <w:rPr>
                <w:b/>
                <w:bCs/>
              </w:rPr>
            </w:pPr>
            <w:r w:rsidRPr="00B9725A">
              <w:rPr>
                <w:b/>
                <w:bCs/>
              </w:rPr>
              <w:t xml:space="preserve">     Bedding</w:t>
            </w:r>
          </w:p>
        </w:tc>
        <w:tc>
          <w:tcPr>
            <w:tcW w:w="1650" w:type="dxa"/>
            <w:tcBorders>
              <w:left w:val="single" w:sz="12" w:space="0" w:color="auto"/>
            </w:tcBorders>
          </w:tcPr>
          <w:p w14:paraId="560AFD5A" w14:textId="77777777" w:rsidR="00B9725A" w:rsidRPr="00B9725A" w:rsidRDefault="00B9725A" w:rsidP="00B9725A">
            <w:pPr>
              <w:spacing w:after="0" w:line="240" w:lineRule="auto"/>
              <w:jc w:val="center"/>
            </w:pPr>
            <w:r w:rsidRPr="00B9725A">
              <w:t>9%</w:t>
            </w:r>
          </w:p>
        </w:tc>
        <w:tc>
          <w:tcPr>
            <w:tcW w:w="1701" w:type="dxa"/>
            <w:tcBorders>
              <w:left w:val="single" w:sz="12" w:space="0" w:color="auto"/>
              <w:right w:val="single" w:sz="12" w:space="0" w:color="auto"/>
            </w:tcBorders>
          </w:tcPr>
          <w:p w14:paraId="7EA637BD" w14:textId="77777777" w:rsidR="00B9725A" w:rsidRPr="00B9725A" w:rsidRDefault="00B9725A" w:rsidP="00B9725A">
            <w:pPr>
              <w:spacing w:after="0" w:line="240" w:lineRule="auto"/>
              <w:jc w:val="center"/>
            </w:pPr>
            <w:r w:rsidRPr="00B9725A">
              <w:t>18%</w:t>
            </w:r>
          </w:p>
        </w:tc>
        <w:tc>
          <w:tcPr>
            <w:tcW w:w="1843" w:type="dxa"/>
            <w:tcBorders>
              <w:left w:val="single" w:sz="12" w:space="0" w:color="auto"/>
              <w:right w:val="single" w:sz="12" w:space="0" w:color="auto"/>
            </w:tcBorders>
          </w:tcPr>
          <w:p w14:paraId="49B549E4" w14:textId="77777777" w:rsidR="00B9725A" w:rsidRPr="00B9725A" w:rsidRDefault="00B9725A" w:rsidP="00B9725A">
            <w:pPr>
              <w:spacing w:after="0" w:line="240" w:lineRule="auto"/>
              <w:jc w:val="center"/>
            </w:pPr>
            <w:r w:rsidRPr="00B9725A">
              <w:t>15%</w:t>
            </w:r>
          </w:p>
        </w:tc>
        <w:tc>
          <w:tcPr>
            <w:tcW w:w="1701" w:type="dxa"/>
            <w:tcBorders>
              <w:left w:val="single" w:sz="12" w:space="0" w:color="auto"/>
              <w:right w:val="single" w:sz="12" w:space="0" w:color="auto"/>
            </w:tcBorders>
          </w:tcPr>
          <w:p w14:paraId="4AE08FF6" w14:textId="77777777" w:rsidR="00B9725A" w:rsidRPr="00B9725A" w:rsidRDefault="00B9725A" w:rsidP="00B9725A">
            <w:pPr>
              <w:spacing w:after="0" w:line="240" w:lineRule="auto"/>
              <w:jc w:val="center"/>
            </w:pPr>
            <w:r w:rsidRPr="00B9725A">
              <w:t>16%</w:t>
            </w:r>
          </w:p>
        </w:tc>
      </w:tr>
      <w:tr w:rsidR="00B9725A" w:rsidRPr="00B9725A" w14:paraId="227BFAFA" w14:textId="77777777" w:rsidTr="005322D8">
        <w:tc>
          <w:tcPr>
            <w:tcW w:w="2446" w:type="dxa"/>
            <w:tcBorders>
              <w:left w:val="single" w:sz="12" w:space="0" w:color="auto"/>
              <w:right w:val="single" w:sz="12" w:space="0" w:color="auto"/>
            </w:tcBorders>
          </w:tcPr>
          <w:p w14:paraId="2273A1F4" w14:textId="77777777" w:rsidR="00B9725A" w:rsidRPr="00B9725A" w:rsidRDefault="00B9725A" w:rsidP="00B9725A">
            <w:pPr>
              <w:spacing w:after="0" w:line="240" w:lineRule="auto"/>
              <w:rPr>
                <w:b/>
                <w:bCs/>
              </w:rPr>
            </w:pPr>
            <w:r w:rsidRPr="00B9725A">
              <w:rPr>
                <w:b/>
                <w:bCs/>
              </w:rPr>
              <w:t>Cash</w:t>
            </w:r>
          </w:p>
        </w:tc>
        <w:tc>
          <w:tcPr>
            <w:tcW w:w="1650" w:type="dxa"/>
            <w:tcBorders>
              <w:left w:val="single" w:sz="12" w:space="0" w:color="auto"/>
            </w:tcBorders>
          </w:tcPr>
          <w:p w14:paraId="4918D4F9" w14:textId="77777777" w:rsidR="00B9725A" w:rsidRPr="00B9725A" w:rsidRDefault="00B9725A" w:rsidP="00B9725A">
            <w:pPr>
              <w:spacing w:after="0" w:line="240" w:lineRule="auto"/>
              <w:jc w:val="center"/>
            </w:pPr>
            <w:r w:rsidRPr="00B9725A">
              <w:t>71%</w:t>
            </w:r>
          </w:p>
        </w:tc>
        <w:tc>
          <w:tcPr>
            <w:tcW w:w="1701" w:type="dxa"/>
            <w:tcBorders>
              <w:left w:val="single" w:sz="12" w:space="0" w:color="auto"/>
              <w:right w:val="single" w:sz="12" w:space="0" w:color="auto"/>
            </w:tcBorders>
          </w:tcPr>
          <w:p w14:paraId="58AF2B4C" w14:textId="77777777" w:rsidR="00B9725A" w:rsidRPr="00B9725A" w:rsidRDefault="00B9725A" w:rsidP="00B9725A">
            <w:pPr>
              <w:spacing w:after="0" w:line="240" w:lineRule="auto"/>
              <w:jc w:val="center"/>
            </w:pPr>
            <w:r w:rsidRPr="00B9725A">
              <w:t>85%</w:t>
            </w:r>
          </w:p>
        </w:tc>
        <w:tc>
          <w:tcPr>
            <w:tcW w:w="1843" w:type="dxa"/>
            <w:tcBorders>
              <w:left w:val="single" w:sz="12" w:space="0" w:color="auto"/>
              <w:right w:val="single" w:sz="12" w:space="0" w:color="auto"/>
            </w:tcBorders>
          </w:tcPr>
          <w:p w14:paraId="531CF074" w14:textId="77777777" w:rsidR="00B9725A" w:rsidRPr="00B9725A" w:rsidRDefault="00B9725A" w:rsidP="00B9725A">
            <w:pPr>
              <w:spacing w:after="0" w:line="240" w:lineRule="auto"/>
              <w:jc w:val="center"/>
            </w:pPr>
            <w:r w:rsidRPr="00B9725A">
              <w:t>88%</w:t>
            </w:r>
          </w:p>
        </w:tc>
        <w:tc>
          <w:tcPr>
            <w:tcW w:w="1701" w:type="dxa"/>
            <w:tcBorders>
              <w:left w:val="single" w:sz="12" w:space="0" w:color="auto"/>
              <w:right w:val="single" w:sz="12" w:space="0" w:color="auto"/>
            </w:tcBorders>
          </w:tcPr>
          <w:p w14:paraId="184176EC" w14:textId="77777777" w:rsidR="00B9725A" w:rsidRPr="00B9725A" w:rsidRDefault="00B9725A" w:rsidP="00B9725A">
            <w:pPr>
              <w:spacing w:after="0" w:line="240" w:lineRule="auto"/>
              <w:jc w:val="center"/>
            </w:pPr>
            <w:r w:rsidRPr="00B9725A">
              <w:t>89%</w:t>
            </w:r>
          </w:p>
        </w:tc>
      </w:tr>
      <w:tr w:rsidR="00B9725A" w:rsidRPr="00B9725A" w14:paraId="07111CC6" w14:textId="77777777" w:rsidTr="005322D8">
        <w:tc>
          <w:tcPr>
            <w:tcW w:w="2446" w:type="dxa"/>
            <w:tcBorders>
              <w:left w:val="single" w:sz="12" w:space="0" w:color="auto"/>
              <w:right w:val="single" w:sz="12" w:space="0" w:color="auto"/>
            </w:tcBorders>
          </w:tcPr>
          <w:p w14:paraId="095807FD" w14:textId="77777777" w:rsidR="00B9725A" w:rsidRPr="00B9725A" w:rsidRDefault="00B9725A" w:rsidP="00B9725A">
            <w:pPr>
              <w:spacing w:after="0" w:line="240" w:lineRule="auto"/>
              <w:rPr>
                <w:b/>
                <w:bCs/>
              </w:rPr>
            </w:pPr>
            <w:r w:rsidRPr="00B9725A">
              <w:rPr>
                <w:b/>
                <w:bCs/>
              </w:rPr>
              <w:t>Charity</w:t>
            </w:r>
          </w:p>
        </w:tc>
        <w:tc>
          <w:tcPr>
            <w:tcW w:w="1650" w:type="dxa"/>
            <w:tcBorders>
              <w:left w:val="single" w:sz="12" w:space="0" w:color="auto"/>
            </w:tcBorders>
          </w:tcPr>
          <w:p w14:paraId="11372D1C" w14:textId="77777777" w:rsidR="00B9725A" w:rsidRPr="00B9725A" w:rsidRDefault="00B9725A" w:rsidP="00B9725A">
            <w:pPr>
              <w:spacing w:after="0" w:line="240" w:lineRule="auto"/>
              <w:jc w:val="center"/>
            </w:pPr>
            <w:r w:rsidRPr="00B9725A">
              <w:t>-</w:t>
            </w:r>
          </w:p>
        </w:tc>
        <w:tc>
          <w:tcPr>
            <w:tcW w:w="1701" w:type="dxa"/>
            <w:tcBorders>
              <w:left w:val="single" w:sz="12" w:space="0" w:color="auto"/>
              <w:right w:val="single" w:sz="12" w:space="0" w:color="auto"/>
            </w:tcBorders>
          </w:tcPr>
          <w:p w14:paraId="0CCA477E" w14:textId="77777777" w:rsidR="00B9725A" w:rsidRPr="00B9725A" w:rsidRDefault="00B9725A" w:rsidP="00B9725A">
            <w:pPr>
              <w:spacing w:after="0" w:line="240" w:lineRule="auto"/>
              <w:jc w:val="center"/>
            </w:pPr>
            <w:r w:rsidRPr="00B9725A">
              <w:t>8%</w:t>
            </w:r>
          </w:p>
        </w:tc>
        <w:tc>
          <w:tcPr>
            <w:tcW w:w="1843" w:type="dxa"/>
            <w:tcBorders>
              <w:left w:val="single" w:sz="12" w:space="0" w:color="auto"/>
              <w:right w:val="single" w:sz="12" w:space="0" w:color="auto"/>
            </w:tcBorders>
          </w:tcPr>
          <w:p w14:paraId="472568B7" w14:textId="77777777" w:rsidR="00B9725A" w:rsidRPr="00B9725A" w:rsidRDefault="00B9725A" w:rsidP="00B9725A">
            <w:pPr>
              <w:spacing w:after="0" w:line="240" w:lineRule="auto"/>
              <w:ind w:left="720"/>
              <w:contextualSpacing/>
            </w:pPr>
            <w:r w:rsidRPr="00B9725A">
              <w:t>-</w:t>
            </w:r>
          </w:p>
        </w:tc>
        <w:tc>
          <w:tcPr>
            <w:tcW w:w="1701" w:type="dxa"/>
            <w:tcBorders>
              <w:left w:val="single" w:sz="12" w:space="0" w:color="auto"/>
              <w:right w:val="single" w:sz="12" w:space="0" w:color="auto"/>
            </w:tcBorders>
          </w:tcPr>
          <w:p w14:paraId="012F1A50" w14:textId="77777777" w:rsidR="00B9725A" w:rsidRPr="00B9725A" w:rsidRDefault="00B9725A" w:rsidP="00B9725A">
            <w:pPr>
              <w:spacing w:after="0" w:line="240" w:lineRule="auto"/>
              <w:jc w:val="center"/>
            </w:pPr>
            <w:r w:rsidRPr="00B9725A">
              <w:t>5%</w:t>
            </w:r>
          </w:p>
        </w:tc>
      </w:tr>
      <w:tr w:rsidR="00B9725A" w:rsidRPr="00B9725A" w14:paraId="64CEB6DE" w14:textId="77777777" w:rsidTr="005322D8">
        <w:tc>
          <w:tcPr>
            <w:tcW w:w="2446" w:type="dxa"/>
            <w:tcBorders>
              <w:left w:val="single" w:sz="12" w:space="0" w:color="auto"/>
              <w:right w:val="single" w:sz="12" w:space="0" w:color="auto"/>
            </w:tcBorders>
          </w:tcPr>
          <w:p w14:paraId="368983C4" w14:textId="77777777" w:rsidR="00B9725A" w:rsidRPr="00B9725A" w:rsidRDefault="00B9725A" w:rsidP="00B9725A">
            <w:pPr>
              <w:spacing w:after="0" w:line="240" w:lineRule="auto"/>
              <w:rPr>
                <w:b/>
                <w:bCs/>
              </w:rPr>
            </w:pPr>
            <w:r w:rsidRPr="00B9725A">
              <w:rPr>
                <w:b/>
                <w:bCs/>
              </w:rPr>
              <w:t>Animals</w:t>
            </w:r>
          </w:p>
        </w:tc>
        <w:tc>
          <w:tcPr>
            <w:tcW w:w="1650" w:type="dxa"/>
            <w:tcBorders>
              <w:left w:val="single" w:sz="12" w:space="0" w:color="auto"/>
            </w:tcBorders>
          </w:tcPr>
          <w:p w14:paraId="5490BF25" w14:textId="77777777" w:rsidR="00B9725A" w:rsidRPr="00B9725A" w:rsidRDefault="00B9725A" w:rsidP="00B9725A">
            <w:pPr>
              <w:spacing w:after="0" w:line="240" w:lineRule="auto"/>
              <w:jc w:val="center"/>
            </w:pPr>
            <w:r w:rsidRPr="00B9725A">
              <w:t>11%</w:t>
            </w:r>
          </w:p>
        </w:tc>
        <w:tc>
          <w:tcPr>
            <w:tcW w:w="1701" w:type="dxa"/>
            <w:tcBorders>
              <w:left w:val="single" w:sz="12" w:space="0" w:color="auto"/>
              <w:right w:val="single" w:sz="12" w:space="0" w:color="auto"/>
            </w:tcBorders>
          </w:tcPr>
          <w:p w14:paraId="5001D4CB" w14:textId="77777777" w:rsidR="00B9725A" w:rsidRPr="00B9725A" w:rsidRDefault="00B9725A" w:rsidP="00B9725A">
            <w:pPr>
              <w:spacing w:after="0" w:line="240" w:lineRule="auto"/>
              <w:jc w:val="center"/>
            </w:pPr>
            <w:r w:rsidRPr="00B9725A">
              <w:t>12%</w:t>
            </w:r>
          </w:p>
        </w:tc>
        <w:tc>
          <w:tcPr>
            <w:tcW w:w="1843" w:type="dxa"/>
            <w:tcBorders>
              <w:left w:val="single" w:sz="12" w:space="0" w:color="auto"/>
              <w:right w:val="single" w:sz="12" w:space="0" w:color="auto"/>
            </w:tcBorders>
          </w:tcPr>
          <w:p w14:paraId="714D4E3A" w14:textId="77777777" w:rsidR="00B9725A" w:rsidRPr="00B9725A" w:rsidRDefault="00B9725A" w:rsidP="00B9725A">
            <w:pPr>
              <w:spacing w:after="0" w:line="240" w:lineRule="auto"/>
              <w:jc w:val="center"/>
            </w:pPr>
            <w:r w:rsidRPr="00B9725A">
              <w:t>11%</w:t>
            </w:r>
          </w:p>
        </w:tc>
        <w:tc>
          <w:tcPr>
            <w:tcW w:w="1701" w:type="dxa"/>
            <w:tcBorders>
              <w:left w:val="single" w:sz="12" w:space="0" w:color="auto"/>
              <w:right w:val="single" w:sz="12" w:space="0" w:color="auto"/>
            </w:tcBorders>
          </w:tcPr>
          <w:p w14:paraId="3DBF0925" w14:textId="77777777" w:rsidR="00B9725A" w:rsidRPr="00B9725A" w:rsidRDefault="00B9725A" w:rsidP="00B9725A">
            <w:pPr>
              <w:spacing w:after="0" w:line="240" w:lineRule="auto"/>
              <w:jc w:val="center"/>
            </w:pPr>
            <w:r w:rsidRPr="00B9725A">
              <w:t>10%</w:t>
            </w:r>
          </w:p>
        </w:tc>
      </w:tr>
      <w:tr w:rsidR="00B9725A" w:rsidRPr="00B9725A" w14:paraId="0B62433B" w14:textId="77777777" w:rsidTr="005322D8">
        <w:tc>
          <w:tcPr>
            <w:tcW w:w="2446" w:type="dxa"/>
            <w:tcBorders>
              <w:left w:val="single" w:sz="12" w:space="0" w:color="auto"/>
              <w:right w:val="single" w:sz="12" w:space="0" w:color="auto"/>
            </w:tcBorders>
          </w:tcPr>
          <w:p w14:paraId="694A4819" w14:textId="77777777" w:rsidR="00B9725A" w:rsidRPr="00B9725A" w:rsidRDefault="00B9725A" w:rsidP="00B9725A">
            <w:pPr>
              <w:spacing w:after="0" w:line="240" w:lineRule="auto"/>
              <w:rPr>
                <w:b/>
                <w:bCs/>
              </w:rPr>
            </w:pPr>
            <w:r w:rsidRPr="00B9725A">
              <w:rPr>
                <w:b/>
                <w:bCs/>
              </w:rPr>
              <w:t>Husbandry Equipment</w:t>
            </w:r>
          </w:p>
        </w:tc>
        <w:tc>
          <w:tcPr>
            <w:tcW w:w="1650" w:type="dxa"/>
            <w:tcBorders>
              <w:left w:val="single" w:sz="12" w:space="0" w:color="auto"/>
            </w:tcBorders>
          </w:tcPr>
          <w:p w14:paraId="61BCE509" w14:textId="77777777" w:rsidR="00B9725A" w:rsidRPr="00B9725A" w:rsidRDefault="00B9725A" w:rsidP="00B9725A">
            <w:pPr>
              <w:spacing w:after="0" w:line="240" w:lineRule="auto"/>
              <w:jc w:val="center"/>
            </w:pPr>
            <w:r w:rsidRPr="00B9725A">
              <w:t>2%</w:t>
            </w:r>
          </w:p>
        </w:tc>
        <w:tc>
          <w:tcPr>
            <w:tcW w:w="1701" w:type="dxa"/>
            <w:tcBorders>
              <w:left w:val="single" w:sz="12" w:space="0" w:color="auto"/>
              <w:right w:val="single" w:sz="12" w:space="0" w:color="auto"/>
            </w:tcBorders>
          </w:tcPr>
          <w:p w14:paraId="26AB7113" w14:textId="77777777" w:rsidR="00B9725A" w:rsidRPr="00B9725A" w:rsidRDefault="00B9725A" w:rsidP="00B9725A">
            <w:pPr>
              <w:spacing w:after="0" w:line="240" w:lineRule="auto"/>
              <w:jc w:val="center"/>
            </w:pPr>
            <w:r w:rsidRPr="00B9725A">
              <w:t>3%</w:t>
            </w:r>
          </w:p>
        </w:tc>
        <w:tc>
          <w:tcPr>
            <w:tcW w:w="1843" w:type="dxa"/>
            <w:tcBorders>
              <w:left w:val="single" w:sz="12" w:space="0" w:color="auto"/>
              <w:right w:val="single" w:sz="12" w:space="0" w:color="auto"/>
            </w:tcBorders>
          </w:tcPr>
          <w:p w14:paraId="1A1DA179" w14:textId="77777777" w:rsidR="00B9725A" w:rsidRPr="00B9725A" w:rsidRDefault="00B9725A" w:rsidP="00B9725A">
            <w:pPr>
              <w:spacing w:after="0" w:line="240" w:lineRule="auto"/>
              <w:jc w:val="center"/>
            </w:pPr>
            <w:r w:rsidRPr="00B9725A">
              <w:t>10%</w:t>
            </w:r>
          </w:p>
        </w:tc>
        <w:tc>
          <w:tcPr>
            <w:tcW w:w="1701" w:type="dxa"/>
            <w:tcBorders>
              <w:left w:val="single" w:sz="12" w:space="0" w:color="auto"/>
              <w:right w:val="single" w:sz="12" w:space="0" w:color="auto"/>
            </w:tcBorders>
          </w:tcPr>
          <w:p w14:paraId="7DC861F1" w14:textId="77777777" w:rsidR="00B9725A" w:rsidRPr="00B9725A" w:rsidRDefault="00B9725A" w:rsidP="00B9725A">
            <w:pPr>
              <w:spacing w:after="0" w:line="240" w:lineRule="auto"/>
              <w:jc w:val="center"/>
            </w:pPr>
            <w:r w:rsidRPr="00B9725A">
              <w:t>8%</w:t>
            </w:r>
          </w:p>
        </w:tc>
      </w:tr>
    </w:tbl>
    <w:p w14:paraId="53B9D878" w14:textId="77777777" w:rsidR="00B9725A" w:rsidRPr="00B9725A" w:rsidRDefault="00B9725A" w:rsidP="00B9725A"/>
    <w:p w14:paraId="1BB2499D" w14:textId="657EAADC" w:rsidR="00B9725A" w:rsidRPr="00B9725A" w:rsidRDefault="00B9725A" w:rsidP="00B9725A">
      <w:pPr>
        <w:jc w:val="center"/>
      </w:pPr>
      <w:r w:rsidRPr="00B9725A">
        <w:t xml:space="preserve">Table 28 – Proportions of testators in the wider survey bequeathing different forms of personal property, </w:t>
      </w:r>
      <w:r w:rsidR="00121BF8">
        <w:t>differentiated by whether they were also</w:t>
      </w:r>
      <w:r w:rsidRPr="00B9725A">
        <w:t xml:space="preserve"> bequeathing real estate.</w:t>
      </w:r>
      <w:r w:rsidRPr="00B9725A">
        <w:br w:type="page"/>
      </w:r>
    </w:p>
    <w:tbl>
      <w:tblPr>
        <w:tblStyle w:val="TableGrid13"/>
        <w:tblW w:w="0" w:type="auto"/>
        <w:tblLook w:val="04A0" w:firstRow="1" w:lastRow="0" w:firstColumn="1" w:lastColumn="0" w:noHBand="0" w:noVBand="1"/>
      </w:tblPr>
      <w:tblGrid>
        <w:gridCol w:w="2998"/>
        <w:gridCol w:w="2998"/>
        <w:gridCol w:w="3000"/>
      </w:tblGrid>
      <w:tr w:rsidR="00B9725A" w:rsidRPr="00B9725A" w14:paraId="0B707C6E" w14:textId="77777777" w:rsidTr="005322D8">
        <w:tc>
          <w:tcPr>
            <w:tcW w:w="2998" w:type="dxa"/>
            <w:vMerge w:val="restart"/>
            <w:tcBorders>
              <w:top w:val="single" w:sz="12" w:space="0" w:color="auto"/>
              <w:left w:val="single" w:sz="12" w:space="0" w:color="auto"/>
              <w:right w:val="single" w:sz="12" w:space="0" w:color="auto"/>
            </w:tcBorders>
          </w:tcPr>
          <w:p w14:paraId="21BED398" w14:textId="77777777" w:rsidR="00B9725A" w:rsidRPr="00B9725A" w:rsidRDefault="00B9725A" w:rsidP="00B9725A">
            <w:pPr>
              <w:spacing w:after="0" w:line="240" w:lineRule="auto"/>
            </w:pPr>
            <w:bookmarkStart w:id="2" w:name="_Hlk174714680"/>
          </w:p>
        </w:tc>
        <w:tc>
          <w:tcPr>
            <w:tcW w:w="5998" w:type="dxa"/>
            <w:gridSpan w:val="2"/>
            <w:tcBorders>
              <w:top w:val="single" w:sz="12" w:space="0" w:color="auto"/>
              <w:left w:val="single" w:sz="12" w:space="0" w:color="auto"/>
              <w:bottom w:val="single" w:sz="12" w:space="0" w:color="auto"/>
              <w:right w:val="single" w:sz="12" w:space="0" w:color="auto"/>
            </w:tcBorders>
          </w:tcPr>
          <w:p w14:paraId="30C8339B" w14:textId="77777777" w:rsidR="00B9725A" w:rsidRPr="00B9725A" w:rsidRDefault="00B9725A" w:rsidP="00B9725A">
            <w:pPr>
              <w:spacing w:after="0" w:line="240" w:lineRule="auto"/>
              <w:jc w:val="center"/>
              <w:rPr>
                <w:b/>
                <w:bCs/>
              </w:rPr>
            </w:pPr>
            <w:r w:rsidRPr="00B9725A">
              <w:rPr>
                <w:b/>
                <w:bCs/>
              </w:rPr>
              <w:t>Mean Number of Cash Bequests</w:t>
            </w:r>
          </w:p>
        </w:tc>
      </w:tr>
      <w:tr w:rsidR="00B9725A" w:rsidRPr="00B9725A" w14:paraId="2FD9354E" w14:textId="77777777" w:rsidTr="005322D8">
        <w:tc>
          <w:tcPr>
            <w:tcW w:w="2998" w:type="dxa"/>
            <w:vMerge/>
            <w:tcBorders>
              <w:left w:val="single" w:sz="12" w:space="0" w:color="auto"/>
              <w:bottom w:val="single" w:sz="12" w:space="0" w:color="auto"/>
              <w:right w:val="single" w:sz="12" w:space="0" w:color="auto"/>
            </w:tcBorders>
          </w:tcPr>
          <w:p w14:paraId="7562477F" w14:textId="77777777" w:rsidR="00B9725A" w:rsidRPr="00B9725A" w:rsidRDefault="00B9725A" w:rsidP="00B9725A">
            <w:pPr>
              <w:spacing w:after="0" w:line="240" w:lineRule="auto"/>
            </w:pPr>
          </w:p>
        </w:tc>
        <w:tc>
          <w:tcPr>
            <w:tcW w:w="2998" w:type="dxa"/>
            <w:tcBorders>
              <w:top w:val="single" w:sz="12" w:space="0" w:color="auto"/>
              <w:left w:val="single" w:sz="12" w:space="0" w:color="auto"/>
              <w:bottom w:val="single" w:sz="12" w:space="0" w:color="auto"/>
              <w:right w:val="single" w:sz="12" w:space="0" w:color="auto"/>
            </w:tcBorders>
          </w:tcPr>
          <w:p w14:paraId="565DD489" w14:textId="77777777" w:rsidR="00B9725A" w:rsidRPr="00B9725A" w:rsidRDefault="00B9725A" w:rsidP="00B9725A">
            <w:pPr>
              <w:spacing w:after="0" w:line="240" w:lineRule="auto"/>
              <w:jc w:val="center"/>
              <w:rPr>
                <w:b/>
                <w:bCs/>
              </w:rPr>
            </w:pPr>
            <w:r w:rsidRPr="00B9725A">
              <w:rPr>
                <w:b/>
                <w:bCs/>
              </w:rPr>
              <w:t>Bolton-le-Sands</w:t>
            </w:r>
          </w:p>
        </w:tc>
        <w:tc>
          <w:tcPr>
            <w:tcW w:w="3000" w:type="dxa"/>
            <w:tcBorders>
              <w:top w:val="single" w:sz="12" w:space="0" w:color="auto"/>
              <w:left w:val="single" w:sz="12" w:space="0" w:color="auto"/>
              <w:bottom w:val="single" w:sz="12" w:space="0" w:color="auto"/>
              <w:right w:val="single" w:sz="12" w:space="0" w:color="auto"/>
            </w:tcBorders>
          </w:tcPr>
          <w:p w14:paraId="68AF8048" w14:textId="77777777" w:rsidR="00B9725A" w:rsidRPr="00B9725A" w:rsidRDefault="00B9725A" w:rsidP="00B9725A">
            <w:pPr>
              <w:spacing w:after="0" w:line="240" w:lineRule="auto"/>
              <w:jc w:val="center"/>
              <w:rPr>
                <w:b/>
                <w:bCs/>
              </w:rPr>
            </w:pPr>
            <w:r w:rsidRPr="00B9725A">
              <w:rPr>
                <w:b/>
                <w:bCs/>
              </w:rPr>
              <w:t>Prestbury</w:t>
            </w:r>
          </w:p>
        </w:tc>
      </w:tr>
      <w:tr w:rsidR="00B9725A" w:rsidRPr="00B9725A" w14:paraId="7098A11E" w14:textId="77777777" w:rsidTr="005322D8">
        <w:tc>
          <w:tcPr>
            <w:tcW w:w="2998" w:type="dxa"/>
            <w:tcBorders>
              <w:top w:val="single" w:sz="12" w:space="0" w:color="auto"/>
              <w:left w:val="single" w:sz="12" w:space="0" w:color="auto"/>
              <w:right w:val="single" w:sz="12" w:space="0" w:color="auto"/>
            </w:tcBorders>
          </w:tcPr>
          <w:p w14:paraId="3ADEC16F" w14:textId="77777777" w:rsidR="00B9725A" w:rsidRPr="00B9725A" w:rsidRDefault="00B9725A" w:rsidP="00B9725A">
            <w:pPr>
              <w:spacing w:after="0" w:line="240" w:lineRule="auto"/>
              <w:rPr>
                <w:b/>
                <w:bCs/>
              </w:rPr>
            </w:pPr>
            <w:r w:rsidRPr="00B9725A">
              <w:rPr>
                <w:b/>
                <w:bCs/>
              </w:rPr>
              <w:t>Men</w:t>
            </w:r>
          </w:p>
        </w:tc>
        <w:tc>
          <w:tcPr>
            <w:tcW w:w="2998" w:type="dxa"/>
            <w:tcBorders>
              <w:top w:val="single" w:sz="12" w:space="0" w:color="auto"/>
              <w:left w:val="single" w:sz="12" w:space="0" w:color="auto"/>
              <w:right w:val="single" w:sz="12" w:space="0" w:color="auto"/>
            </w:tcBorders>
          </w:tcPr>
          <w:p w14:paraId="0EAF9FD6" w14:textId="77777777" w:rsidR="00B9725A" w:rsidRPr="00B9725A" w:rsidRDefault="00B9725A" w:rsidP="00B9725A">
            <w:pPr>
              <w:spacing w:after="0" w:line="240" w:lineRule="auto"/>
              <w:jc w:val="center"/>
              <w:rPr>
                <w:b/>
                <w:bCs/>
              </w:rPr>
            </w:pPr>
            <w:r w:rsidRPr="00B9725A">
              <w:rPr>
                <w:b/>
                <w:bCs/>
              </w:rPr>
              <w:t>3.8</w:t>
            </w:r>
          </w:p>
        </w:tc>
        <w:tc>
          <w:tcPr>
            <w:tcW w:w="3000" w:type="dxa"/>
            <w:tcBorders>
              <w:top w:val="single" w:sz="12" w:space="0" w:color="auto"/>
              <w:left w:val="single" w:sz="12" w:space="0" w:color="auto"/>
              <w:right w:val="single" w:sz="12" w:space="0" w:color="auto"/>
            </w:tcBorders>
          </w:tcPr>
          <w:p w14:paraId="0293866C" w14:textId="77777777" w:rsidR="00B9725A" w:rsidRPr="00B9725A" w:rsidRDefault="00B9725A" w:rsidP="00B9725A">
            <w:pPr>
              <w:spacing w:after="0" w:line="240" w:lineRule="auto"/>
              <w:jc w:val="center"/>
              <w:rPr>
                <w:b/>
                <w:bCs/>
              </w:rPr>
            </w:pPr>
            <w:r w:rsidRPr="00B9725A">
              <w:rPr>
                <w:b/>
                <w:bCs/>
              </w:rPr>
              <w:t>8.4</w:t>
            </w:r>
          </w:p>
        </w:tc>
      </w:tr>
      <w:tr w:rsidR="00B9725A" w:rsidRPr="00B9725A" w14:paraId="5AE4E787" w14:textId="77777777" w:rsidTr="005322D8">
        <w:tc>
          <w:tcPr>
            <w:tcW w:w="2998" w:type="dxa"/>
            <w:tcBorders>
              <w:left w:val="single" w:sz="12" w:space="0" w:color="auto"/>
              <w:right w:val="single" w:sz="12" w:space="0" w:color="auto"/>
            </w:tcBorders>
          </w:tcPr>
          <w:p w14:paraId="2A69EB78" w14:textId="77777777" w:rsidR="00B9725A" w:rsidRPr="00B9725A" w:rsidRDefault="00B9725A" w:rsidP="00B9725A">
            <w:pPr>
              <w:spacing w:after="0" w:line="240" w:lineRule="auto"/>
            </w:pPr>
            <w:r w:rsidRPr="00B9725A">
              <w:t xml:space="preserve">     Bachelor</w:t>
            </w:r>
          </w:p>
        </w:tc>
        <w:tc>
          <w:tcPr>
            <w:tcW w:w="2998" w:type="dxa"/>
            <w:tcBorders>
              <w:left w:val="single" w:sz="12" w:space="0" w:color="auto"/>
              <w:right w:val="single" w:sz="12" w:space="0" w:color="auto"/>
            </w:tcBorders>
          </w:tcPr>
          <w:p w14:paraId="3C7B36D5" w14:textId="77777777" w:rsidR="00B9725A" w:rsidRPr="00B9725A" w:rsidRDefault="00B9725A" w:rsidP="00B9725A">
            <w:pPr>
              <w:spacing w:after="0" w:line="240" w:lineRule="auto"/>
              <w:jc w:val="center"/>
            </w:pPr>
            <w:r w:rsidRPr="00B9725A">
              <w:t>5.6</w:t>
            </w:r>
          </w:p>
        </w:tc>
        <w:tc>
          <w:tcPr>
            <w:tcW w:w="3000" w:type="dxa"/>
            <w:tcBorders>
              <w:left w:val="single" w:sz="12" w:space="0" w:color="auto"/>
              <w:right w:val="single" w:sz="12" w:space="0" w:color="auto"/>
            </w:tcBorders>
          </w:tcPr>
          <w:p w14:paraId="5DF353DB" w14:textId="77777777" w:rsidR="00B9725A" w:rsidRPr="00B9725A" w:rsidRDefault="00B9725A" w:rsidP="00B9725A">
            <w:pPr>
              <w:spacing w:after="0" w:line="240" w:lineRule="auto"/>
              <w:jc w:val="center"/>
            </w:pPr>
            <w:r w:rsidRPr="00B9725A">
              <w:t>17.1</w:t>
            </w:r>
          </w:p>
        </w:tc>
      </w:tr>
      <w:tr w:rsidR="00B9725A" w:rsidRPr="00B9725A" w14:paraId="42B85C07" w14:textId="77777777" w:rsidTr="005322D8">
        <w:tc>
          <w:tcPr>
            <w:tcW w:w="2998" w:type="dxa"/>
            <w:tcBorders>
              <w:left w:val="single" w:sz="12" w:space="0" w:color="auto"/>
              <w:right w:val="single" w:sz="12" w:space="0" w:color="auto"/>
            </w:tcBorders>
          </w:tcPr>
          <w:p w14:paraId="1A930042" w14:textId="77777777" w:rsidR="00B9725A" w:rsidRPr="00B9725A" w:rsidRDefault="00B9725A" w:rsidP="00B9725A">
            <w:pPr>
              <w:spacing w:after="0" w:line="240" w:lineRule="auto"/>
            </w:pPr>
            <w:r w:rsidRPr="00B9725A">
              <w:t xml:space="preserve">     Married</w:t>
            </w:r>
          </w:p>
        </w:tc>
        <w:tc>
          <w:tcPr>
            <w:tcW w:w="2998" w:type="dxa"/>
            <w:tcBorders>
              <w:left w:val="single" w:sz="12" w:space="0" w:color="auto"/>
              <w:right w:val="single" w:sz="12" w:space="0" w:color="auto"/>
            </w:tcBorders>
          </w:tcPr>
          <w:p w14:paraId="147DB221" w14:textId="77777777" w:rsidR="00B9725A" w:rsidRPr="00B9725A" w:rsidRDefault="00B9725A" w:rsidP="00B9725A">
            <w:pPr>
              <w:spacing w:after="0" w:line="240" w:lineRule="auto"/>
              <w:jc w:val="center"/>
            </w:pPr>
            <w:r w:rsidRPr="00B9725A">
              <w:t>3.8</w:t>
            </w:r>
          </w:p>
        </w:tc>
        <w:tc>
          <w:tcPr>
            <w:tcW w:w="3000" w:type="dxa"/>
            <w:tcBorders>
              <w:left w:val="single" w:sz="12" w:space="0" w:color="auto"/>
              <w:right w:val="single" w:sz="12" w:space="0" w:color="auto"/>
            </w:tcBorders>
          </w:tcPr>
          <w:p w14:paraId="352760C6" w14:textId="77777777" w:rsidR="00B9725A" w:rsidRPr="00B9725A" w:rsidRDefault="00B9725A" w:rsidP="00B9725A">
            <w:pPr>
              <w:spacing w:after="0" w:line="240" w:lineRule="auto"/>
              <w:jc w:val="center"/>
            </w:pPr>
            <w:r w:rsidRPr="00B9725A">
              <w:t>6.4</w:t>
            </w:r>
          </w:p>
        </w:tc>
      </w:tr>
      <w:tr w:rsidR="00B9725A" w:rsidRPr="00B9725A" w14:paraId="7F44498F" w14:textId="77777777" w:rsidTr="005322D8">
        <w:tc>
          <w:tcPr>
            <w:tcW w:w="2998" w:type="dxa"/>
            <w:tcBorders>
              <w:left w:val="single" w:sz="12" w:space="0" w:color="auto"/>
              <w:bottom w:val="single" w:sz="12" w:space="0" w:color="auto"/>
              <w:right w:val="single" w:sz="12" w:space="0" w:color="auto"/>
            </w:tcBorders>
          </w:tcPr>
          <w:p w14:paraId="35AF590D" w14:textId="77777777" w:rsidR="00B9725A" w:rsidRPr="00B9725A" w:rsidRDefault="00B9725A" w:rsidP="00B9725A">
            <w:pPr>
              <w:spacing w:after="0" w:line="240" w:lineRule="auto"/>
            </w:pPr>
            <w:r w:rsidRPr="00B9725A">
              <w:t xml:space="preserve">     Widower</w:t>
            </w:r>
          </w:p>
        </w:tc>
        <w:tc>
          <w:tcPr>
            <w:tcW w:w="2998" w:type="dxa"/>
            <w:tcBorders>
              <w:left w:val="single" w:sz="12" w:space="0" w:color="auto"/>
              <w:bottom w:val="single" w:sz="12" w:space="0" w:color="auto"/>
              <w:right w:val="single" w:sz="12" w:space="0" w:color="auto"/>
            </w:tcBorders>
          </w:tcPr>
          <w:p w14:paraId="22F81FC4" w14:textId="77777777" w:rsidR="00B9725A" w:rsidRPr="00B9725A" w:rsidRDefault="00B9725A" w:rsidP="00B9725A">
            <w:pPr>
              <w:spacing w:after="0" w:line="240" w:lineRule="auto"/>
              <w:jc w:val="center"/>
            </w:pPr>
            <w:r w:rsidRPr="00B9725A">
              <w:t>3.1</w:t>
            </w:r>
          </w:p>
        </w:tc>
        <w:tc>
          <w:tcPr>
            <w:tcW w:w="3000" w:type="dxa"/>
            <w:tcBorders>
              <w:left w:val="single" w:sz="12" w:space="0" w:color="auto"/>
              <w:bottom w:val="single" w:sz="12" w:space="0" w:color="auto"/>
              <w:right w:val="single" w:sz="12" w:space="0" w:color="auto"/>
            </w:tcBorders>
          </w:tcPr>
          <w:p w14:paraId="23E76617" w14:textId="77777777" w:rsidR="00B9725A" w:rsidRPr="00B9725A" w:rsidRDefault="00B9725A" w:rsidP="00B9725A">
            <w:pPr>
              <w:spacing w:after="0" w:line="240" w:lineRule="auto"/>
              <w:jc w:val="center"/>
            </w:pPr>
            <w:r w:rsidRPr="00B9725A">
              <w:t>6.5</w:t>
            </w:r>
          </w:p>
        </w:tc>
      </w:tr>
      <w:tr w:rsidR="00B9725A" w:rsidRPr="00B9725A" w14:paraId="57342B78" w14:textId="77777777" w:rsidTr="005322D8">
        <w:tc>
          <w:tcPr>
            <w:tcW w:w="2998" w:type="dxa"/>
            <w:tcBorders>
              <w:top w:val="single" w:sz="12" w:space="0" w:color="auto"/>
              <w:left w:val="single" w:sz="12" w:space="0" w:color="auto"/>
              <w:right w:val="single" w:sz="12" w:space="0" w:color="auto"/>
            </w:tcBorders>
          </w:tcPr>
          <w:p w14:paraId="79C6DE8B" w14:textId="77777777" w:rsidR="00B9725A" w:rsidRPr="00B9725A" w:rsidRDefault="00B9725A" w:rsidP="00B9725A">
            <w:pPr>
              <w:spacing w:after="0" w:line="240" w:lineRule="auto"/>
              <w:rPr>
                <w:b/>
                <w:bCs/>
              </w:rPr>
            </w:pPr>
            <w:r w:rsidRPr="00B9725A">
              <w:rPr>
                <w:b/>
                <w:bCs/>
              </w:rPr>
              <w:t>Women</w:t>
            </w:r>
          </w:p>
        </w:tc>
        <w:tc>
          <w:tcPr>
            <w:tcW w:w="2998" w:type="dxa"/>
            <w:tcBorders>
              <w:top w:val="single" w:sz="12" w:space="0" w:color="auto"/>
              <w:left w:val="single" w:sz="12" w:space="0" w:color="auto"/>
              <w:right w:val="single" w:sz="12" w:space="0" w:color="auto"/>
            </w:tcBorders>
          </w:tcPr>
          <w:p w14:paraId="5D547467" w14:textId="77777777" w:rsidR="00B9725A" w:rsidRPr="00B9725A" w:rsidRDefault="00B9725A" w:rsidP="00B9725A">
            <w:pPr>
              <w:spacing w:after="0" w:line="240" w:lineRule="auto"/>
              <w:jc w:val="center"/>
              <w:rPr>
                <w:b/>
                <w:bCs/>
              </w:rPr>
            </w:pPr>
            <w:r w:rsidRPr="00B9725A">
              <w:rPr>
                <w:b/>
                <w:bCs/>
              </w:rPr>
              <w:t>4.7</w:t>
            </w:r>
          </w:p>
        </w:tc>
        <w:tc>
          <w:tcPr>
            <w:tcW w:w="3000" w:type="dxa"/>
            <w:tcBorders>
              <w:top w:val="single" w:sz="12" w:space="0" w:color="auto"/>
              <w:left w:val="single" w:sz="12" w:space="0" w:color="auto"/>
              <w:right w:val="single" w:sz="12" w:space="0" w:color="auto"/>
            </w:tcBorders>
          </w:tcPr>
          <w:p w14:paraId="0C0281A4" w14:textId="77777777" w:rsidR="00B9725A" w:rsidRPr="00B9725A" w:rsidRDefault="00B9725A" w:rsidP="00B9725A">
            <w:pPr>
              <w:spacing w:after="0" w:line="240" w:lineRule="auto"/>
              <w:jc w:val="center"/>
              <w:rPr>
                <w:b/>
                <w:bCs/>
              </w:rPr>
            </w:pPr>
            <w:r w:rsidRPr="00B9725A">
              <w:rPr>
                <w:b/>
                <w:bCs/>
              </w:rPr>
              <w:t>9.6</w:t>
            </w:r>
          </w:p>
        </w:tc>
      </w:tr>
      <w:tr w:rsidR="00B9725A" w:rsidRPr="00B9725A" w14:paraId="355AA9A9" w14:textId="77777777" w:rsidTr="005322D8">
        <w:tc>
          <w:tcPr>
            <w:tcW w:w="2998" w:type="dxa"/>
            <w:tcBorders>
              <w:left w:val="single" w:sz="12" w:space="0" w:color="auto"/>
              <w:right w:val="single" w:sz="12" w:space="0" w:color="auto"/>
            </w:tcBorders>
          </w:tcPr>
          <w:p w14:paraId="077491F5" w14:textId="77777777" w:rsidR="00B9725A" w:rsidRPr="00B9725A" w:rsidRDefault="00B9725A" w:rsidP="00B9725A">
            <w:pPr>
              <w:spacing w:after="0" w:line="240" w:lineRule="auto"/>
            </w:pPr>
            <w:r w:rsidRPr="00B9725A">
              <w:t xml:space="preserve">     Spinster</w:t>
            </w:r>
          </w:p>
        </w:tc>
        <w:tc>
          <w:tcPr>
            <w:tcW w:w="2998" w:type="dxa"/>
            <w:tcBorders>
              <w:left w:val="single" w:sz="12" w:space="0" w:color="auto"/>
              <w:right w:val="single" w:sz="12" w:space="0" w:color="auto"/>
            </w:tcBorders>
          </w:tcPr>
          <w:p w14:paraId="1E10250B" w14:textId="77777777" w:rsidR="00B9725A" w:rsidRPr="00B9725A" w:rsidRDefault="00B9725A" w:rsidP="00B9725A">
            <w:pPr>
              <w:spacing w:after="0" w:line="240" w:lineRule="auto"/>
              <w:jc w:val="center"/>
            </w:pPr>
            <w:r w:rsidRPr="00B9725A">
              <w:t>4.5</w:t>
            </w:r>
          </w:p>
        </w:tc>
        <w:tc>
          <w:tcPr>
            <w:tcW w:w="3000" w:type="dxa"/>
            <w:tcBorders>
              <w:left w:val="single" w:sz="12" w:space="0" w:color="auto"/>
              <w:right w:val="single" w:sz="12" w:space="0" w:color="auto"/>
            </w:tcBorders>
          </w:tcPr>
          <w:p w14:paraId="6C69E3F2" w14:textId="77777777" w:rsidR="00B9725A" w:rsidRPr="00B9725A" w:rsidRDefault="00B9725A" w:rsidP="00B9725A">
            <w:pPr>
              <w:spacing w:after="0" w:line="240" w:lineRule="auto"/>
              <w:jc w:val="center"/>
            </w:pPr>
            <w:r w:rsidRPr="00B9725A">
              <w:t>6</w:t>
            </w:r>
          </w:p>
        </w:tc>
      </w:tr>
      <w:tr w:rsidR="00B9725A" w:rsidRPr="00B9725A" w14:paraId="71AA7F5C" w14:textId="77777777" w:rsidTr="005322D8">
        <w:tc>
          <w:tcPr>
            <w:tcW w:w="2998" w:type="dxa"/>
            <w:tcBorders>
              <w:left w:val="single" w:sz="12" w:space="0" w:color="auto"/>
              <w:right w:val="single" w:sz="12" w:space="0" w:color="auto"/>
            </w:tcBorders>
          </w:tcPr>
          <w:p w14:paraId="722B7DDA" w14:textId="77777777" w:rsidR="00B9725A" w:rsidRPr="00B9725A" w:rsidRDefault="00B9725A" w:rsidP="00B9725A">
            <w:pPr>
              <w:spacing w:after="0" w:line="240" w:lineRule="auto"/>
            </w:pPr>
            <w:r w:rsidRPr="00B9725A">
              <w:t xml:space="preserve">     Married</w:t>
            </w:r>
          </w:p>
        </w:tc>
        <w:tc>
          <w:tcPr>
            <w:tcW w:w="2998" w:type="dxa"/>
            <w:tcBorders>
              <w:left w:val="single" w:sz="12" w:space="0" w:color="auto"/>
              <w:right w:val="single" w:sz="12" w:space="0" w:color="auto"/>
            </w:tcBorders>
          </w:tcPr>
          <w:p w14:paraId="0987FCA6" w14:textId="77777777" w:rsidR="00B9725A" w:rsidRPr="00B9725A" w:rsidRDefault="00B9725A" w:rsidP="00B9725A">
            <w:pPr>
              <w:spacing w:after="0" w:line="240" w:lineRule="auto"/>
              <w:jc w:val="center"/>
            </w:pPr>
            <w:r w:rsidRPr="00B9725A">
              <w:t>-</w:t>
            </w:r>
          </w:p>
        </w:tc>
        <w:tc>
          <w:tcPr>
            <w:tcW w:w="3000" w:type="dxa"/>
            <w:tcBorders>
              <w:left w:val="single" w:sz="12" w:space="0" w:color="auto"/>
              <w:right w:val="single" w:sz="12" w:space="0" w:color="auto"/>
            </w:tcBorders>
          </w:tcPr>
          <w:p w14:paraId="40F427DF" w14:textId="77777777" w:rsidR="00B9725A" w:rsidRPr="00B9725A" w:rsidRDefault="00B9725A" w:rsidP="00B9725A">
            <w:pPr>
              <w:spacing w:after="0" w:line="240" w:lineRule="auto"/>
              <w:jc w:val="center"/>
            </w:pPr>
            <w:r w:rsidRPr="00B9725A">
              <w:t>8.5</w:t>
            </w:r>
          </w:p>
        </w:tc>
      </w:tr>
      <w:tr w:rsidR="00B9725A" w:rsidRPr="00B9725A" w14:paraId="220EE4F3" w14:textId="77777777" w:rsidTr="005322D8">
        <w:tc>
          <w:tcPr>
            <w:tcW w:w="2998" w:type="dxa"/>
            <w:tcBorders>
              <w:left w:val="single" w:sz="12" w:space="0" w:color="auto"/>
              <w:bottom w:val="single" w:sz="12" w:space="0" w:color="auto"/>
              <w:right w:val="single" w:sz="12" w:space="0" w:color="auto"/>
            </w:tcBorders>
          </w:tcPr>
          <w:p w14:paraId="34E4D519" w14:textId="77777777" w:rsidR="00B9725A" w:rsidRPr="00B9725A" w:rsidRDefault="00B9725A" w:rsidP="00B9725A">
            <w:pPr>
              <w:spacing w:after="0" w:line="240" w:lineRule="auto"/>
            </w:pPr>
            <w:r w:rsidRPr="00B9725A">
              <w:t xml:space="preserve">     Widow</w:t>
            </w:r>
          </w:p>
        </w:tc>
        <w:tc>
          <w:tcPr>
            <w:tcW w:w="2998" w:type="dxa"/>
            <w:tcBorders>
              <w:left w:val="single" w:sz="12" w:space="0" w:color="auto"/>
              <w:bottom w:val="single" w:sz="12" w:space="0" w:color="auto"/>
              <w:right w:val="single" w:sz="12" w:space="0" w:color="auto"/>
            </w:tcBorders>
          </w:tcPr>
          <w:p w14:paraId="49CFF07B" w14:textId="77777777" w:rsidR="00B9725A" w:rsidRPr="00B9725A" w:rsidRDefault="00B9725A" w:rsidP="00B9725A">
            <w:pPr>
              <w:spacing w:after="0" w:line="240" w:lineRule="auto"/>
              <w:jc w:val="center"/>
            </w:pPr>
            <w:r w:rsidRPr="00B9725A">
              <w:t>4.7</w:t>
            </w:r>
          </w:p>
        </w:tc>
        <w:tc>
          <w:tcPr>
            <w:tcW w:w="3000" w:type="dxa"/>
            <w:tcBorders>
              <w:left w:val="single" w:sz="12" w:space="0" w:color="auto"/>
              <w:bottom w:val="single" w:sz="12" w:space="0" w:color="auto"/>
              <w:right w:val="single" w:sz="12" w:space="0" w:color="auto"/>
            </w:tcBorders>
          </w:tcPr>
          <w:p w14:paraId="494974B3" w14:textId="77777777" w:rsidR="00B9725A" w:rsidRPr="00B9725A" w:rsidRDefault="00B9725A" w:rsidP="00B9725A">
            <w:pPr>
              <w:spacing w:after="0" w:line="240" w:lineRule="auto"/>
              <w:jc w:val="center"/>
            </w:pPr>
            <w:r w:rsidRPr="00B9725A">
              <w:t>10.1</w:t>
            </w:r>
          </w:p>
        </w:tc>
      </w:tr>
      <w:tr w:rsidR="00B9725A" w:rsidRPr="00B9725A" w14:paraId="2F979CD5" w14:textId="77777777" w:rsidTr="005322D8">
        <w:tc>
          <w:tcPr>
            <w:tcW w:w="2998" w:type="dxa"/>
            <w:tcBorders>
              <w:top w:val="single" w:sz="12" w:space="0" w:color="auto"/>
              <w:left w:val="single" w:sz="12" w:space="0" w:color="auto"/>
              <w:bottom w:val="single" w:sz="12" w:space="0" w:color="auto"/>
              <w:right w:val="single" w:sz="12" w:space="0" w:color="auto"/>
            </w:tcBorders>
          </w:tcPr>
          <w:p w14:paraId="307203AA" w14:textId="77777777" w:rsidR="00B9725A" w:rsidRPr="00B9725A" w:rsidRDefault="00B9725A" w:rsidP="00B9725A">
            <w:pPr>
              <w:spacing w:after="0" w:line="240" w:lineRule="auto"/>
              <w:rPr>
                <w:b/>
                <w:bCs/>
              </w:rPr>
            </w:pPr>
            <w:r w:rsidRPr="00B9725A">
              <w:rPr>
                <w:b/>
                <w:bCs/>
              </w:rPr>
              <w:t>Total</w:t>
            </w:r>
          </w:p>
        </w:tc>
        <w:tc>
          <w:tcPr>
            <w:tcW w:w="2998" w:type="dxa"/>
            <w:tcBorders>
              <w:top w:val="single" w:sz="12" w:space="0" w:color="auto"/>
              <w:left w:val="single" w:sz="12" w:space="0" w:color="auto"/>
              <w:bottom w:val="single" w:sz="12" w:space="0" w:color="auto"/>
              <w:right w:val="single" w:sz="12" w:space="0" w:color="auto"/>
            </w:tcBorders>
          </w:tcPr>
          <w:p w14:paraId="21034BE1" w14:textId="77777777" w:rsidR="00B9725A" w:rsidRPr="00B9725A" w:rsidRDefault="00B9725A" w:rsidP="00B9725A">
            <w:pPr>
              <w:spacing w:after="0" w:line="240" w:lineRule="auto"/>
              <w:jc w:val="center"/>
              <w:rPr>
                <w:b/>
                <w:bCs/>
              </w:rPr>
            </w:pPr>
            <w:r w:rsidRPr="00B9725A">
              <w:rPr>
                <w:b/>
                <w:bCs/>
              </w:rPr>
              <w:t>4.1</w:t>
            </w:r>
          </w:p>
        </w:tc>
        <w:tc>
          <w:tcPr>
            <w:tcW w:w="3000" w:type="dxa"/>
            <w:tcBorders>
              <w:top w:val="single" w:sz="12" w:space="0" w:color="auto"/>
              <w:left w:val="single" w:sz="12" w:space="0" w:color="auto"/>
              <w:bottom w:val="single" w:sz="12" w:space="0" w:color="auto"/>
              <w:right w:val="single" w:sz="12" w:space="0" w:color="auto"/>
            </w:tcBorders>
          </w:tcPr>
          <w:p w14:paraId="1682B648" w14:textId="77777777" w:rsidR="00B9725A" w:rsidRPr="00B9725A" w:rsidRDefault="00B9725A" w:rsidP="00B9725A">
            <w:pPr>
              <w:spacing w:after="0" w:line="240" w:lineRule="auto"/>
              <w:jc w:val="center"/>
              <w:rPr>
                <w:b/>
                <w:bCs/>
              </w:rPr>
            </w:pPr>
            <w:r w:rsidRPr="00B9725A">
              <w:rPr>
                <w:b/>
                <w:bCs/>
              </w:rPr>
              <w:t>8.7</w:t>
            </w:r>
          </w:p>
        </w:tc>
      </w:tr>
      <w:bookmarkEnd w:id="2"/>
    </w:tbl>
    <w:p w14:paraId="66686574" w14:textId="77777777" w:rsidR="00B9725A" w:rsidRPr="00B9725A" w:rsidRDefault="00B9725A" w:rsidP="00B9725A"/>
    <w:p w14:paraId="4E08F752" w14:textId="18AD7CB7" w:rsidR="00B9725A" w:rsidRPr="00B9725A" w:rsidRDefault="00B9725A" w:rsidP="00B9725A">
      <w:pPr>
        <w:jc w:val="center"/>
      </w:pPr>
      <w:r w:rsidRPr="00B9725A">
        <w:t xml:space="preserve">Table 29 – Mean number of cash bequests </w:t>
      </w:r>
      <w:r w:rsidR="00640465">
        <w:t>according to gender in wills with</w:t>
      </w:r>
      <w:r w:rsidRPr="00B9725A">
        <w:t>in the Bolton-le-Sands and Prestbury wider survey.</w:t>
      </w:r>
    </w:p>
    <w:p w14:paraId="4904D902" w14:textId="77777777" w:rsidR="00B9725A" w:rsidRPr="00B9725A" w:rsidRDefault="00B9725A" w:rsidP="00B9725A">
      <w:r w:rsidRPr="00B9725A">
        <w:br w:type="page"/>
      </w:r>
    </w:p>
    <w:tbl>
      <w:tblPr>
        <w:tblStyle w:val="TableGrid13"/>
        <w:tblW w:w="0" w:type="auto"/>
        <w:tblLook w:val="04A0" w:firstRow="1" w:lastRow="0" w:firstColumn="1" w:lastColumn="0" w:noHBand="0" w:noVBand="1"/>
      </w:tblPr>
      <w:tblGrid>
        <w:gridCol w:w="3000"/>
        <w:gridCol w:w="2997"/>
        <w:gridCol w:w="2999"/>
      </w:tblGrid>
      <w:tr w:rsidR="00B9725A" w:rsidRPr="00B9725A" w14:paraId="248ADD8A" w14:textId="77777777" w:rsidTr="005322D8">
        <w:tc>
          <w:tcPr>
            <w:tcW w:w="3000" w:type="dxa"/>
            <w:vMerge w:val="restart"/>
            <w:tcBorders>
              <w:top w:val="single" w:sz="12" w:space="0" w:color="auto"/>
              <w:left w:val="single" w:sz="12" w:space="0" w:color="auto"/>
              <w:right w:val="single" w:sz="12" w:space="0" w:color="auto"/>
            </w:tcBorders>
          </w:tcPr>
          <w:p w14:paraId="5A0601DC" w14:textId="77777777" w:rsidR="00B9725A" w:rsidRPr="00B9725A" w:rsidRDefault="00B9725A" w:rsidP="00B9725A">
            <w:pPr>
              <w:spacing w:after="0" w:line="240" w:lineRule="auto"/>
              <w:rPr>
                <w:b/>
                <w:bCs/>
              </w:rPr>
            </w:pPr>
            <w:r w:rsidRPr="00B9725A">
              <w:rPr>
                <w:b/>
                <w:bCs/>
              </w:rPr>
              <w:lastRenderedPageBreak/>
              <w:t>Recipient of Cash Bequest</w:t>
            </w:r>
          </w:p>
        </w:tc>
        <w:tc>
          <w:tcPr>
            <w:tcW w:w="5996" w:type="dxa"/>
            <w:gridSpan w:val="2"/>
            <w:tcBorders>
              <w:top w:val="single" w:sz="12" w:space="0" w:color="auto"/>
              <w:left w:val="single" w:sz="12" w:space="0" w:color="auto"/>
              <w:bottom w:val="single" w:sz="12" w:space="0" w:color="auto"/>
              <w:right w:val="single" w:sz="12" w:space="0" w:color="auto"/>
            </w:tcBorders>
          </w:tcPr>
          <w:p w14:paraId="3382307C" w14:textId="77777777" w:rsidR="00B9725A" w:rsidRPr="00B9725A" w:rsidRDefault="00B9725A" w:rsidP="00B9725A">
            <w:pPr>
              <w:spacing w:after="0" w:line="240" w:lineRule="auto"/>
              <w:jc w:val="center"/>
              <w:rPr>
                <w:b/>
                <w:bCs/>
              </w:rPr>
            </w:pPr>
            <w:r w:rsidRPr="00B9725A">
              <w:rPr>
                <w:b/>
                <w:bCs/>
              </w:rPr>
              <w:t>Number of Wills</w:t>
            </w:r>
          </w:p>
        </w:tc>
      </w:tr>
      <w:tr w:rsidR="00B9725A" w:rsidRPr="00B9725A" w14:paraId="73F5563F" w14:textId="77777777" w:rsidTr="005322D8">
        <w:tc>
          <w:tcPr>
            <w:tcW w:w="3000" w:type="dxa"/>
            <w:vMerge/>
            <w:tcBorders>
              <w:left w:val="single" w:sz="12" w:space="0" w:color="auto"/>
              <w:bottom w:val="single" w:sz="12" w:space="0" w:color="auto"/>
              <w:right w:val="single" w:sz="12" w:space="0" w:color="auto"/>
            </w:tcBorders>
          </w:tcPr>
          <w:p w14:paraId="7E61BE76" w14:textId="77777777" w:rsidR="00B9725A" w:rsidRPr="00B9725A" w:rsidRDefault="00B9725A" w:rsidP="00B9725A">
            <w:pPr>
              <w:spacing w:after="0" w:line="240" w:lineRule="auto"/>
              <w:rPr>
                <w:b/>
                <w:bCs/>
              </w:rPr>
            </w:pPr>
          </w:p>
        </w:tc>
        <w:tc>
          <w:tcPr>
            <w:tcW w:w="2997" w:type="dxa"/>
            <w:tcBorders>
              <w:top w:val="single" w:sz="12" w:space="0" w:color="auto"/>
              <w:left w:val="single" w:sz="12" w:space="0" w:color="auto"/>
              <w:bottom w:val="single" w:sz="12" w:space="0" w:color="auto"/>
              <w:right w:val="single" w:sz="12" w:space="0" w:color="auto"/>
            </w:tcBorders>
          </w:tcPr>
          <w:p w14:paraId="06D4B214" w14:textId="77777777" w:rsidR="00B9725A" w:rsidRPr="00B9725A" w:rsidRDefault="00B9725A" w:rsidP="00B9725A">
            <w:pPr>
              <w:spacing w:after="0" w:line="240" w:lineRule="auto"/>
              <w:jc w:val="center"/>
              <w:rPr>
                <w:b/>
                <w:bCs/>
              </w:rPr>
            </w:pPr>
            <w:r w:rsidRPr="00B9725A">
              <w:rPr>
                <w:b/>
                <w:bCs/>
              </w:rPr>
              <w:t>Bolton-le-Sands</w:t>
            </w:r>
          </w:p>
        </w:tc>
        <w:tc>
          <w:tcPr>
            <w:tcW w:w="2999" w:type="dxa"/>
            <w:tcBorders>
              <w:top w:val="single" w:sz="12" w:space="0" w:color="auto"/>
              <w:left w:val="single" w:sz="12" w:space="0" w:color="auto"/>
              <w:bottom w:val="single" w:sz="12" w:space="0" w:color="auto"/>
              <w:right w:val="single" w:sz="12" w:space="0" w:color="auto"/>
            </w:tcBorders>
          </w:tcPr>
          <w:p w14:paraId="28C04A76" w14:textId="77777777" w:rsidR="00B9725A" w:rsidRPr="00B9725A" w:rsidRDefault="00B9725A" w:rsidP="00B9725A">
            <w:pPr>
              <w:spacing w:after="0" w:line="240" w:lineRule="auto"/>
              <w:jc w:val="center"/>
              <w:rPr>
                <w:b/>
                <w:bCs/>
              </w:rPr>
            </w:pPr>
            <w:r w:rsidRPr="00B9725A">
              <w:rPr>
                <w:b/>
                <w:bCs/>
              </w:rPr>
              <w:t>Prestbury</w:t>
            </w:r>
          </w:p>
        </w:tc>
      </w:tr>
      <w:tr w:rsidR="00B9725A" w:rsidRPr="00B9725A" w14:paraId="0F7FFDA0" w14:textId="77777777" w:rsidTr="005322D8">
        <w:tc>
          <w:tcPr>
            <w:tcW w:w="3000" w:type="dxa"/>
            <w:tcBorders>
              <w:top w:val="single" w:sz="12" w:space="0" w:color="auto"/>
              <w:left w:val="single" w:sz="12" w:space="0" w:color="auto"/>
              <w:right w:val="single" w:sz="12" w:space="0" w:color="auto"/>
            </w:tcBorders>
          </w:tcPr>
          <w:p w14:paraId="25FAB6BC" w14:textId="77777777" w:rsidR="00B9725A" w:rsidRPr="00B9725A" w:rsidRDefault="00B9725A" w:rsidP="00B9725A">
            <w:pPr>
              <w:spacing w:after="0" w:line="240" w:lineRule="auto"/>
              <w:rPr>
                <w:b/>
                <w:bCs/>
              </w:rPr>
            </w:pPr>
            <w:r w:rsidRPr="00B9725A">
              <w:rPr>
                <w:b/>
                <w:bCs/>
              </w:rPr>
              <w:t>Immediate Family</w:t>
            </w:r>
          </w:p>
        </w:tc>
        <w:tc>
          <w:tcPr>
            <w:tcW w:w="2997" w:type="dxa"/>
            <w:tcBorders>
              <w:top w:val="single" w:sz="12" w:space="0" w:color="auto"/>
              <w:left w:val="single" w:sz="12" w:space="0" w:color="auto"/>
              <w:right w:val="single" w:sz="12" w:space="0" w:color="auto"/>
            </w:tcBorders>
          </w:tcPr>
          <w:p w14:paraId="1E4109EA" w14:textId="77777777" w:rsidR="00B9725A" w:rsidRPr="00B9725A" w:rsidRDefault="00B9725A" w:rsidP="00B9725A">
            <w:pPr>
              <w:spacing w:after="0" w:line="240" w:lineRule="auto"/>
              <w:jc w:val="center"/>
              <w:rPr>
                <w:b/>
                <w:bCs/>
              </w:rPr>
            </w:pPr>
            <w:r w:rsidRPr="00B9725A">
              <w:rPr>
                <w:b/>
                <w:bCs/>
              </w:rPr>
              <w:t>37</w:t>
            </w:r>
          </w:p>
        </w:tc>
        <w:tc>
          <w:tcPr>
            <w:tcW w:w="2999" w:type="dxa"/>
            <w:tcBorders>
              <w:top w:val="single" w:sz="12" w:space="0" w:color="auto"/>
              <w:left w:val="single" w:sz="12" w:space="0" w:color="auto"/>
              <w:right w:val="single" w:sz="12" w:space="0" w:color="auto"/>
            </w:tcBorders>
          </w:tcPr>
          <w:p w14:paraId="402611A7" w14:textId="77777777" w:rsidR="00B9725A" w:rsidRPr="00B9725A" w:rsidRDefault="00B9725A" w:rsidP="00B9725A">
            <w:pPr>
              <w:spacing w:after="0" w:line="240" w:lineRule="auto"/>
              <w:jc w:val="center"/>
              <w:rPr>
                <w:b/>
                <w:bCs/>
              </w:rPr>
            </w:pPr>
            <w:r w:rsidRPr="00B9725A">
              <w:rPr>
                <w:b/>
                <w:bCs/>
              </w:rPr>
              <w:t>53</w:t>
            </w:r>
          </w:p>
        </w:tc>
      </w:tr>
      <w:tr w:rsidR="00B9725A" w:rsidRPr="00B9725A" w14:paraId="715C499A" w14:textId="77777777" w:rsidTr="005322D8">
        <w:tc>
          <w:tcPr>
            <w:tcW w:w="3000" w:type="dxa"/>
            <w:tcBorders>
              <w:left w:val="single" w:sz="12" w:space="0" w:color="auto"/>
              <w:right w:val="single" w:sz="12" w:space="0" w:color="auto"/>
            </w:tcBorders>
          </w:tcPr>
          <w:p w14:paraId="3C31A151" w14:textId="77777777" w:rsidR="00B9725A" w:rsidRPr="00B9725A" w:rsidRDefault="00B9725A" w:rsidP="00B9725A">
            <w:pPr>
              <w:spacing w:after="0" w:line="240" w:lineRule="auto"/>
            </w:pPr>
            <w:r w:rsidRPr="00B9725A">
              <w:t xml:space="preserve">     Spouse</w:t>
            </w:r>
          </w:p>
        </w:tc>
        <w:tc>
          <w:tcPr>
            <w:tcW w:w="2997" w:type="dxa"/>
            <w:tcBorders>
              <w:left w:val="single" w:sz="12" w:space="0" w:color="auto"/>
              <w:right w:val="single" w:sz="12" w:space="0" w:color="auto"/>
            </w:tcBorders>
          </w:tcPr>
          <w:p w14:paraId="5706711F" w14:textId="77777777" w:rsidR="00B9725A" w:rsidRPr="00B9725A" w:rsidRDefault="00B9725A" w:rsidP="00B9725A">
            <w:pPr>
              <w:spacing w:after="0" w:line="240" w:lineRule="auto"/>
              <w:jc w:val="center"/>
            </w:pPr>
            <w:r w:rsidRPr="00B9725A">
              <w:t>6</w:t>
            </w:r>
          </w:p>
        </w:tc>
        <w:tc>
          <w:tcPr>
            <w:tcW w:w="2999" w:type="dxa"/>
            <w:tcBorders>
              <w:left w:val="single" w:sz="12" w:space="0" w:color="auto"/>
              <w:right w:val="single" w:sz="12" w:space="0" w:color="auto"/>
            </w:tcBorders>
          </w:tcPr>
          <w:p w14:paraId="2D2EA427" w14:textId="77777777" w:rsidR="00B9725A" w:rsidRPr="00B9725A" w:rsidRDefault="00B9725A" w:rsidP="00B9725A">
            <w:pPr>
              <w:spacing w:after="0" w:line="240" w:lineRule="auto"/>
              <w:jc w:val="center"/>
            </w:pPr>
            <w:r w:rsidRPr="00B9725A">
              <w:t>16</w:t>
            </w:r>
          </w:p>
        </w:tc>
      </w:tr>
      <w:tr w:rsidR="00B9725A" w:rsidRPr="00B9725A" w14:paraId="58CC59B1" w14:textId="77777777" w:rsidTr="005322D8">
        <w:tc>
          <w:tcPr>
            <w:tcW w:w="3000" w:type="dxa"/>
            <w:tcBorders>
              <w:left w:val="single" w:sz="12" w:space="0" w:color="auto"/>
              <w:bottom w:val="single" w:sz="12" w:space="0" w:color="auto"/>
              <w:right w:val="single" w:sz="12" w:space="0" w:color="auto"/>
            </w:tcBorders>
          </w:tcPr>
          <w:p w14:paraId="7C808630" w14:textId="77777777" w:rsidR="00B9725A" w:rsidRPr="00B9725A" w:rsidRDefault="00B9725A" w:rsidP="00B9725A">
            <w:pPr>
              <w:spacing w:after="0" w:line="240" w:lineRule="auto"/>
            </w:pPr>
            <w:r w:rsidRPr="00B9725A">
              <w:t xml:space="preserve">     Children</w:t>
            </w:r>
          </w:p>
        </w:tc>
        <w:tc>
          <w:tcPr>
            <w:tcW w:w="2997" w:type="dxa"/>
            <w:tcBorders>
              <w:left w:val="single" w:sz="12" w:space="0" w:color="auto"/>
              <w:bottom w:val="single" w:sz="12" w:space="0" w:color="auto"/>
              <w:right w:val="single" w:sz="12" w:space="0" w:color="auto"/>
            </w:tcBorders>
          </w:tcPr>
          <w:p w14:paraId="69A8D958" w14:textId="77777777" w:rsidR="00B9725A" w:rsidRPr="00B9725A" w:rsidRDefault="00B9725A" w:rsidP="00B9725A">
            <w:pPr>
              <w:spacing w:after="0" w:line="240" w:lineRule="auto"/>
              <w:jc w:val="center"/>
            </w:pPr>
            <w:r w:rsidRPr="00B9725A">
              <w:t>35</w:t>
            </w:r>
          </w:p>
        </w:tc>
        <w:tc>
          <w:tcPr>
            <w:tcW w:w="2999" w:type="dxa"/>
            <w:tcBorders>
              <w:left w:val="single" w:sz="12" w:space="0" w:color="auto"/>
              <w:bottom w:val="single" w:sz="12" w:space="0" w:color="auto"/>
              <w:right w:val="single" w:sz="12" w:space="0" w:color="auto"/>
            </w:tcBorders>
          </w:tcPr>
          <w:p w14:paraId="0DA6F331" w14:textId="77777777" w:rsidR="00B9725A" w:rsidRPr="00B9725A" w:rsidRDefault="00B9725A" w:rsidP="00B9725A">
            <w:pPr>
              <w:spacing w:after="0" w:line="240" w:lineRule="auto"/>
              <w:jc w:val="center"/>
            </w:pPr>
            <w:r w:rsidRPr="00B9725A">
              <w:t>43</w:t>
            </w:r>
          </w:p>
        </w:tc>
      </w:tr>
      <w:tr w:rsidR="00B9725A" w:rsidRPr="00B9725A" w14:paraId="78D15531" w14:textId="77777777" w:rsidTr="005322D8">
        <w:tc>
          <w:tcPr>
            <w:tcW w:w="3000" w:type="dxa"/>
            <w:tcBorders>
              <w:top w:val="single" w:sz="12" w:space="0" w:color="auto"/>
              <w:left w:val="single" w:sz="12" w:space="0" w:color="auto"/>
              <w:right w:val="single" w:sz="12" w:space="0" w:color="auto"/>
            </w:tcBorders>
          </w:tcPr>
          <w:p w14:paraId="3299D2AA" w14:textId="77777777" w:rsidR="00B9725A" w:rsidRPr="00B9725A" w:rsidRDefault="00B9725A" w:rsidP="00B9725A">
            <w:pPr>
              <w:spacing w:after="0" w:line="240" w:lineRule="auto"/>
              <w:rPr>
                <w:b/>
                <w:bCs/>
              </w:rPr>
            </w:pPr>
            <w:r w:rsidRPr="00B9725A">
              <w:rPr>
                <w:b/>
                <w:bCs/>
              </w:rPr>
              <w:t>Wider Family</w:t>
            </w:r>
          </w:p>
        </w:tc>
        <w:tc>
          <w:tcPr>
            <w:tcW w:w="2997" w:type="dxa"/>
            <w:tcBorders>
              <w:top w:val="single" w:sz="12" w:space="0" w:color="auto"/>
              <w:left w:val="single" w:sz="12" w:space="0" w:color="auto"/>
              <w:right w:val="single" w:sz="12" w:space="0" w:color="auto"/>
            </w:tcBorders>
          </w:tcPr>
          <w:p w14:paraId="523384CB" w14:textId="77777777" w:rsidR="00B9725A" w:rsidRPr="00B9725A" w:rsidRDefault="00B9725A" w:rsidP="00B9725A">
            <w:pPr>
              <w:spacing w:after="0" w:line="240" w:lineRule="auto"/>
              <w:jc w:val="center"/>
              <w:rPr>
                <w:b/>
                <w:bCs/>
              </w:rPr>
            </w:pPr>
            <w:r w:rsidRPr="00B9725A">
              <w:rPr>
                <w:b/>
                <w:bCs/>
              </w:rPr>
              <w:t>28</w:t>
            </w:r>
          </w:p>
        </w:tc>
        <w:tc>
          <w:tcPr>
            <w:tcW w:w="2999" w:type="dxa"/>
            <w:tcBorders>
              <w:top w:val="single" w:sz="12" w:space="0" w:color="auto"/>
              <w:left w:val="single" w:sz="12" w:space="0" w:color="auto"/>
              <w:right w:val="single" w:sz="12" w:space="0" w:color="auto"/>
            </w:tcBorders>
          </w:tcPr>
          <w:p w14:paraId="1D7A5310" w14:textId="77777777" w:rsidR="00B9725A" w:rsidRPr="00B9725A" w:rsidRDefault="00B9725A" w:rsidP="00B9725A">
            <w:pPr>
              <w:spacing w:after="0" w:line="240" w:lineRule="auto"/>
              <w:jc w:val="center"/>
              <w:rPr>
                <w:b/>
                <w:bCs/>
              </w:rPr>
            </w:pPr>
            <w:r w:rsidRPr="00B9725A">
              <w:rPr>
                <w:b/>
                <w:bCs/>
              </w:rPr>
              <w:t>36</w:t>
            </w:r>
          </w:p>
        </w:tc>
      </w:tr>
      <w:tr w:rsidR="00B9725A" w:rsidRPr="00B9725A" w14:paraId="39D8B2F4" w14:textId="77777777" w:rsidTr="005322D8">
        <w:tc>
          <w:tcPr>
            <w:tcW w:w="3000" w:type="dxa"/>
            <w:tcBorders>
              <w:left w:val="single" w:sz="12" w:space="0" w:color="auto"/>
              <w:right w:val="single" w:sz="12" w:space="0" w:color="auto"/>
            </w:tcBorders>
          </w:tcPr>
          <w:p w14:paraId="11BE247A" w14:textId="77777777" w:rsidR="00B9725A" w:rsidRPr="00B9725A" w:rsidRDefault="00B9725A" w:rsidP="00B9725A">
            <w:pPr>
              <w:spacing w:after="0" w:line="240" w:lineRule="auto"/>
            </w:pPr>
            <w:r w:rsidRPr="00B9725A">
              <w:t xml:space="preserve">     Siblings</w:t>
            </w:r>
          </w:p>
        </w:tc>
        <w:tc>
          <w:tcPr>
            <w:tcW w:w="2997" w:type="dxa"/>
            <w:tcBorders>
              <w:left w:val="single" w:sz="12" w:space="0" w:color="auto"/>
              <w:right w:val="single" w:sz="12" w:space="0" w:color="auto"/>
            </w:tcBorders>
          </w:tcPr>
          <w:p w14:paraId="468A108C" w14:textId="77777777" w:rsidR="00B9725A" w:rsidRPr="00B9725A" w:rsidRDefault="00B9725A" w:rsidP="00B9725A">
            <w:pPr>
              <w:spacing w:after="0" w:line="240" w:lineRule="auto"/>
              <w:jc w:val="center"/>
            </w:pPr>
            <w:r w:rsidRPr="00B9725A">
              <w:t>14</w:t>
            </w:r>
          </w:p>
        </w:tc>
        <w:tc>
          <w:tcPr>
            <w:tcW w:w="2999" w:type="dxa"/>
            <w:tcBorders>
              <w:left w:val="single" w:sz="12" w:space="0" w:color="auto"/>
              <w:right w:val="single" w:sz="12" w:space="0" w:color="auto"/>
            </w:tcBorders>
          </w:tcPr>
          <w:p w14:paraId="39A9957D" w14:textId="77777777" w:rsidR="00B9725A" w:rsidRPr="00B9725A" w:rsidRDefault="00B9725A" w:rsidP="00B9725A">
            <w:pPr>
              <w:spacing w:after="0" w:line="240" w:lineRule="auto"/>
              <w:jc w:val="center"/>
            </w:pPr>
            <w:r w:rsidRPr="00B9725A">
              <w:t>16</w:t>
            </w:r>
          </w:p>
        </w:tc>
      </w:tr>
      <w:tr w:rsidR="00B9725A" w:rsidRPr="00B9725A" w14:paraId="4FEFD4B6" w14:textId="77777777" w:rsidTr="005322D8">
        <w:tc>
          <w:tcPr>
            <w:tcW w:w="3000" w:type="dxa"/>
            <w:tcBorders>
              <w:left w:val="single" w:sz="12" w:space="0" w:color="auto"/>
              <w:right w:val="single" w:sz="12" w:space="0" w:color="auto"/>
            </w:tcBorders>
          </w:tcPr>
          <w:p w14:paraId="49560C9D" w14:textId="77777777" w:rsidR="00B9725A" w:rsidRPr="00B9725A" w:rsidRDefault="00B9725A" w:rsidP="00B9725A">
            <w:pPr>
              <w:spacing w:after="0" w:line="240" w:lineRule="auto"/>
            </w:pPr>
            <w:r w:rsidRPr="00B9725A">
              <w:t xml:space="preserve">     Nieces / nephews</w:t>
            </w:r>
          </w:p>
        </w:tc>
        <w:tc>
          <w:tcPr>
            <w:tcW w:w="2997" w:type="dxa"/>
            <w:tcBorders>
              <w:left w:val="single" w:sz="12" w:space="0" w:color="auto"/>
              <w:right w:val="single" w:sz="12" w:space="0" w:color="auto"/>
            </w:tcBorders>
          </w:tcPr>
          <w:p w14:paraId="052EB1F0" w14:textId="77777777" w:rsidR="00B9725A" w:rsidRPr="00B9725A" w:rsidRDefault="00B9725A" w:rsidP="00B9725A">
            <w:pPr>
              <w:spacing w:after="0" w:line="240" w:lineRule="auto"/>
              <w:jc w:val="center"/>
            </w:pPr>
            <w:r w:rsidRPr="00B9725A">
              <w:t>13</w:t>
            </w:r>
          </w:p>
        </w:tc>
        <w:tc>
          <w:tcPr>
            <w:tcW w:w="2999" w:type="dxa"/>
            <w:tcBorders>
              <w:left w:val="single" w:sz="12" w:space="0" w:color="auto"/>
              <w:right w:val="single" w:sz="12" w:space="0" w:color="auto"/>
            </w:tcBorders>
          </w:tcPr>
          <w:p w14:paraId="6B6D01ED" w14:textId="77777777" w:rsidR="00B9725A" w:rsidRPr="00B9725A" w:rsidRDefault="00B9725A" w:rsidP="00B9725A">
            <w:pPr>
              <w:spacing w:after="0" w:line="240" w:lineRule="auto"/>
              <w:jc w:val="center"/>
            </w:pPr>
            <w:r w:rsidRPr="00B9725A">
              <w:t>8</w:t>
            </w:r>
          </w:p>
        </w:tc>
      </w:tr>
      <w:tr w:rsidR="00B9725A" w:rsidRPr="00B9725A" w14:paraId="18B033DA" w14:textId="77777777" w:rsidTr="005322D8">
        <w:tc>
          <w:tcPr>
            <w:tcW w:w="3000" w:type="dxa"/>
            <w:tcBorders>
              <w:left w:val="single" w:sz="12" w:space="0" w:color="auto"/>
              <w:bottom w:val="single" w:sz="12" w:space="0" w:color="auto"/>
              <w:right w:val="single" w:sz="12" w:space="0" w:color="auto"/>
            </w:tcBorders>
          </w:tcPr>
          <w:p w14:paraId="3EC02E72" w14:textId="77777777" w:rsidR="00B9725A" w:rsidRPr="00B9725A" w:rsidRDefault="00B9725A" w:rsidP="00B9725A">
            <w:pPr>
              <w:spacing w:after="0" w:line="240" w:lineRule="auto"/>
            </w:pPr>
            <w:r w:rsidRPr="00B9725A">
              <w:t xml:space="preserve">     Grandchildren</w:t>
            </w:r>
          </w:p>
        </w:tc>
        <w:tc>
          <w:tcPr>
            <w:tcW w:w="2997" w:type="dxa"/>
            <w:tcBorders>
              <w:left w:val="single" w:sz="12" w:space="0" w:color="auto"/>
              <w:bottom w:val="single" w:sz="12" w:space="0" w:color="auto"/>
              <w:right w:val="single" w:sz="12" w:space="0" w:color="auto"/>
            </w:tcBorders>
          </w:tcPr>
          <w:p w14:paraId="6DC2AD91" w14:textId="77777777" w:rsidR="00B9725A" w:rsidRPr="00B9725A" w:rsidRDefault="00B9725A" w:rsidP="00B9725A">
            <w:pPr>
              <w:spacing w:after="0" w:line="240" w:lineRule="auto"/>
              <w:jc w:val="center"/>
            </w:pPr>
            <w:r w:rsidRPr="00B9725A">
              <w:t>8</w:t>
            </w:r>
          </w:p>
        </w:tc>
        <w:tc>
          <w:tcPr>
            <w:tcW w:w="2999" w:type="dxa"/>
            <w:tcBorders>
              <w:left w:val="single" w:sz="12" w:space="0" w:color="auto"/>
              <w:bottom w:val="single" w:sz="12" w:space="0" w:color="auto"/>
              <w:right w:val="single" w:sz="12" w:space="0" w:color="auto"/>
            </w:tcBorders>
          </w:tcPr>
          <w:p w14:paraId="608991EE" w14:textId="77777777" w:rsidR="00B9725A" w:rsidRPr="00B9725A" w:rsidRDefault="00B9725A" w:rsidP="00B9725A">
            <w:pPr>
              <w:spacing w:after="0" w:line="240" w:lineRule="auto"/>
              <w:jc w:val="center"/>
            </w:pPr>
            <w:r w:rsidRPr="00B9725A">
              <w:t>17</w:t>
            </w:r>
          </w:p>
        </w:tc>
      </w:tr>
      <w:tr w:rsidR="00B9725A" w:rsidRPr="00B9725A" w14:paraId="157F241C" w14:textId="77777777" w:rsidTr="005322D8">
        <w:tc>
          <w:tcPr>
            <w:tcW w:w="3000" w:type="dxa"/>
            <w:tcBorders>
              <w:top w:val="single" w:sz="12" w:space="0" w:color="auto"/>
              <w:left w:val="single" w:sz="12" w:space="0" w:color="auto"/>
              <w:right w:val="single" w:sz="12" w:space="0" w:color="auto"/>
            </w:tcBorders>
          </w:tcPr>
          <w:p w14:paraId="3AC1E440" w14:textId="77777777" w:rsidR="00B9725A" w:rsidRPr="00B9725A" w:rsidRDefault="00B9725A" w:rsidP="00B9725A">
            <w:pPr>
              <w:spacing w:after="0" w:line="240" w:lineRule="auto"/>
              <w:rPr>
                <w:b/>
                <w:bCs/>
              </w:rPr>
            </w:pPr>
            <w:r w:rsidRPr="00B9725A">
              <w:rPr>
                <w:b/>
                <w:bCs/>
              </w:rPr>
              <w:t>Other</w:t>
            </w:r>
          </w:p>
        </w:tc>
        <w:tc>
          <w:tcPr>
            <w:tcW w:w="2997" w:type="dxa"/>
            <w:tcBorders>
              <w:top w:val="single" w:sz="12" w:space="0" w:color="auto"/>
              <w:left w:val="single" w:sz="12" w:space="0" w:color="auto"/>
              <w:right w:val="single" w:sz="12" w:space="0" w:color="auto"/>
            </w:tcBorders>
          </w:tcPr>
          <w:p w14:paraId="3B5E2B9D" w14:textId="77777777" w:rsidR="00B9725A" w:rsidRPr="00B9725A" w:rsidRDefault="00B9725A" w:rsidP="00B9725A">
            <w:pPr>
              <w:spacing w:after="0" w:line="240" w:lineRule="auto"/>
              <w:jc w:val="center"/>
              <w:rPr>
                <w:b/>
                <w:bCs/>
              </w:rPr>
            </w:pPr>
            <w:r w:rsidRPr="00B9725A">
              <w:rPr>
                <w:b/>
                <w:bCs/>
              </w:rPr>
              <w:t>32</w:t>
            </w:r>
          </w:p>
        </w:tc>
        <w:tc>
          <w:tcPr>
            <w:tcW w:w="2999" w:type="dxa"/>
            <w:tcBorders>
              <w:top w:val="single" w:sz="12" w:space="0" w:color="auto"/>
              <w:left w:val="single" w:sz="12" w:space="0" w:color="auto"/>
              <w:right w:val="single" w:sz="12" w:space="0" w:color="auto"/>
            </w:tcBorders>
          </w:tcPr>
          <w:p w14:paraId="26BC0100" w14:textId="77777777" w:rsidR="00B9725A" w:rsidRPr="00B9725A" w:rsidRDefault="00B9725A" w:rsidP="00B9725A">
            <w:pPr>
              <w:spacing w:after="0" w:line="240" w:lineRule="auto"/>
              <w:jc w:val="center"/>
              <w:rPr>
                <w:b/>
                <w:bCs/>
              </w:rPr>
            </w:pPr>
            <w:r w:rsidRPr="00B9725A">
              <w:rPr>
                <w:b/>
                <w:bCs/>
              </w:rPr>
              <w:t>55</w:t>
            </w:r>
          </w:p>
        </w:tc>
      </w:tr>
      <w:tr w:rsidR="00B9725A" w:rsidRPr="00B9725A" w14:paraId="518E42FA" w14:textId="77777777" w:rsidTr="005322D8">
        <w:tc>
          <w:tcPr>
            <w:tcW w:w="3000" w:type="dxa"/>
            <w:tcBorders>
              <w:left w:val="single" w:sz="12" w:space="0" w:color="auto"/>
              <w:right w:val="single" w:sz="12" w:space="0" w:color="auto"/>
            </w:tcBorders>
          </w:tcPr>
          <w:p w14:paraId="4999081C" w14:textId="77777777" w:rsidR="00B9725A" w:rsidRPr="00B9725A" w:rsidRDefault="00B9725A" w:rsidP="00B9725A">
            <w:pPr>
              <w:spacing w:after="0" w:line="240" w:lineRule="auto"/>
            </w:pPr>
            <w:r w:rsidRPr="00B9725A">
              <w:t xml:space="preserve">     Kin</w:t>
            </w:r>
          </w:p>
        </w:tc>
        <w:tc>
          <w:tcPr>
            <w:tcW w:w="2997" w:type="dxa"/>
            <w:tcBorders>
              <w:left w:val="single" w:sz="12" w:space="0" w:color="auto"/>
              <w:right w:val="single" w:sz="12" w:space="0" w:color="auto"/>
            </w:tcBorders>
          </w:tcPr>
          <w:p w14:paraId="0ED8EE05" w14:textId="77777777" w:rsidR="00B9725A" w:rsidRPr="00B9725A" w:rsidRDefault="00B9725A" w:rsidP="00B9725A">
            <w:pPr>
              <w:spacing w:after="0" w:line="240" w:lineRule="auto"/>
              <w:jc w:val="center"/>
            </w:pPr>
            <w:r w:rsidRPr="00B9725A">
              <w:t>15</w:t>
            </w:r>
          </w:p>
        </w:tc>
        <w:tc>
          <w:tcPr>
            <w:tcW w:w="2999" w:type="dxa"/>
            <w:tcBorders>
              <w:left w:val="single" w:sz="12" w:space="0" w:color="auto"/>
              <w:right w:val="single" w:sz="12" w:space="0" w:color="auto"/>
            </w:tcBorders>
          </w:tcPr>
          <w:p w14:paraId="332FF31C" w14:textId="77777777" w:rsidR="00B9725A" w:rsidRPr="00B9725A" w:rsidRDefault="00B9725A" w:rsidP="00B9725A">
            <w:pPr>
              <w:spacing w:after="0" w:line="240" w:lineRule="auto"/>
              <w:jc w:val="center"/>
            </w:pPr>
            <w:r w:rsidRPr="00B9725A">
              <w:t>43</w:t>
            </w:r>
          </w:p>
        </w:tc>
      </w:tr>
      <w:tr w:rsidR="00B9725A" w:rsidRPr="00B9725A" w14:paraId="1858402F" w14:textId="77777777" w:rsidTr="005322D8">
        <w:tc>
          <w:tcPr>
            <w:tcW w:w="3000" w:type="dxa"/>
            <w:tcBorders>
              <w:left w:val="single" w:sz="12" w:space="0" w:color="auto"/>
              <w:right w:val="single" w:sz="12" w:space="0" w:color="auto"/>
            </w:tcBorders>
          </w:tcPr>
          <w:p w14:paraId="59AC4770" w14:textId="77777777" w:rsidR="00B9725A" w:rsidRPr="00B9725A" w:rsidRDefault="00B9725A" w:rsidP="00B9725A">
            <w:pPr>
              <w:spacing w:after="0" w:line="240" w:lineRule="auto"/>
            </w:pPr>
            <w:r w:rsidRPr="00B9725A">
              <w:t xml:space="preserve">     Friends</w:t>
            </w:r>
          </w:p>
        </w:tc>
        <w:tc>
          <w:tcPr>
            <w:tcW w:w="2997" w:type="dxa"/>
            <w:tcBorders>
              <w:left w:val="single" w:sz="12" w:space="0" w:color="auto"/>
              <w:right w:val="single" w:sz="12" w:space="0" w:color="auto"/>
            </w:tcBorders>
          </w:tcPr>
          <w:p w14:paraId="413D6CA1" w14:textId="77777777" w:rsidR="00B9725A" w:rsidRPr="00B9725A" w:rsidRDefault="00B9725A" w:rsidP="00B9725A">
            <w:pPr>
              <w:spacing w:after="0" w:line="240" w:lineRule="auto"/>
              <w:jc w:val="center"/>
            </w:pPr>
            <w:r w:rsidRPr="00B9725A">
              <w:t>4</w:t>
            </w:r>
          </w:p>
        </w:tc>
        <w:tc>
          <w:tcPr>
            <w:tcW w:w="2999" w:type="dxa"/>
            <w:tcBorders>
              <w:left w:val="single" w:sz="12" w:space="0" w:color="auto"/>
              <w:right w:val="single" w:sz="12" w:space="0" w:color="auto"/>
            </w:tcBorders>
          </w:tcPr>
          <w:p w14:paraId="6C7D2744" w14:textId="77777777" w:rsidR="00B9725A" w:rsidRPr="00B9725A" w:rsidRDefault="00B9725A" w:rsidP="00B9725A">
            <w:pPr>
              <w:spacing w:after="0" w:line="240" w:lineRule="auto"/>
              <w:jc w:val="center"/>
            </w:pPr>
            <w:r w:rsidRPr="00B9725A">
              <w:t>19</w:t>
            </w:r>
          </w:p>
        </w:tc>
      </w:tr>
      <w:tr w:rsidR="00B9725A" w:rsidRPr="00B9725A" w14:paraId="2D46B8C8" w14:textId="77777777" w:rsidTr="005322D8">
        <w:tc>
          <w:tcPr>
            <w:tcW w:w="3000" w:type="dxa"/>
            <w:tcBorders>
              <w:left w:val="single" w:sz="12" w:space="0" w:color="auto"/>
              <w:right w:val="single" w:sz="12" w:space="0" w:color="auto"/>
            </w:tcBorders>
          </w:tcPr>
          <w:p w14:paraId="0CA314E2" w14:textId="77777777" w:rsidR="00B9725A" w:rsidRPr="00B9725A" w:rsidRDefault="00B9725A" w:rsidP="00B9725A">
            <w:pPr>
              <w:spacing w:after="0" w:line="240" w:lineRule="auto"/>
            </w:pPr>
            <w:r w:rsidRPr="00B9725A">
              <w:t xml:space="preserve">     Charity</w:t>
            </w:r>
          </w:p>
        </w:tc>
        <w:tc>
          <w:tcPr>
            <w:tcW w:w="2997" w:type="dxa"/>
            <w:tcBorders>
              <w:left w:val="single" w:sz="12" w:space="0" w:color="auto"/>
              <w:right w:val="single" w:sz="12" w:space="0" w:color="auto"/>
            </w:tcBorders>
          </w:tcPr>
          <w:p w14:paraId="6764D25A" w14:textId="77777777" w:rsidR="00B9725A" w:rsidRPr="00B9725A" w:rsidRDefault="00B9725A" w:rsidP="00B9725A">
            <w:pPr>
              <w:spacing w:after="0" w:line="240" w:lineRule="auto"/>
              <w:jc w:val="center"/>
            </w:pPr>
            <w:r w:rsidRPr="00B9725A">
              <w:t>9</w:t>
            </w:r>
          </w:p>
        </w:tc>
        <w:tc>
          <w:tcPr>
            <w:tcW w:w="2999" w:type="dxa"/>
            <w:tcBorders>
              <w:left w:val="single" w:sz="12" w:space="0" w:color="auto"/>
              <w:right w:val="single" w:sz="12" w:space="0" w:color="auto"/>
            </w:tcBorders>
          </w:tcPr>
          <w:p w14:paraId="21E6C600" w14:textId="77777777" w:rsidR="00B9725A" w:rsidRPr="00B9725A" w:rsidRDefault="00B9725A" w:rsidP="00B9725A">
            <w:pPr>
              <w:spacing w:after="0" w:line="240" w:lineRule="auto"/>
              <w:jc w:val="center"/>
            </w:pPr>
            <w:r w:rsidRPr="00B9725A">
              <w:t>15</w:t>
            </w:r>
          </w:p>
        </w:tc>
      </w:tr>
      <w:tr w:rsidR="00B9725A" w:rsidRPr="00B9725A" w14:paraId="6B9BDD0E" w14:textId="77777777" w:rsidTr="005322D8">
        <w:tc>
          <w:tcPr>
            <w:tcW w:w="3000" w:type="dxa"/>
            <w:tcBorders>
              <w:left w:val="single" w:sz="12" w:space="0" w:color="auto"/>
              <w:right w:val="single" w:sz="12" w:space="0" w:color="auto"/>
            </w:tcBorders>
          </w:tcPr>
          <w:p w14:paraId="0D2B8EC6" w14:textId="77777777" w:rsidR="00B9725A" w:rsidRPr="00B9725A" w:rsidRDefault="00B9725A" w:rsidP="00B9725A">
            <w:pPr>
              <w:spacing w:after="0" w:line="240" w:lineRule="auto"/>
            </w:pPr>
            <w:r w:rsidRPr="00B9725A">
              <w:t xml:space="preserve">     Executors</w:t>
            </w:r>
          </w:p>
        </w:tc>
        <w:tc>
          <w:tcPr>
            <w:tcW w:w="2997" w:type="dxa"/>
            <w:tcBorders>
              <w:left w:val="single" w:sz="12" w:space="0" w:color="auto"/>
              <w:right w:val="single" w:sz="12" w:space="0" w:color="auto"/>
            </w:tcBorders>
          </w:tcPr>
          <w:p w14:paraId="5B110BA8" w14:textId="77777777" w:rsidR="00B9725A" w:rsidRPr="00B9725A" w:rsidRDefault="00B9725A" w:rsidP="00B9725A">
            <w:pPr>
              <w:spacing w:after="0" w:line="240" w:lineRule="auto"/>
              <w:jc w:val="center"/>
            </w:pPr>
            <w:r w:rsidRPr="00B9725A">
              <w:t>1</w:t>
            </w:r>
          </w:p>
        </w:tc>
        <w:tc>
          <w:tcPr>
            <w:tcW w:w="2999" w:type="dxa"/>
            <w:tcBorders>
              <w:left w:val="single" w:sz="12" w:space="0" w:color="auto"/>
              <w:right w:val="single" w:sz="12" w:space="0" w:color="auto"/>
            </w:tcBorders>
          </w:tcPr>
          <w:p w14:paraId="37F9220B" w14:textId="77777777" w:rsidR="00B9725A" w:rsidRPr="00B9725A" w:rsidRDefault="00B9725A" w:rsidP="00B9725A">
            <w:pPr>
              <w:spacing w:after="0" w:line="240" w:lineRule="auto"/>
              <w:jc w:val="center"/>
            </w:pPr>
            <w:r w:rsidRPr="00B9725A">
              <w:t>10</w:t>
            </w:r>
          </w:p>
        </w:tc>
      </w:tr>
      <w:tr w:rsidR="00B9725A" w:rsidRPr="00B9725A" w14:paraId="7040D72A" w14:textId="77777777" w:rsidTr="005322D8">
        <w:tc>
          <w:tcPr>
            <w:tcW w:w="3000" w:type="dxa"/>
            <w:tcBorders>
              <w:left w:val="single" w:sz="12" w:space="0" w:color="auto"/>
              <w:bottom w:val="single" w:sz="12" w:space="0" w:color="auto"/>
              <w:right w:val="single" w:sz="12" w:space="0" w:color="auto"/>
            </w:tcBorders>
          </w:tcPr>
          <w:p w14:paraId="557C52DA" w14:textId="77777777" w:rsidR="00B9725A" w:rsidRPr="00B9725A" w:rsidRDefault="00B9725A" w:rsidP="00B9725A">
            <w:pPr>
              <w:spacing w:after="0" w:line="240" w:lineRule="auto"/>
            </w:pPr>
            <w:r w:rsidRPr="00B9725A">
              <w:t xml:space="preserve">     Unknown</w:t>
            </w:r>
          </w:p>
        </w:tc>
        <w:tc>
          <w:tcPr>
            <w:tcW w:w="2997" w:type="dxa"/>
            <w:tcBorders>
              <w:left w:val="single" w:sz="12" w:space="0" w:color="auto"/>
              <w:bottom w:val="single" w:sz="12" w:space="0" w:color="auto"/>
              <w:right w:val="single" w:sz="12" w:space="0" w:color="auto"/>
            </w:tcBorders>
          </w:tcPr>
          <w:p w14:paraId="1D835D46" w14:textId="77777777" w:rsidR="00B9725A" w:rsidRPr="00B9725A" w:rsidRDefault="00B9725A" w:rsidP="00B9725A">
            <w:pPr>
              <w:spacing w:after="0" w:line="240" w:lineRule="auto"/>
              <w:jc w:val="center"/>
            </w:pPr>
            <w:r w:rsidRPr="00B9725A">
              <w:t>12</w:t>
            </w:r>
          </w:p>
        </w:tc>
        <w:tc>
          <w:tcPr>
            <w:tcW w:w="2999" w:type="dxa"/>
            <w:tcBorders>
              <w:left w:val="single" w:sz="12" w:space="0" w:color="auto"/>
              <w:bottom w:val="single" w:sz="12" w:space="0" w:color="auto"/>
              <w:right w:val="single" w:sz="12" w:space="0" w:color="auto"/>
            </w:tcBorders>
          </w:tcPr>
          <w:p w14:paraId="539E055E" w14:textId="77777777" w:rsidR="00B9725A" w:rsidRPr="00B9725A" w:rsidRDefault="00B9725A" w:rsidP="00B9725A">
            <w:pPr>
              <w:spacing w:after="0" w:line="240" w:lineRule="auto"/>
              <w:jc w:val="center"/>
            </w:pPr>
            <w:r w:rsidRPr="00B9725A">
              <w:t>12</w:t>
            </w:r>
          </w:p>
        </w:tc>
      </w:tr>
      <w:tr w:rsidR="00B9725A" w:rsidRPr="00B9725A" w14:paraId="2F7D9842" w14:textId="77777777" w:rsidTr="005322D8">
        <w:tc>
          <w:tcPr>
            <w:tcW w:w="3000" w:type="dxa"/>
            <w:tcBorders>
              <w:top w:val="single" w:sz="12" w:space="0" w:color="auto"/>
              <w:left w:val="single" w:sz="12" w:space="0" w:color="auto"/>
              <w:bottom w:val="single" w:sz="12" w:space="0" w:color="auto"/>
              <w:right w:val="single" w:sz="12" w:space="0" w:color="auto"/>
            </w:tcBorders>
          </w:tcPr>
          <w:p w14:paraId="028B554E" w14:textId="77777777" w:rsidR="00B9725A" w:rsidRPr="00B9725A" w:rsidRDefault="00B9725A" w:rsidP="00B9725A">
            <w:pPr>
              <w:spacing w:after="0" w:line="240" w:lineRule="auto"/>
              <w:rPr>
                <w:b/>
                <w:bCs/>
              </w:rPr>
            </w:pPr>
            <w:r w:rsidRPr="00B9725A">
              <w:rPr>
                <w:b/>
                <w:bCs/>
              </w:rPr>
              <w:t>Total</w:t>
            </w:r>
          </w:p>
        </w:tc>
        <w:tc>
          <w:tcPr>
            <w:tcW w:w="2997" w:type="dxa"/>
            <w:tcBorders>
              <w:top w:val="single" w:sz="12" w:space="0" w:color="auto"/>
              <w:left w:val="single" w:sz="12" w:space="0" w:color="auto"/>
              <w:bottom w:val="single" w:sz="12" w:space="0" w:color="auto"/>
              <w:right w:val="single" w:sz="12" w:space="0" w:color="auto"/>
            </w:tcBorders>
          </w:tcPr>
          <w:p w14:paraId="36544C4E" w14:textId="77777777" w:rsidR="00B9725A" w:rsidRPr="00B9725A" w:rsidRDefault="00B9725A" w:rsidP="00B9725A">
            <w:pPr>
              <w:spacing w:after="0" w:line="240" w:lineRule="auto"/>
              <w:jc w:val="center"/>
              <w:rPr>
                <w:b/>
                <w:bCs/>
              </w:rPr>
            </w:pPr>
            <w:r w:rsidRPr="00B9725A">
              <w:rPr>
                <w:b/>
                <w:bCs/>
              </w:rPr>
              <w:t>75</w:t>
            </w:r>
          </w:p>
        </w:tc>
        <w:tc>
          <w:tcPr>
            <w:tcW w:w="2999" w:type="dxa"/>
            <w:tcBorders>
              <w:top w:val="single" w:sz="12" w:space="0" w:color="auto"/>
              <w:left w:val="single" w:sz="12" w:space="0" w:color="auto"/>
              <w:bottom w:val="single" w:sz="12" w:space="0" w:color="auto"/>
              <w:right w:val="single" w:sz="12" w:space="0" w:color="auto"/>
            </w:tcBorders>
          </w:tcPr>
          <w:p w14:paraId="5B00244E" w14:textId="77777777" w:rsidR="00B9725A" w:rsidRPr="00B9725A" w:rsidRDefault="00B9725A" w:rsidP="00B9725A">
            <w:pPr>
              <w:spacing w:after="0" w:line="240" w:lineRule="auto"/>
              <w:jc w:val="center"/>
              <w:rPr>
                <w:b/>
                <w:bCs/>
              </w:rPr>
            </w:pPr>
            <w:r w:rsidRPr="00B9725A">
              <w:rPr>
                <w:b/>
                <w:bCs/>
              </w:rPr>
              <w:t>88</w:t>
            </w:r>
          </w:p>
        </w:tc>
      </w:tr>
    </w:tbl>
    <w:p w14:paraId="0046E03E" w14:textId="77777777" w:rsidR="00B9725A" w:rsidRPr="00B9725A" w:rsidRDefault="00B9725A" w:rsidP="00B9725A"/>
    <w:p w14:paraId="3A1549D8" w14:textId="77777777" w:rsidR="00B9725A" w:rsidRPr="00B9725A" w:rsidRDefault="00B9725A" w:rsidP="00B9725A">
      <w:pPr>
        <w:jc w:val="center"/>
      </w:pPr>
      <w:r w:rsidRPr="00B9725A">
        <w:t>Table 30 – Recipients of cash bequests in the Bolton-le-Sands and Prestbury wider survey, differentiated according to their relationships with testators.</w:t>
      </w:r>
    </w:p>
    <w:p w14:paraId="5DBEBA76" w14:textId="77777777" w:rsidR="00B9725A" w:rsidRPr="00B9725A" w:rsidRDefault="00B9725A" w:rsidP="00B9725A">
      <w:r w:rsidRPr="00B9725A">
        <w:br w:type="page"/>
      </w:r>
    </w:p>
    <w:tbl>
      <w:tblPr>
        <w:tblStyle w:val="TableGrid13"/>
        <w:tblW w:w="0" w:type="auto"/>
        <w:tblLook w:val="04A0" w:firstRow="1" w:lastRow="0" w:firstColumn="1" w:lastColumn="0" w:noHBand="0" w:noVBand="1"/>
      </w:tblPr>
      <w:tblGrid>
        <w:gridCol w:w="2998"/>
        <w:gridCol w:w="2998"/>
        <w:gridCol w:w="3000"/>
      </w:tblGrid>
      <w:tr w:rsidR="00B9725A" w:rsidRPr="00B9725A" w14:paraId="22652986" w14:textId="77777777" w:rsidTr="005322D8">
        <w:tc>
          <w:tcPr>
            <w:tcW w:w="2998" w:type="dxa"/>
            <w:vMerge w:val="restart"/>
            <w:tcBorders>
              <w:top w:val="single" w:sz="12" w:space="0" w:color="auto"/>
              <w:left w:val="single" w:sz="12" w:space="0" w:color="auto"/>
              <w:right w:val="single" w:sz="12" w:space="0" w:color="auto"/>
            </w:tcBorders>
          </w:tcPr>
          <w:p w14:paraId="790424AB" w14:textId="77777777" w:rsidR="00B9725A" w:rsidRPr="00B9725A" w:rsidRDefault="00B9725A" w:rsidP="00B9725A">
            <w:pPr>
              <w:spacing w:after="0" w:line="240" w:lineRule="auto"/>
            </w:pPr>
          </w:p>
        </w:tc>
        <w:tc>
          <w:tcPr>
            <w:tcW w:w="5998" w:type="dxa"/>
            <w:gridSpan w:val="2"/>
            <w:tcBorders>
              <w:top w:val="single" w:sz="12" w:space="0" w:color="auto"/>
              <w:left w:val="single" w:sz="12" w:space="0" w:color="auto"/>
              <w:bottom w:val="single" w:sz="12" w:space="0" w:color="auto"/>
              <w:right w:val="single" w:sz="12" w:space="0" w:color="auto"/>
            </w:tcBorders>
          </w:tcPr>
          <w:p w14:paraId="2EFFB23A" w14:textId="77777777" w:rsidR="00B9725A" w:rsidRPr="00B9725A" w:rsidRDefault="00B9725A" w:rsidP="00B9725A">
            <w:pPr>
              <w:spacing w:after="0" w:line="240" w:lineRule="auto"/>
              <w:jc w:val="center"/>
              <w:rPr>
                <w:b/>
                <w:bCs/>
              </w:rPr>
            </w:pPr>
            <w:r w:rsidRPr="00B9725A">
              <w:rPr>
                <w:b/>
                <w:bCs/>
              </w:rPr>
              <w:t>Mean Total Cash Bequeathed (£)</w:t>
            </w:r>
          </w:p>
        </w:tc>
      </w:tr>
      <w:tr w:rsidR="00B9725A" w:rsidRPr="00B9725A" w14:paraId="675E5FD5" w14:textId="77777777" w:rsidTr="005322D8">
        <w:tc>
          <w:tcPr>
            <w:tcW w:w="2998" w:type="dxa"/>
            <w:vMerge/>
            <w:tcBorders>
              <w:left w:val="single" w:sz="12" w:space="0" w:color="auto"/>
              <w:bottom w:val="single" w:sz="12" w:space="0" w:color="auto"/>
              <w:right w:val="single" w:sz="12" w:space="0" w:color="auto"/>
            </w:tcBorders>
          </w:tcPr>
          <w:p w14:paraId="1DF6B3FA" w14:textId="77777777" w:rsidR="00B9725A" w:rsidRPr="00B9725A" w:rsidRDefault="00B9725A" w:rsidP="00B9725A">
            <w:pPr>
              <w:spacing w:after="0" w:line="240" w:lineRule="auto"/>
            </w:pPr>
          </w:p>
        </w:tc>
        <w:tc>
          <w:tcPr>
            <w:tcW w:w="2998" w:type="dxa"/>
            <w:tcBorders>
              <w:top w:val="single" w:sz="12" w:space="0" w:color="auto"/>
              <w:left w:val="single" w:sz="12" w:space="0" w:color="auto"/>
              <w:bottom w:val="single" w:sz="12" w:space="0" w:color="auto"/>
              <w:right w:val="single" w:sz="12" w:space="0" w:color="auto"/>
            </w:tcBorders>
          </w:tcPr>
          <w:p w14:paraId="1C633D70" w14:textId="77777777" w:rsidR="00B9725A" w:rsidRPr="00B9725A" w:rsidRDefault="00B9725A" w:rsidP="00B9725A">
            <w:pPr>
              <w:spacing w:after="0" w:line="240" w:lineRule="auto"/>
              <w:jc w:val="center"/>
              <w:rPr>
                <w:b/>
                <w:bCs/>
              </w:rPr>
            </w:pPr>
            <w:r w:rsidRPr="00B9725A">
              <w:rPr>
                <w:b/>
                <w:bCs/>
              </w:rPr>
              <w:t>Bolton-le-Sands</w:t>
            </w:r>
          </w:p>
        </w:tc>
        <w:tc>
          <w:tcPr>
            <w:tcW w:w="3000" w:type="dxa"/>
            <w:tcBorders>
              <w:top w:val="single" w:sz="12" w:space="0" w:color="auto"/>
              <w:left w:val="single" w:sz="12" w:space="0" w:color="auto"/>
              <w:bottom w:val="single" w:sz="12" w:space="0" w:color="auto"/>
              <w:right w:val="single" w:sz="12" w:space="0" w:color="auto"/>
            </w:tcBorders>
          </w:tcPr>
          <w:p w14:paraId="2638AD55" w14:textId="77777777" w:rsidR="00B9725A" w:rsidRPr="00B9725A" w:rsidRDefault="00B9725A" w:rsidP="00B9725A">
            <w:pPr>
              <w:spacing w:after="0" w:line="240" w:lineRule="auto"/>
              <w:jc w:val="center"/>
              <w:rPr>
                <w:b/>
                <w:bCs/>
              </w:rPr>
            </w:pPr>
            <w:r w:rsidRPr="00B9725A">
              <w:rPr>
                <w:b/>
                <w:bCs/>
              </w:rPr>
              <w:t>Prestbury</w:t>
            </w:r>
          </w:p>
        </w:tc>
      </w:tr>
      <w:tr w:rsidR="00B9725A" w:rsidRPr="00B9725A" w14:paraId="192E31B1" w14:textId="77777777" w:rsidTr="005322D8">
        <w:tc>
          <w:tcPr>
            <w:tcW w:w="2998" w:type="dxa"/>
            <w:tcBorders>
              <w:top w:val="single" w:sz="12" w:space="0" w:color="auto"/>
              <w:left w:val="single" w:sz="12" w:space="0" w:color="auto"/>
              <w:right w:val="single" w:sz="12" w:space="0" w:color="auto"/>
            </w:tcBorders>
          </w:tcPr>
          <w:p w14:paraId="2A8F52EF" w14:textId="77777777" w:rsidR="00B9725A" w:rsidRPr="00B9725A" w:rsidRDefault="00B9725A" w:rsidP="00B9725A">
            <w:pPr>
              <w:spacing w:after="0" w:line="240" w:lineRule="auto"/>
              <w:rPr>
                <w:b/>
                <w:bCs/>
              </w:rPr>
            </w:pPr>
            <w:r w:rsidRPr="00B9725A">
              <w:rPr>
                <w:b/>
                <w:bCs/>
              </w:rPr>
              <w:t>Men</w:t>
            </w:r>
          </w:p>
        </w:tc>
        <w:tc>
          <w:tcPr>
            <w:tcW w:w="2998" w:type="dxa"/>
            <w:tcBorders>
              <w:top w:val="single" w:sz="12" w:space="0" w:color="auto"/>
              <w:left w:val="single" w:sz="12" w:space="0" w:color="auto"/>
              <w:right w:val="single" w:sz="12" w:space="0" w:color="auto"/>
            </w:tcBorders>
          </w:tcPr>
          <w:p w14:paraId="576D6B85" w14:textId="77777777" w:rsidR="00B9725A" w:rsidRPr="00B9725A" w:rsidRDefault="00B9725A" w:rsidP="00B9725A">
            <w:pPr>
              <w:spacing w:after="0" w:line="240" w:lineRule="auto"/>
              <w:jc w:val="center"/>
              <w:rPr>
                <w:b/>
                <w:bCs/>
              </w:rPr>
            </w:pPr>
            <w:r w:rsidRPr="00B9725A">
              <w:rPr>
                <w:b/>
                <w:bCs/>
              </w:rPr>
              <w:t>70.2</w:t>
            </w:r>
          </w:p>
        </w:tc>
        <w:tc>
          <w:tcPr>
            <w:tcW w:w="3000" w:type="dxa"/>
            <w:tcBorders>
              <w:top w:val="single" w:sz="12" w:space="0" w:color="auto"/>
              <w:left w:val="single" w:sz="12" w:space="0" w:color="auto"/>
              <w:right w:val="single" w:sz="12" w:space="0" w:color="auto"/>
            </w:tcBorders>
          </w:tcPr>
          <w:p w14:paraId="1BC2BF36" w14:textId="77777777" w:rsidR="00B9725A" w:rsidRPr="00B9725A" w:rsidRDefault="00B9725A" w:rsidP="00B9725A">
            <w:pPr>
              <w:spacing w:after="0" w:line="240" w:lineRule="auto"/>
              <w:jc w:val="center"/>
              <w:rPr>
                <w:b/>
                <w:bCs/>
              </w:rPr>
            </w:pPr>
            <w:r w:rsidRPr="00B9725A">
              <w:rPr>
                <w:b/>
                <w:bCs/>
              </w:rPr>
              <w:t>57.6</w:t>
            </w:r>
          </w:p>
        </w:tc>
      </w:tr>
      <w:tr w:rsidR="00B9725A" w:rsidRPr="00B9725A" w14:paraId="10BBFA02" w14:textId="77777777" w:rsidTr="005322D8">
        <w:tc>
          <w:tcPr>
            <w:tcW w:w="2998" w:type="dxa"/>
            <w:tcBorders>
              <w:left w:val="single" w:sz="12" w:space="0" w:color="auto"/>
              <w:right w:val="single" w:sz="12" w:space="0" w:color="auto"/>
            </w:tcBorders>
          </w:tcPr>
          <w:p w14:paraId="1C351A2F" w14:textId="77777777" w:rsidR="00B9725A" w:rsidRPr="00B9725A" w:rsidRDefault="00B9725A" w:rsidP="00B9725A">
            <w:pPr>
              <w:spacing w:after="0" w:line="240" w:lineRule="auto"/>
            </w:pPr>
            <w:r w:rsidRPr="00B9725A">
              <w:t xml:space="preserve">     Bachelor</w:t>
            </w:r>
          </w:p>
        </w:tc>
        <w:tc>
          <w:tcPr>
            <w:tcW w:w="2998" w:type="dxa"/>
            <w:tcBorders>
              <w:left w:val="single" w:sz="12" w:space="0" w:color="auto"/>
              <w:right w:val="single" w:sz="12" w:space="0" w:color="auto"/>
            </w:tcBorders>
          </w:tcPr>
          <w:p w14:paraId="3C3A5078" w14:textId="77777777" w:rsidR="00B9725A" w:rsidRPr="00B9725A" w:rsidRDefault="00B9725A" w:rsidP="00B9725A">
            <w:pPr>
              <w:spacing w:after="0" w:line="240" w:lineRule="auto"/>
              <w:jc w:val="center"/>
            </w:pPr>
            <w:r w:rsidRPr="00B9725A">
              <w:t>41.7</w:t>
            </w:r>
          </w:p>
        </w:tc>
        <w:tc>
          <w:tcPr>
            <w:tcW w:w="3000" w:type="dxa"/>
            <w:tcBorders>
              <w:left w:val="single" w:sz="12" w:space="0" w:color="auto"/>
              <w:right w:val="single" w:sz="12" w:space="0" w:color="auto"/>
            </w:tcBorders>
          </w:tcPr>
          <w:p w14:paraId="242DEBCE" w14:textId="77777777" w:rsidR="00B9725A" w:rsidRPr="00B9725A" w:rsidRDefault="00B9725A" w:rsidP="00B9725A">
            <w:pPr>
              <w:spacing w:after="0" w:line="240" w:lineRule="auto"/>
              <w:jc w:val="center"/>
            </w:pPr>
            <w:r w:rsidRPr="00B9725A">
              <w:t>75.4</w:t>
            </w:r>
          </w:p>
        </w:tc>
      </w:tr>
      <w:tr w:rsidR="00B9725A" w:rsidRPr="00B9725A" w14:paraId="3ABD17D1" w14:textId="77777777" w:rsidTr="005322D8">
        <w:tc>
          <w:tcPr>
            <w:tcW w:w="2998" w:type="dxa"/>
            <w:tcBorders>
              <w:left w:val="single" w:sz="12" w:space="0" w:color="auto"/>
              <w:right w:val="single" w:sz="12" w:space="0" w:color="auto"/>
            </w:tcBorders>
          </w:tcPr>
          <w:p w14:paraId="1672CCBC" w14:textId="77777777" w:rsidR="00B9725A" w:rsidRPr="00B9725A" w:rsidRDefault="00B9725A" w:rsidP="00B9725A">
            <w:pPr>
              <w:spacing w:after="0" w:line="240" w:lineRule="auto"/>
            </w:pPr>
            <w:r w:rsidRPr="00B9725A">
              <w:t xml:space="preserve">     Married</w:t>
            </w:r>
          </w:p>
        </w:tc>
        <w:tc>
          <w:tcPr>
            <w:tcW w:w="2998" w:type="dxa"/>
            <w:tcBorders>
              <w:left w:val="single" w:sz="12" w:space="0" w:color="auto"/>
              <w:right w:val="single" w:sz="12" w:space="0" w:color="auto"/>
            </w:tcBorders>
          </w:tcPr>
          <w:p w14:paraId="4D251001" w14:textId="77777777" w:rsidR="00B9725A" w:rsidRPr="00B9725A" w:rsidRDefault="00B9725A" w:rsidP="00B9725A">
            <w:pPr>
              <w:spacing w:after="0" w:line="240" w:lineRule="auto"/>
              <w:jc w:val="center"/>
            </w:pPr>
            <w:r w:rsidRPr="00B9725A">
              <w:t>77.3</w:t>
            </w:r>
          </w:p>
        </w:tc>
        <w:tc>
          <w:tcPr>
            <w:tcW w:w="3000" w:type="dxa"/>
            <w:tcBorders>
              <w:left w:val="single" w:sz="12" w:space="0" w:color="auto"/>
              <w:right w:val="single" w:sz="12" w:space="0" w:color="auto"/>
            </w:tcBorders>
          </w:tcPr>
          <w:p w14:paraId="21E3C9B0" w14:textId="77777777" w:rsidR="00B9725A" w:rsidRPr="00B9725A" w:rsidRDefault="00B9725A" w:rsidP="00B9725A">
            <w:pPr>
              <w:spacing w:after="0" w:line="240" w:lineRule="auto"/>
              <w:jc w:val="center"/>
            </w:pPr>
            <w:r w:rsidRPr="00B9725A">
              <w:t>60.4</w:t>
            </w:r>
          </w:p>
        </w:tc>
      </w:tr>
      <w:tr w:rsidR="00B9725A" w:rsidRPr="00B9725A" w14:paraId="26C13F4A" w14:textId="77777777" w:rsidTr="005322D8">
        <w:tc>
          <w:tcPr>
            <w:tcW w:w="2998" w:type="dxa"/>
            <w:tcBorders>
              <w:left w:val="single" w:sz="12" w:space="0" w:color="auto"/>
              <w:bottom w:val="single" w:sz="12" w:space="0" w:color="auto"/>
              <w:right w:val="single" w:sz="12" w:space="0" w:color="auto"/>
            </w:tcBorders>
          </w:tcPr>
          <w:p w14:paraId="03476D38" w14:textId="77777777" w:rsidR="00B9725A" w:rsidRPr="00B9725A" w:rsidRDefault="00B9725A" w:rsidP="00B9725A">
            <w:pPr>
              <w:spacing w:after="0" w:line="240" w:lineRule="auto"/>
            </w:pPr>
            <w:r w:rsidRPr="00B9725A">
              <w:t xml:space="preserve">     Widower</w:t>
            </w:r>
          </w:p>
        </w:tc>
        <w:tc>
          <w:tcPr>
            <w:tcW w:w="2998" w:type="dxa"/>
            <w:tcBorders>
              <w:left w:val="single" w:sz="12" w:space="0" w:color="auto"/>
              <w:bottom w:val="single" w:sz="12" w:space="0" w:color="auto"/>
              <w:right w:val="single" w:sz="12" w:space="0" w:color="auto"/>
            </w:tcBorders>
          </w:tcPr>
          <w:p w14:paraId="6635AAF9" w14:textId="77777777" w:rsidR="00B9725A" w:rsidRPr="00B9725A" w:rsidRDefault="00B9725A" w:rsidP="00B9725A">
            <w:pPr>
              <w:spacing w:after="0" w:line="240" w:lineRule="auto"/>
              <w:jc w:val="center"/>
            </w:pPr>
            <w:r w:rsidRPr="00B9725A">
              <w:t>59.5</w:t>
            </w:r>
          </w:p>
        </w:tc>
        <w:tc>
          <w:tcPr>
            <w:tcW w:w="3000" w:type="dxa"/>
            <w:tcBorders>
              <w:left w:val="single" w:sz="12" w:space="0" w:color="auto"/>
              <w:bottom w:val="single" w:sz="12" w:space="0" w:color="auto"/>
              <w:right w:val="single" w:sz="12" w:space="0" w:color="auto"/>
            </w:tcBorders>
          </w:tcPr>
          <w:p w14:paraId="33ED040D" w14:textId="77777777" w:rsidR="00B9725A" w:rsidRPr="00B9725A" w:rsidRDefault="00B9725A" w:rsidP="00B9725A">
            <w:pPr>
              <w:spacing w:after="0" w:line="240" w:lineRule="auto"/>
              <w:jc w:val="center"/>
            </w:pPr>
            <w:r w:rsidRPr="00B9725A">
              <w:t>51.2</w:t>
            </w:r>
          </w:p>
        </w:tc>
      </w:tr>
      <w:tr w:rsidR="00B9725A" w:rsidRPr="00B9725A" w14:paraId="6E65A6FC" w14:textId="77777777" w:rsidTr="005322D8">
        <w:tc>
          <w:tcPr>
            <w:tcW w:w="2998" w:type="dxa"/>
            <w:tcBorders>
              <w:top w:val="single" w:sz="12" w:space="0" w:color="auto"/>
              <w:left w:val="single" w:sz="12" w:space="0" w:color="auto"/>
              <w:right w:val="single" w:sz="12" w:space="0" w:color="auto"/>
            </w:tcBorders>
          </w:tcPr>
          <w:p w14:paraId="5EA5C82E" w14:textId="77777777" w:rsidR="00B9725A" w:rsidRPr="00B9725A" w:rsidRDefault="00B9725A" w:rsidP="00B9725A">
            <w:pPr>
              <w:spacing w:after="0" w:line="240" w:lineRule="auto"/>
              <w:rPr>
                <w:b/>
                <w:bCs/>
              </w:rPr>
            </w:pPr>
            <w:r w:rsidRPr="00B9725A">
              <w:rPr>
                <w:b/>
                <w:bCs/>
              </w:rPr>
              <w:t>Women</w:t>
            </w:r>
          </w:p>
        </w:tc>
        <w:tc>
          <w:tcPr>
            <w:tcW w:w="2998" w:type="dxa"/>
            <w:tcBorders>
              <w:top w:val="single" w:sz="12" w:space="0" w:color="auto"/>
              <w:left w:val="single" w:sz="12" w:space="0" w:color="auto"/>
              <w:right w:val="single" w:sz="12" w:space="0" w:color="auto"/>
            </w:tcBorders>
          </w:tcPr>
          <w:p w14:paraId="18FD85CC" w14:textId="77777777" w:rsidR="00B9725A" w:rsidRPr="00B9725A" w:rsidRDefault="00B9725A" w:rsidP="00B9725A">
            <w:pPr>
              <w:spacing w:after="0" w:line="240" w:lineRule="auto"/>
              <w:jc w:val="center"/>
              <w:rPr>
                <w:b/>
                <w:bCs/>
              </w:rPr>
            </w:pPr>
            <w:r w:rsidRPr="00B9725A">
              <w:rPr>
                <w:b/>
                <w:bCs/>
              </w:rPr>
              <w:t>43.8</w:t>
            </w:r>
          </w:p>
        </w:tc>
        <w:tc>
          <w:tcPr>
            <w:tcW w:w="3000" w:type="dxa"/>
            <w:tcBorders>
              <w:top w:val="single" w:sz="12" w:space="0" w:color="auto"/>
              <w:left w:val="single" w:sz="12" w:space="0" w:color="auto"/>
              <w:right w:val="single" w:sz="12" w:space="0" w:color="auto"/>
            </w:tcBorders>
          </w:tcPr>
          <w:p w14:paraId="5102AAF7" w14:textId="77777777" w:rsidR="00B9725A" w:rsidRPr="00B9725A" w:rsidRDefault="00B9725A" w:rsidP="00B9725A">
            <w:pPr>
              <w:spacing w:after="0" w:line="240" w:lineRule="auto"/>
              <w:jc w:val="center"/>
              <w:rPr>
                <w:b/>
                <w:bCs/>
              </w:rPr>
            </w:pPr>
            <w:r w:rsidRPr="00B9725A">
              <w:rPr>
                <w:b/>
                <w:bCs/>
              </w:rPr>
              <w:t>33.7</w:t>
            </w:r>
          </w:p>
        </w:tc>
      </w:tr>
      <w:tr w:rsidR="00B9725A" w:rsidRPr="00B9725A" w14:paraId="0E390651" w14:textId="77777777" w:rsidTr="005322D8">
        <w:tc>
          <w:tcPr>
            <w:tcW w:w="2998" w:type="dxa"/>
            <w:tcBorders>
              <w:left w:val="single" w:sz="12" w:space="0" w:color="auto"/>
              <w:right w:val="single" w:sz="12" w:space="0" w:color="auto"/>
            </w:tcBorders>
          </w:tcPr>
          <w:p w14:paraId="4CC408E8" w14:textId="77777777" w:rsidR="00B9725A" w:rsidRPr="00B9725A" w:rsidRDefault="00B9725A" w:rsidP="00B9725A">
            <w:pPr>
              <w:spacing w:after="0" w:line="240" w:lineRule="auto"/>
            </w:pPr>
            <w:r w:rsidRPr="00B9725A">
              <w:t xml:space="preserve">     Spinster</w:t>
            </w:r>
          </w:p>
        </w:tc>
        <w:tc>
          <w:tcPr>
            <w:tcW w:w="2998" w:type="dxa"/>
            <w:tcBorders>
              <w:left w:val="single" w:sz="12" w:space="0" w:color="auto"/>
              <w:right w:val="single" w:sz="12" w:space="0" w:color="auto"/>
            </w:tcBorders>
          </w:tcPr>
          <w:p w14:paraId="179693C3" w14:textId="77777777" w:rsidR="00B9725A" w:rsidRPr="00B9725A" w:rsidRDefault="00B9725A" w:rsidP="00B9725A">
            <w:pPr>
              <w:spacing w:after="0" w:line="240" w:lineRule="auto"/>
              <w:jc w:val="center"/>
            </w:pPr>
            <w:r w:rsidRPr="00B9725A">
              <w:t>74.6</w:t>
            </w:r>
          </w:p>
        </w:tc>
        <w:tc>
          <w:tcPr>
            <w:tcW w:w="3000" w:type="dxa"/>
            <w:tcBorders>
              <w:left w:val="single" w:sz="12" w:space="0" w:color="auto"/>
              <w:right w:val="single" w:sz="12" w:space="0" w:color="auto"/>
            </w:tcBorders>
          </w:tcPr>
          <w:p w14:paraId="06AF4D66" w14:textId="77777777" w:rsidR="00B9725A" w:rsidRPr="00B9725A" w:rsidRDefault="00B9725A" w:rsidP="00B9725A">
            <w:pPr>
              <w:spacing w:after="0" w:line="240" w:lineRule="auto"/>
              <w:jc w:val="center"/>
            </w:pPr>
            <w:r w:rsidRPr="00B9725A">
              <w:t>23.8</w:t>
            </w:r>
          </w:p>
        </w:tc>
      </w:tr>
      <w:tr w:rsidR="00B9725A" w:rsidRPr="00B9725A" w14:paraId="295AED63" w14:textId="77777777" w:rsidTr="005322D8">
        <w:tc>
          <w:tcPr>
            <w:tcW w:w="2998" w:type="dxa"/>
            <w:tcBorders>
              <w:left w:val="single" w:sz="12" w:space="0" w:color="auto"/>
              <w:right w:val="single" w:sz="12" w:space="0" w:color="auto"/>
            </w:tcBorders>
          </w:tcPr>
          <w:p w14:paraId="3CB4171C" w14:textId="77777777" w:rsidR="00B9725A" w:rsidRPr="00B9725A" w:rsidRDefault="00B9725A" w:rsidP="00B9725A">
            <w:pPr>
              <w:spacing w:after="0" w:line="240" w:lineRule="auto"/>
            </w:pPr>
            <w:r w:rsidRPr="00B9725A">
              <w:t xml:space="preserve">     Married</w:t>
            </w:r>
          </w:p>
        </w:tc>
        <w:tc>
          <w:tcPr>
            <w:tcW w:w="2998" w:type="dxa"/>
            <w:tcBorders>
              <w:left w:val="single" w:sz="12" w:space="0" w:color="auto"/>
              <w:right w:val="single" w:sz="12" w:space="0" w:color="auto"/>
            </w:tcBorders>
          </w:tcPr>
          <w:p w14:paraId="63E76429" w14:textId="77777777" w:rsidR="00B9725A" w:rsidRPr="00B9725A" w:rsidRDefault="00B9725A" w:rsidP="00B9725A">
            <w:pPr>
              <w:spacing w:after="0" w:line="240" w:lineRule="auto"/>
              <w:jc w:val="center"/>
            </w:pPr>
            <w:r w:rsidRPr="00B9725A">
              <w:t>-</w:t>
            </w:r>
          </w:p>
        </w:tc>
        <w:tc>
          <w:tcPr>
            <w:tcW w:w="3000" w:type="dxa"/>
            <w:tcBorders>
              <w:left w:val="single" w:sz="12" w:space="0" w:color="auto"/>
              <w:right w:val="single" w:sz="12" w:space="0" w:color="auto"/>
            </w:tcBorders>
          </w:tcPr>
          <w:p w14:paraId="3EFA74AD" w14:textId="77777777" w:rsidR="00B9725A" w:rsidRPr="00B9725A" w:rsidRDefault="00B9725A" w:rsidP="00B9725A">
            <w:pPr>
              <w:spacing w:after="0" w:line="240" w:lineRule="auto"/>
              <w:jc w:val="center"/>
            </w:pPr>
            <w:r w:rsidRPr="00B9725A">
              <w:t>30</w:t>
            </w:r>
          </w:p>
        </w:tc>
      </w:tr>
      <w:tr w:rsidR="00B9725A" w:rsidRPr="00B9725A" w14:paraId="149901AC" w14:textId="77777777" w:rsidTr="005322D8">
        <w:tc>
          <w:tcPr>
            <w:tcW w:w="2998" w:type="dxa"/>
            <w:tcBorders>
              <w:left w:val="single" w:sz="12" w:space="0" w:color="auto"/>
              <w:bottom w:val="single" w:sz="12" w:space="0" w:color="auto"/>
              <w:right w:val="single" w:sz="12" w:space="0" w:color="auto"/>
            </w:tcBorders>
          </w:tcPr>
          <w:p w14:paraId="2051AEF5" w14:textId="77777777" w:rsidR="00B9725A" w:rsidRPr="00B9725A" w:rsidRDefault="00B9725A" w:rsidP="00B9725A">
            <w:pPr>
              <w:spacing w:after="0" w:line="240" w:lineRule="auto"/>
            </w:pPr>
            <w:r w:rsidRPr="00B9725A">
              <w:t xml:space="preserve">     Widow</w:t>
            </w:r>
          </w:p>
        </w:tc>
        <w:tc>
          <w:tcPr>
            <w:tcW w:w="2998" w:type="dxa"/>
            <w:tcBorders>
              <w:left w:val="single" w:sz="12" w:space="0" w:color="auto"/>
              <w:bottom w:val="single" w:sz="12" w:space="0" w:color="auto"/>
              <w:right w:val="single" w:sz="12" w:space="0" w:color="auto"/>
            </w:tcBorders>
          </w:tcPr>
          <w:p w14:paraId="78B1A51F" w14:textId="77777777" w:rsidR="00B9725A" w:rsidRPr="00B9725A" w:rsidRDefault="00B9725A" w:rsidP="00B9725A">
            <w:pPr>
              <w:spacing w:after="0" w:line="240" w:lineRule="auto"/>
              <w:jc w:val="center"/>
            </w:pPr>
            <w:r w:rsidRPr="00B9725A">
              <w:t>36.5</w:t>
            </w:r>
          </w:p>
        </w:tc>
        <w:tc>
          <w:tcPr>
            <w:tcW w:w="3000" w:type="dxa"/>
            <w:tcBorders>
              <w:left w:val="single" w:sz="12" w:space="0" w:color="auto"/>
              <w:bottom w:val="single" w:sz="12" w:space="0" w:color="auto"/>
              <w:right w:val="single" w:sz="12" w:space="0" w:color="auto"/>
            </w:tcBorders>
          </w:tcPr>
          <w:p w14:paraId="52189856" w14:textId="77777777" w:rsidR="00B9725A" w:rsidRPr="00B9725A" w:rsidRDefault="00B9725A" w:rsidP="00B9725A">
            <w:pPr>
              <w:spacing w:after="0" w:line="240" w:lineRule="auto"/>
              <w:jc w:val="center"/>
            </w:pPr>
            <w:r w:rsidRPr="00B9725A">
              <w:t>35.3</w:t>
            </w:r>
          </w:p>
        </w:tc>
      </w:tr>
      <w:tr w:rsidR="00B9725A" w:rsidRPr="00B9725A" w14:paraId="7A7D2DD5" w14:textId="77777777" w:rsidTr="005322D8">
        <w:tc>
          <w:tcPr>
            <w:tcW w:w="2998" w:type="dxa"/>
            <w:tcBorders>
              <w:top w:val="single" w:sz="12" w:space="0" w:color="auto"/>
              <w:left w:val="single" w:sz="12" w:space="0" w:color="auto"/>
              <w:bottom w:val="single" w:sz="12" w:space="0" w:color="auto"/>
              <w:right w:val="single" w:sz="12" w:space="0" w:color="auto"/>
            </w:tcBorders>
          </w:tcPr>
          <w:p w14:paraId="4CE1E293" w14:textId="77777777" w:rsidR="00B9725A" w:rsidRPr="00B9725A" w:rsidRDefault="00B9725A" w:rsidP="00B9725A">
            <w:pPr>
              <w:spacing w:after="0" w:line="240" w:lineRule="auto"/>
              <w:rPr>
                <w:b/>
                <w:bCs/>
              </w:rPr>
            </w:pPr>
            <w:r w:rsidRPr="00B9725A">
              <w:rPr>
                <w:b/>
                <w:bCs/>
              </w:rPr>
              <w:t>Total</w:t>
            </w:r>
          </w:p>
        </w:tc>
        <w:tc>
          <w:tcPr>
            <w:tcW w:w="2998" w:type="dxa"/>
            <w:tcBorders>
              <w:top w:val="single" w:sz="12" w:space="0" w:color="auto"/>
              <w:left w:val="single" w:sz="12" w:space="0" w:color="auto"/>
              <w:bottom w:val="single" w:sz="12" w:space="0" w:color="auto"/>
              <w:right w:val="single" w:sz="12" w:space="0" w:color="auto"/>
            </w:tcBorders>
          </w:tcPr>
          <w:p w14:paraId="10BDF8FF" w14:textId="77777777" w:rsidR="00B9725A" w:rsidRPr="00B9725A" w:rsidRDefault="00B9725A" w:rsidP="00B9725A">
            <w:pPr>
              <w:spacing w:after="0" w:line="240" w:lineRule="auto"/>
              <w:jc w:val="center"/>
              <w:rPr>
                <w:b/>
                <w:bCs/>
              </w:rPr>
            </w:pPr>
            <w:r w:rsidRPr="00B9725A">
              <w:rPr>
                <w:b/>
                <w:bCs/>
              </w:rPr>
              <w:t>61.8</w:t>
            </w:r>
          </w:p>
        </w:tc>
        <w:tc>
          <w:tcPr>
            <w:tcW w:w="3000" w:type="dxa"/>
            <w:tcBorders>
              <w:top w:val="single" w:sz="12" w:space="0" w:color="auto"/>
              <w:left w:val="single" w:sz="12" w:space="0" w:color="auto"/>
              <w:bottom w:val="single" w:sz="12" w:space="0" w:color="auto"/>
              <w:right w:val="single" w:sz="12" w:space="0" w:color="auto"/>
            </w:tcBorders>
          </w:tcPr>
          <w:p w14:paraId="63060F13" w14:textId="77777777" w:rsidR="00B9725A" w:rsidRPr="00B9725A" w:rsidRDefault="00B9725A" w:rsidP="00B9725A">
            <w:pPr>
              <w:spacing w:after="0" w:line="240" w:lineRule="auto"/>
              <w:jc w:val="center"/>
              <w:rPr>
                <w:b/>
                <w:bCs/>
              </w:rPr>
            </w:pPr>
            <w:r w:rsidRPr="00B9725A">
              <w:rPr>
                <w:b/>
                <w:bCs/>
              </w:rPr>
              <w:t>52</w:t>
            </w:r>
          </w:p>
        </w:tc>
      </w:tr>
    </w:tbl>
    <w:p w14:paraId="2F542DBB" w14:textId="77777777" w:rsidR="00B9725A" w:rsidRPr="00B9725A" w:rsidRDefault="00B9725A" w:rsidP="00B9725A"/>
    <w:p w14:paraId="4B6B2165" w14:textId="77777777" w:rsidR="00B9725A" w:rsidRPr="00B9725A" w:rsidRDefault="00B9725A" w:rsidP="00B9725A">
      <w:pPr>
        <w:jc w:val="center"/>
      </w:pPr>
      <w:r w:rsidRPr="00B9725A">
        <w:t>Table 31 – Mean total cash gifted by testators making cash bequests in the Bolton-le-Sands and Prestbury wider survey.</w:t>
      </w:r>
    </w:p>
    <w:p w14:paraId="67ECFDF3" w14:textId="77777777" w:rsidR="00B9725A" w:rsidRPr="00B9725A" w:rsidRDefault="00B9725A" w:rsidP="00B9725A">
      <w:r w:rsidRPr="00B9725A">
        <w:br w:type="page"/>
      </w:r>
    </w:p>
    <w:tbl>
      <w:tblPr>
        <w:tblStyle w:val="TableGrid13"/>
        <w:tblW w:w="0" w:type="auto"/>
        <w:tblLook w:val="04A0" w:firstRow="1" w:lastRow="0" w:firstColumn="1" w:lastColumn="0" w:noHBand="0" w:noVBand="1"/>
      </w:tblPr>
      <w:tblGrid>
        <w:gridCol w:w="3068"/>
        <w:gridCol w:w="2830"/>
        <w:gridCol w:w="3098"/>
      </w:tblGrid>
      <w:tr w:rsidR="00B9725A" w:rsidRPr="00B9725A" w14:paraId="0D436181" w14:textId="77777777" w:rsidTr="005322D8">
        <w:tc>
          <w:tcPr>
            <w:tcW w:w="3813" w:type="dxa"/>
            <w:tcBorders>
              <w:top w:val="single" w:sz="12" w:space="0" w:color="auto"/>
              <w:left w:val="single" w:sz="12" w:space="0" w:color="auto"/>
              <w:bottom w:val="single" w:sz="12" w:space="0" w:color="auto"/>
              <w:right w:val="single" w:sz="12" w:space="0" w:color="auto"/>
            </w:tcBorders>
          </w:tcPr>
          <w:p w14:paraId="09D74074" w14:textId="77777777" w:rsidR="00B9725A" w:rsidRPr="00B9725A" w:rsidRDefault="00B9725A" w:rsidP="00B9725A">
            <w:pPr>
              <w:spacing w:after="0" w:line="240" w:lineRule="auto"/>
            </w:pPr>
          </w:p>
        </w:tc>
        <w:tc>
          <w:tcPr>
            <w:tcW w:w="3685" w:type="dxa"/>
            <w:tcBorders>
              <w:top w:val="single" w:sz="12" w:space="0" w:color="auto"/>
              <w:left w:val="single" w:sz="12" w:space="0" w:color="auto"/>
              <w:bottom w:val="single" w:sz="12" w:space="0" w:color="auto"/>
              <w:right w:val="single" w:sz="12" w:space="0" w:color="auto"/>
            </w:tcBorders>
          </w:tcPr>
          <w:p w14:paraId="21D04835" w14:textId="77777777" w:rsidR="00B9725A" w:rsidRPr="00B9725A" w:rsidRDefault="00B9725A" w:rsidP="00B9725A">
            <w:pPr>
              <w:spacing w:after="0" w:line="240" w:lineRule="auto"/>
              <w:jc w:val="center"/>
              <w:rPr>
                <w:b/>
                <w:bCs/>
              </w:rPr>
            </w:pPr>
            <w:r w:rsidRPr="00B9725A">
              <w:rPr>
                <w:b/>
                <w:bCs/>
              </w:rPr>
              <w:t>Bolton-le-Sands</w:t>
            </w:r>
          </w:p>
        </w:tc>
        <w:tc>
          <w:tcPr>
            <w:tcW w:w="3969" w:type="dxa"/>
            <w:tcBorders>
              <w:top w:val="single" w:sz="12" w:space="0" w:color="auto"/>
              <w:left w:val="single" w:sz="12" w:space="0" w:color="auto"/>
              <w:bottom w:val="single" w:sz="12" w:space="0" w:color="auto"/>
              <w:right w:val="single" w:sz="12" w:space="0" w:color="auto"/>
            </w:tcBorders>
          </w:tcPr>
          <w:p w14:paraId="4E6ED738" w14:textId="77777777" w:rsidR="00B9725A" w:rsidRPr="00B9725A" w:rsidRDefault="00B9725A" w:rsidP="00B9725A">
            <w:pPr>
              <w:spacing w:after="0" w:line="240" w:lineRule="auto"/>
              <w:jc w:val="center"/>
              <w:rPr>
                <w:b/>
                <w:bCs/>
              </w:rPr>
            </w:pPr>
            <w:r w:rsidRPr="00B9725A">
              <w:rPr>
                <w:b/>
                <w:bCs/>
              </w:rPr>
              <w:t>Prestbury</w:t>
            </w:r>
          </w:p>
        </w:tc>
      </w:tr>
      <w:tr w:rsidR="00B9725A" w:rsidRPr="00B9725A" w14:paraId="124F6908" w14:textId="77777777" w:rsidTr="005322D8">
        <w:tc>
          <w:tcPr>
            <w:tcW w:w="3813" w:type="dxa"/>
            <w:tcBorders>
              <w:top w:val="single" w:sz="12" w:space="0" w:color="auto"/>
              <w:left w:val="single" w:sz="12" w:space="0" w:color="auto"/>
              <w:bottom w:val="single" w:sz="12" w:space="0" w:color="auto"/>
              <w:right w:val="single" w:sz="12" w:space="0" w:color="auto"/>
            </w:tcBorders>
          </w:tcPr>
          <w:p w14:paraId="6D004363" w14:textId="77777777" w:rsidR="00B9725A" w:rsidRPr="00B9725A" w:rsidRDefault="00B9725A" w:rsidP="00B9725A">
            <w:pPr>
              <w:spacing w:after="0" w:line="240" w:lineRule="auto"/>
              <w:rPr>
                <w:b/>
                <w:bCs/>
              </w:rPr>
            </w:pPr>
            <w:r w:rsidRPr="00B9725A">
              <w:rPr>
                <w:b/>
                <w:bCs/>
              </w:rPr>
              <w:t>Mean Number of Cash Bequests</w:t>
            </w:r>
          </w:p>
        </w:tc>
        <w:tc>
          <w:tcPr>
            <w:tcW w:w="3685" w:type="dxa"/>
            <w:tcBorders>
              <w:top w:val="single" w:sz="12" w:space="0" w:color="auto"/>
              <w:left w:val="single" w:sz="12" w:space="0" w:color="auto"/>
              <w:bottom w:val="single" w:sz="12" w:space="0" w:color="auto"/>
              <w:right w:val="single" w:sz="12" w:space="0" w:color="auto"/>
            </w:tcBorders>
          </w:tcPr>
          <w:p w14:paraId="3E262FA4" w14:textId="77777777" w:rsidR="00B9725A" w:rsidRPr="00B9725A" w:rsidRDefault="00B9725A" w:rsidP="00B9725A">
            <w:pPr>
              <w:spacing w:after="0" w:line="240" w:lineRule="auto"/>
              <w:jc w:val="center"/>
            </w:pPr>
            <w:r w:rsidRPr="00B9725A">
              <w:t>6.3</w:t>
            </w:r>
          </w:p>
        </w:tc>
        <w:tc>
          <w:tcPr>
            <w:tcW w:w="3969" w:type="dxa"/>
            <w:tcBorders>
              <w:top w:val="single" w:sz="12" w:space="0" w:color="auto"/>
              <w:left w:val="single" w:sz="12" w:space="0" w:color="auto"/>
              <w:bottom w:val="single" w:sz="12" w:space="0" w:color="auto"/>
              <w:right w:val="single" w:sz="12" w:space="0" w:color="auto"/>
            </w:tcBorders>
          </w:tcPr>
          <w:p w14:paraId="59FE7806" w14:textId="77777777" w:rsidR="00B9725A" w:rsidRPr="00B9725A" w:rsidRDefault="00B9725A" w:rsidP="00B9725A">
            <w:pPr>
              <w:spacing w:after="0" w:line="240" w:lineRule="auto"/>
              <w:jc w:val="center"/>
            </w:pPr>
            <w:r w:rsidRPr="00B9725A">
              <w:t>8.5</w:t>
            </w:r>
          </w:p>
        </w:tc>
      </w:tr>
      <w:tr w:rsidR="00B9725A" w:rsidRPr="00B9725A" w14:paraId="5B44268A" w14:textId="77777777" w:rsidTr="005322D8">
        <w:tc>
          <w:tcPr>
            <w:tcW w:w="3813" w:type="dxa"/>
            <w:tcBorders>
              <w:top w:val="single" w:sz="12" w:space="0" w:color="auto"/>
              <w:left w:val="single" w:sz="12" w:space="0" w:color="auto"/>
              <w:bottom w:val="single" w:sz="12" w:space="0" w:color="auto"/>
              <w:right w:val="single" w:sz="12" w:space="0" w:color="auto"/>
            </w:tcBorders>
          </w:tcPr>
          <w:p w14:paraId="0B7D0C23" w14:textId="77777777" w:rsidR="00B9725A" w:rsidRPr="00B9725A" w:rsidRDefault="00B9725A" w:rsidP="00B9725A">
            <w:pPr>
              <w:spacing w:after="0" w:line="240" w:lineRule="auto"/>
              <w:rPr>
                <w:b/>
                <w:bCs/>
              </w:rPr>
            </w:pPr>
            <w:r w:rsidRPr="00B9725A">
              <w:rPr>
                <w:b/>
                <w:bCs/>
              </w:rPr>
              <w:t>Mean Total Cash Bequeathed (£)</w:t>
            </w:r>
          </w:p>
        </w:tc>
        <w:tc>
          <w:tcPr>
            <w:tcW w:w="3685" w:type="dxa"/>
            <w:tcBorders>
              <w:top w:val="single" w:sz="12" w:space="0" w:color="auto"/>
              <w:left w:val="single" w:sz="12" w:space="0" w:color="auto"/>
              <w:bottom w:val="single" w:sz="12" w:space="0" w:color="auto"/>
              <w:right w:val="single" w:sz="12" w:space="0" w:color="auto"/>
            </w:tcBorders>
          </w:tcPr>
          <w:p w14:paraId="57473EFB" w14:textId="77777777" w:rsidR="00B9725A" w:rsidRPr="00B9725A" w:rsidRDefault="00B9725A" w:rsidP="00B9725A">
            <w:pPr>
              <w:spacing w:after="0" w:line="240" w:lineRule="auto"/>
              <w:jc w:val="center"/>
            </w:pPr>
            <w:r w:rsidRPr="00B9725A">
              <w:t>97.7</w:t>
            </w:r>
          </w:p>
        </w:tc>
        <w:tc>
          <w:tcPr>
            <w:tcW w:w="3969" w:type="dxa"/>
            <w:tcBorders>
              <w:top w:val="single" w:sz="12" w:space="0" w:color="auto"/>
              <w:left w:val="single" w:sz="12" w:space="0" w:color="auto"/>
              <w:bottom w:val="single" w:sz="12" w:space="0" w:color="auto"/>
              <w:right w:val="single" w:sz="12" w:space="0" w:color="auto"/>
            </w:tcBorders>
          </w:tcPr>
          <w:p w14:paraId="6347F9B9" w14:textId="77777777" w:rsidR="00B9725A" w:rsidRPr="00B9725A" w:rsidRDefault="00B9725A" w:rsidP="00B9725A">
            <w:pPr>
              <w:spacing w:after="0" w:line="240" w:lineRule="auto"/>
              <w:jc w:val="center"/>
            </w:pPr>
            <w:r w:rsidRPr="00B9725A">
              <w:t>162.5</w:t>
            </w:r>
          </w:p>
        </w:tc>
      </w:tr>
    </w:tbl>
    <w:p w14:paraId="60877165" w14:textId="77777777" w:rsidR="00B9725A" w:rsidRPr="00B9725A" w:rsidRDefault="00B9725A" w:rsidP="00B9725A"/>
    <w:p w14:paraId="471613CC" w14:textId="77777777" w:rsidR="00B9725A" w:rsidRPr="00B9725A" w:rsidRDefault="00B9725A" w:rsidP="00B9725A">
      <w:pPr>
        <w:jc w:val="center"/>
      </w:pPr>
      <w:r w:rsidRPr="00B9725A">
        <w:t>Table 32 – Mean number of cash bequests and mean total cash bequeathed among inscribers in the Bolton-le-Sands and Prestbury core sample.</w:t>
      </w:r>
    </w:p>
    <w:p w14:paraId="3502465D" w14:textId="77777777" w:rsidR="00B9725A" w:rsidRPr="00B9725A" w:rsidRDefault="00B9725A" w:rsidP="00B9725A">
      <w:r w:rsidRPr="00B9725A">
        <w:br w:type="page"/>
      </w:r>
    </w:p>
    <w:p w14:paraId="5A5DE62B" w14:textId="77777777" w:rsidR="00B9725A" w:rsidRDefault="00B9725A" w:rsidP="001658CF">
      <w:pPr>
        <w:jc w:val="center"/>
        <w:sectPr w:rsidR="00B9725A" w:rsidSect="00400A61">
          <w:pgSz w:w="11906" w:h="16838"/>
          <w:pgMar w:top="1440" w:right="1440" w:bottom="1440" w:left="1440" w:header="720" w:footer="720" w:gutter="0"/>
          <w:cols w:space="720"/>
          <w:docGrid w:linePitch="360"/>
        </w:sectPr>
      </w:pPr>
    </w:p>
    <w:tbl>
      <w:tblPr>
        <w:tblStyle w:val="TableGrid14"/>
        <w:tblpPr w:leftFromText="180" w:rightFromText="180" w:vertAnchor="text" w:horzAnchor="margin" w:tblpY="2278"/>
        <w:tblW w:w="0" w:type="auto"/>
        <w:tblLook w:val="04A0" w:firstRow="1" w:lastRow="0" w:firstColumn="1" w:lastColumn="0" w:noHBand="0" w:noVBand="1"/>
      </w:tblPr>
      <w:tblGrid>
        <w:gridCol w:w="1995"/>
        <w:gridCol w:w="1676"/>
        <w:gridCol w:w="1843"/>
        <w:gridCol w:w="2126"/>
        <w:gridCol w:w="1843"/>
        <w:gridCol w:w="2268"/>
        <w:gridCol w:w="2177"/>
      </w:tblGrid>
      <w:tr w:rsidR="00AE2250" w:rsidRPr="00294562" w14:paraId="41A38BD3" w14:textId="77777777" w:rsidTr="00AE2250">
        <w:tc>
          <w:tcPr>
            <w:tcW w:w="1995" w:type="dxa"/>
            <w:vMerge w:val="restart"/>
            <w:tcBorders>
              <w:top w:val="single" w:sz="12" w:space="0" w:color="auto"/>
              <w:left w:val="single" w:sz="12" w:space="0" w:color="auto"/>
              <w:right w:val="single" w:sz="12" w:space="0" w:color="auto"/>
            </w:tcBorders>
          </w:tcPr>
          <w:p w14:paraId="0B77E91F" w14:textId="77777777" w:rsidR="00AE2250" w:rsidRPr="00294562" w:rsidRDefault="00AE2250" w:rsidP="00AE2250">
            <w:pPr>
              <w:spacing w:after="0" w:line="240" w:lineRule="auto"/>
            </w:pPr>
          </w:p>
        </w:tc>
        <w:tc>
          <w:tcPr>
            <w:tcW w:w="5645" w:type="dxa"/>
            <w:gridSpan w:val="3"/>
            <w:tcBorders>
              <w:top w:val="single" w:sz="12" w:space="0" w:color="auto"/>
              <w:left w:val="single" w:sz="12" w:space="0" w:color="auto"/>
              <w:right w:val="single" w:sz="12" w:space="0" w:color="auto"/>
            </w:tcBorders>
          </w:tcPr>
          <w:p w14:paraId="1236EFA7" w14:textId="77777777" w:rsidR="00AE2250" w:rsidRPr="00294562" w:rsidRDefault="00AE2250" w:rsidP="00AE2250">
            <w:pPr>
              <w:spacing w:after="0" w:line="240" w:lineRule="auto"/>
              <w:jc w:val="center"/>
              <w:rPr>
                <w:b/>
                <w:bCs/>
              </w:rPr>
            </w:pPr>
            <w:r w:rsidRPr="00294562">
              <w:rPr>
                <w:b/>
                <w:bCs/>
              </w:rPr>
              <w:t>Bolton-le-Sands</w:t>
            </w:r>
          </w:p>
        </w:tc>
        <w:tc>
          <w:tcPr>
            <w:tcW w:w="6288" w:type="dxa"/>
            <w:gridSpan w:val="3"/>
            <w:tcBorders>
              <w:top w:val="single" w:sz="12" w:space="0" w:color="auto"/>
              <w:left w:val="single" w:sz="12" w:space="0" w:color="auto"/>
              <w:right w:val="single" w:sz="12" w:space="0" w:color="auto"/>
            </w:tcBorders>
          </w:tcPr>
          <w:p w14:paraId="6094A5A5" w14:textId="77777777" w:rsidR="00AE2250" w:rsidRPr="00294562" w:rsidRDefault="00AE2250" w:rsidP="00AE2250">
            <w:pPr>
              <w:spacing w:after="0" w:line="240" w:lineRule="auto"/>
              <w:jc w:val="center"/>
              <w:rPr>
                <w:b/>
                <w:bCs/>
              </w:rPr>
            </w:pPr>
            <w:r w:rsidRPr="00294562">
              <w:rPr>
                <w:b/>
                <w:bCs/>
              </w:rPr>
              <w:t>Prestbury</w:t>
            </w:r>
          </w:p>
        </w:tc>
      </w:tr>
      <w:tr w:rsidR="00AE2250" w:rsidRPr="00294562" w14:paraId="018E675B" w14:textId="77777777" w:rsidTr="00AE2250">
        <w:tc>
          <w:tcPr>
            <w:tcW w:w="1995" w:type="dxa"/>
            <w:vMerge/>
            <w:tcBorders>
              <w:left w:val="single" w:sz="12" w:space="0" w:color="auto"/>
              <w:bottom w:val="single" w:sz="12" w:space="0" w:color="auto"/>
              <w:right w:val="single" w:sz="12" w:space="0" w:color="auto"/>
            </w:tcBorders>
          </w:tcPr>
          <w:p w14:paraId="3A37F22C" w14:textId="77777777" w:rsidR="00AE2250" w:rsidRPr="00294562" w:rsidRDefault="00AE2250" w:rsidP="00AE2250">
            <w:pPr>
              <w:spacing w:after="0" w:line="240" w:lineRule="auto"/>
            </w:pPr>
          </w:p>
        </w:tc>
        <w:tc>
          <w:tcPr>
            <w:tcW w:w="1676" w:type="dxa"/>
            <w:tcBorders>
              <w:bottom w:val="single" w:sz="12" w:space="0" w:color="auto"/>
            </w:tcBorders>
          </w:tcPr>
          <w:p w14:paraId="0F5257A1" w14:textId="77777777" w:rsidR="00AE2250" w:rsidRPr="00294562" w:rsidRDefault="00AE2250" w:rsidP="00AE2250">
            <w:pPr>
              <w:spacing w:after="0" w:line="240" w:lineRule="auto"/>
              <w:jc w:val="center"/>
              <w:rPr>
                <w:b/>
                <w:bCs/>
              </w:rPr>
            </w:pPr>
            <w:r w:rsidRPr="00294562">
              <w:rPr>
                <w:b/>
                <w:bCs/>
              </w:rPr>
              <w:t>Percentage of cash bequests among inscribers</w:t>
            </w:r>
          </w:p>
        </w:tc>
        <w:tc>
          <w:tcPr>
            <w:tcW w:w="1843" w:type="dxa"/>
            <w:tcBorders>
              <w:bottom w:val="single" w:sz="12" w:space="0" w:color="auto"/>
              <w:right w:val="single" w:sz="4" w:space="0" w:color="auto"/>
            </w:tcBorders>
          </w:tcPr>
          <w:p w14:paraId="64F88691" w14:textId="77777777" w:rsidR="00AE2250" w:rsidRPr="00294562" w:rsidRDefault="00AE2250" w:rsidP="00AE2250">
            <w:pPr>
              <w:spacing w:after="0" w:line="240" w:lineRule="auto"/>
              <w:jc w:val="center"/>
              <w:rPr>
                <w:b/>
                <w:bCs/>
              </w:rPr>
            </w:pPr>
            <w:r w:rsidRPr="00294562">
              <w:rPr>
                <w:b/>
                <w:bCs/>
              </w:rPr>
              <w:t>Percentage of cash bequests in wider survey</w:t>
            </w:r>
          </w:p>
        </w:tc>
        <w:tc>
          <w:tcPr>
            <w:tcW w:w="2126" w:type="dxa"/>
            <w:tcBorders>
              <w:left w:val="single" w:sz="4" w:space="0" w:color="auto"/>
              <w:bottom w:val="single" w:sz="12" w:space="0" w:color="auto"/>
              <w:right w:val="single" w:sz="12" w:space="0" w:color="auto"/>
            </w:tcBorders>
          </w:tcPr>
          <w:p w14:paraId="2D4F42AB" w14:textId="77777777" w:rsidR="00AE2250" w:rsidRPr="00294562" w:rsidRDefault="00AE2250" w:rsidP="00AE2250">
            <w:pPr>
              <w:spacing w:after="0" w:line="240" w:lineRule="auto"/>
              <w:jc w:val="center"/>
              <w:rPr>
                <w:b/>
                <w:bCs/>
              </w:rPr>
            </w:pPr>
            <w:r w:rsidRPr="00294562">
              <w:rPr>
                <w:b/>
                <w:bCs/>
              </w:rPr>
              <w:t>Percentage of cash bequests among married testators in wider survey</w:t>
            </w:r>
          </w:p>
        </w:tc>
        <w:tc>
          <w:tcPr>
            <w:tcW w:w="1843" w:type="dxa"/>
            <w:tcBorders>
              <w:left w:val="single" w:sz="4" w:space="0" w:color="auto"/>
              <w:bottom w:val="single" w:sz="12" w:space="0" w:color="auto"/>
            </w:tcBorders>
          </w:tcPr>
          <w:p w14:paraId="54BD535E" w14:textId="77777777" w:rsidR="00AE2250" w:rsidRPr="00294562" w:rsidRDefault="00AE2250" w:rsidP="00AE2250">
            <w:pPr>
              <w:spacing w:after="0" w:line="240" w:lineRule="auto"/>
              <w:jc w:val="center"/>
              <w:rPr>
                <w:b/>
                <w:bCs/>
              </w:rPr>
            </w:pPr>
            <w:r w:rsidRPr="00294562">
              <w:rPr>
                <w:b/>
                <w:bCs/>
              </w:rPr>
              <w:t>Percentage of cash bequests among inscribers</w:t>
            </w:r>
          </w:p>
        </w:tc>
        <w:tc>
          <w:tcPr>
            <w:tcW w:w="2268" w:type="dxa"/>
            <w:tcBorders>
              <w:bottom w:val="single" w:sz="12" w:space="0" w:color="auto"/>
            </w:tcBorders>
          </w:tcPr>
          <w:p w14:paraId="7E340E4B" w14:textId="77777777" w:rsidR="00AE2250" w:rsidRPr="00294562" w:rsidRDefault="00AE2250" w:rsidP="00AE2250">
            <w:pPr>
              <w:spacing w:after="0" w:line="240" w:lineRule="auto"/>
              <w:jc w:val="center"/>
              <w:rPr>
                <w:b/>
                <w:bCs/>
              </w:rPr>
            </w:pPr>
            <w:r w:rsidRPr="00294562">
              <w:rPr>
                <w:b/>
                <w:bCs/>
              </w:rPr>
              <w:t>Percentage of cash bequests in wider survey</w:t>
            </w:r>
          </w:p>
        </w:tc>
        <w:tc>
          <w:tcPr>
            <w:tcW w:w="2177" w:type="dxa"/>
            <w:tcBorders>
              <w:bottom w:val="single" w:sz="12" w:space="0" w:color="auto"/>
              <w:right w:val="single" w:sz="12" w:space="0" w:color="auto"/>
            </w:tcBorders>
          </w:tcPr>
          <w:p w14:paraId="2E154896" w14:textId="77777777" w:rsidR="00AE2250" w:rsidRPr="00294562" w:rsidRDefault="00AE2250" w:rsidP="00AE2250">
            <w:pPr>
              <w:spacing w:after="0" w:line="240" w:lineRule="auto"/>
              <w:jc w:val="center"/>
              <w:rPr>
                <w:b/>
                <w:bCs/>
              </w:rPr>
            </w:pPr>
            <w:r w:rsidRPr="00294562">
              <w:rPr>
                <w:b/>
                <w:bCs/>
              </w:rPr>
              <w:t>Percentage of cash bequests among married testators in wider survey</w:t>
            </w:r>
          </w:p>
        </w:tc>
      </w:tr>
      <w:tr w:rsidR="00AE2250" w:rsidRPr="00294562" w14:paraId="459E532D" w14:textId="77777777" w:rsidTr="00AE2250">
        <w:tc>
          <w:tcPr>
            <w:tcW w:w="1995" w:type="dxa"/>
            <w:tcBorders>
              <w:top w:val="single" w:sz="12" w:space="0" w:color="auto"/>
              <w:left w:val="single" w:sz="12" w:space="0" w:color="auto"/>
              <w:right w:val="single" w:sz="12" w:space="0" w:color="auto"/>
            </w:tcBorders>
          </w:tcPr>
          <w:p w14:paraId="4F1FBEC3" w14:textId="77777777" w:rsidR="00AE2250" w:rsidRPr="00294562" w:rsidRDefault="00AE2250" w:rsidP="00AE2250">
            <w:pPr>
              <w:spacing w:after="0" w:line="240" w:lineRule="auto"/>
            </w:pPr>
            <w:r w:rsidRPr="00294562">
              <w:t>Immediate family</w:t>
            </w:r>
          </w:p>
        </w:tc>
        <w:tc>
          <w:tcPr>
            <w:tcW w:w="1676" w:type="dxa"/>
            <w:tcBorders>
              <w:top w:val="single" w:sz="12" w:space="0" w:color="auto"/>
            </w:tcBorders>
          </w:tcPr>
          <w:p w14:paraId="0FE61B3B" w14:textId="77777777" w:rsidR="00AE2250" w:rsidRPr="00294562" w:rsidRDefault="00AE2250" w:rsidP="00AE2250">
            <w:pPr>
              <w:spacing w:after="0" w:line="240" w:lineRule="auto"/>
              <w:jc w:val="center"/>
            </w:pPr>
            <w:r w:rsidRPr="00294562">
              <w:t>85.7%</w:t>
            </w:r>
          </w:p>
        </w:tc>
        <w:tc>
          <w:tcPr>
            <w:tcW w:w="1843" w:type="dxa"/>
            <w:tcBorders>
              <w:top w:val="single" w:sz="12" w:space="0" w:color="auto"/>
              <w:right w:val="single" w:sz="4" w:space="0" w:color="auto"/>
            </w:tcBorders>
          </w:tcPr>
          <w:p w14:paraId="09AF63F4" w14:textId="77777777" w:rsidR="00AE2250" w:rsidRPr="00294562" w:rsidRDefault="00AE2250" w:rsidP="00AE2250">
            <w:pPr>
              <w:spacing w:after="0" w:line="240" w:lineRule="auto"/>
              <w:jc w:val="center"/>
            </w:pPr>
            <w:r w:rsidRPr="00294562">
              <w:t>49.3%</w:t>
            </w:r>
          </w:p>
        </w:tc>
        <w:tc>
          <w:tcPr>
            <w:tcW w:w="2126" w:type="dxa"/>
            <w:tcBorders>
              <w:top w:val="single" w:sz="12" w:space="0" w:color="auto"/>
              <w:left w:val="single" w:sz="4" w:space="0" w:color="auto"/>
              <w:right w:val="single" w:sz="12" w:space="0" w:color="auto"/>
            </w:tcBorders>
          </w:tcPr>
          <w:p w14:paraId="289A3FFD" w14:textId="77777777" w:rsidR="00AE2250" w:rsidRPr="00294562" w:rsidRDefault="00AE2250" w:rsidP="00AE2250">
            <w:pPr>
              <w:spacing w:after="0" w:line="240" w:lineRule="auto"/>
              <w:jc w:val="center"/>
            </w:pPr>
            <w:r w:rsidRPr="00294562">
              <w:t>62.5%</w:t>
            </w:r>
          </w:p>
        </w:tc>
        <w:tc>
          <w:tcPr>
            <w:tcW w:w="1843" w:type="dxa"/>
            <w:tcBorders>
              <w:top w:val="single" w:sz="12" w:space="0" w:color="auto"/>
              <w:left w:val="single" w:sz="4" w:space="0" w:color="auto"/>
            </w:tcBorders>
          </w:tcPr>
          <w:p w14:paraId="4095972A" w14:textId="77777777" w:rsidR="00AE2250" w:rsidRPr="00294562" w:rsidRDefault="00AE2250" w:rsidP="00AE2250">
            <w:pPr>
              <w:spacing w:after="0" w:line="240" w:lineRule="auto"/>
              <w:jc w:val="center"/>
            </w:pPr>
            <w:r w:rsidRPr="00294562">
              <w:t>100%</w:t>
            </w:r>
          </w:p>
        </w:tc>
        <w:tc>
          <w:tcPr>
            <w:tcW w:w="2268" w:type="dxa"/>
            <w:tcBorders>
              <w:top w:val="single" w:sz="12" w:space="0" w:color="auto"/>
            </w:tcBorders>
          </w:tcPr>
          <w:p w14:paraId="45D50052" w14:textId="77777777" w:rsidR="00AE2250" w:rsidRPr="00294562" w:rsidRDefault="00AE2250" w:rsidP="00AE2250">
            <w:pPr>
              <w:spacing w:after="0" w:line="240" w:lineRule="auto"/>
              <w:jc w:val="center"/>
            </w:pPr>
            <w:r w:rsidRPr="00294562">
              <w:t>60.2%</w:t>
            </w:r>
          </w:p>
        </w:tc>
        <w:tc>
          <w:tcPr>
            <w:tcW w:w="2177" w:type="dxa"/>
            <w:tcBorders>
              <w:top w:val="single" w:sz="12" w:space="0" w:color="auto"/>
              <w:right w:val="single" w:sz="12" w:space="0" w:color="auto"/>
            </w:tcBorders>
          </w:tcPr>
          <w:p w14:paraId="177A305E" w14:textId="77777777" w:rsidR="00AE2250" w:rsidRPr="00294562" w:rsidRDefault="00AE2250" w:rsidP="00AE2250">
            <w:pPr>
              <w:spacing w:after="0" w:line="240" w:lineRule="auto"/>
              <w:jc w:val="center"/>
            </w:pPr>
            <w:r w:rsidRPr="00294562">
              <w:t>79.5%</w:t>
            </w:r>
          </w:p>
        </w:tc>
      </w:tr>
      <w:tr w:rsidR="00AE2250" w:rsidRPr="00294562" w14:paraId="01D08501" w14:textId="77777777" w:rsidTr="00AE2250">
        <w:tc>
          <w:tcPr>
            <w:tcW w:w="1995" w:type="dxa"/>
            <w:tcBorders>
              <w:left w:val="single" w:sz="12" w:space="0" w:color="auto"/>
              <w:right w:val="single" w:sz="12" w:space="0" w:color="auto"/>
            </w:tcBorders>
          </w:tcPr>
          <w:p w14:paraId="65E9B4B2" w14:textId="77777777" w:rsidR="00AE2250" w:rsidRPr="00294562" w:rsidRDefault="00AE2250" w:rsidP="00AE2250">
            <w:pPr>
              <w:spacing w:after="0" w:line="240" w:lineRule="auto"/>
            </w:pPr>
            <w:r w:rsidRPr="00294562">
              <w:t>Wider family</w:t>
            </w:r>
          </w:p>
        </w:tc>
        <w:tc>
          <w:tcPr>
            <w:tcW w:w="1676" w:type="dxa"/>
          </w:tcPr>
          <w:p w14:paraId="51C5F837" w14:textId="77777777" w:rsidR="00AE2250" w:rsidRPr="00294562" w:rsidRDefault="00AE2250" w:rsidP="00AE2250">
            <w:pPr>
              <w:spacing w:after="0" w:line="240" w:lineRule="auto"/>
              <w:jc w:val="center"/>
            </w:pPr>
            <w:r w:rsidRPr="00294562">
              <w:t>42.9%</w:t>
            </w:r>
          </w:p>
        </w:tc>
        <w:tc>
          <w:tcPr>
            <w:tcW w:w="1843" w:type="dxa"/>
            <w:tcBorders>
              <w:right w:val="single" w:sz="4" w:space="0" w:color="auto"/>
            </w:tcBorders>
          </w:tcPr>
          <w:p w14:paraId="32D030DF" w14:textId="77777777" w:rsidR="00AE2250" w:rsidRPr="00294562" w:rsidRDefault="00AE2250" w:rsidP="00AE2250">
            <w:pPr>
              <w:spacing w:after="0" w:line="240" w:lineRule="auto"/>
              <w:jc w:val="center"/>
            </w:pPr>
            <w:r w:rsidRPr="00294562">
              <w:t>37.3%</w:t>
            </w:r>
          </w:p>
        </w:tc>
        <w:tc>
          <w:tcPr>
            <w:tcW w:w="2126" w:type="dxa"/>
            <w:tcBorders>
              <w:left w:val="single" w:sz="4" w:space="0" w:color="auto"/>
              <w:right w:val="single" w:sz="12" w:space="0" w:color="auto"/>
            </w:tcBorders>
          </w:tcPr>
          <w:p w14:paraId="77EF9B26" w14:textId="77777777" w:rsidR="00AE2250" w:rsidRPr="00294562" w:rsidRDefault="00AE2250" w:rsidP="00AE2250">
            <w:pPr>
              <w:spacing w:after="0" w:line="240" w:lineRule="auto"/>
              <w:jc w:val="center"/>
            </w:pPr>
            <w:r w:rsidRPr="00294562">
              <w:t>30%</w:t>
            </w:r>
          </w:p>
        </w:tc>
        <w:tc>
          <w:tcPr>
            <w:tcW w:w="1843" w:type="dxa"/>
            <w:tcBorders>
              <w:left w:val="single" w:sz="4" w:space="0" w:color="auto"/>
            </w:tcBorders>
          </w:tcPr>
          <w:p w14:paraId="3E1FED3A" w14:textId="77777777" w:rsidR="00AE2250" w:rsidRPr="00294562" w:rsidRDefault="00AE2250" w:rsidP="00AE2250">
            <w:pPr>
              <w:spacing w:after="0" w:line="240" w:lineRule="auto"/>
              <w:jc w:val="center"/>
            </w:pPr>
            <w:r w:rsidRPr="00294562">
              <w:t>50%</w:t>
            </w:r>
          </w:p>
        </w:tc>
        <w:tc>
          <w:tcPr>
            <w:tcW w:w="2268" w:type="dxa"/>
          </w:tcPr>
          <w:p w14:paraId="69DC9D9D" w14:textId="77777777" w:rsidR="00AE2250" w:rsidRPr="00294562" w:rsidRDefault="00AE2250" w:rsidP="00AE2250">
            <w:pPr>
              <w:spacing w:after="0" w:line="240" w:lineRule="auto"/>
              <w:jc w:val="center"/>
            </w:pPr>
            <w:r w:rsidRPr="00294562">
              <w:t>40.9%</w:t>
            </w:r>
          </w:p>
        </w:tc>
        <w:tc>
          <w:tcPr>
            <w:tcW w:w="2177" w:type="dxa"/>
            <w:tcBorders>
              <w:right w:val="single" w:sz="12" w:space="0" w:color="auto"/>
            </w:tcBorders>
          </w:tcPr>
          <w:p w14:paraId="4F977E2E" w14:textId="77777777" w:rsidR="00AE2250" w:rsidRPr="00294562" w:rsidRDefault="00AE2250" w:rsidP="00AE2250">
            <w:pPr>
              <w:spacing w:after="0" w:line="240" w:lineRule="auto"/>
              <w:jc w:val="center"/>
            </w:pPr>
            <w:r w:rsidRPr="00294562">
              <w:t>31.8%</w:t>
            </w:r>
          </w:p>
        </w:tc>
      </w:tr>
      <w:tr w:rsidR="00AE2250" w:rsidRPr="00294562" w14:paraId="157AA68A" w14:textId="77777777" w:rsidTr="00AE2250">
        <w:tc>
          <w:tcPr>
            <w:tcW w:w="1995" w:type="dxa"/>
            <w:tcBorders>
              <w:left w:val="single" w:sz="12" w:space="0" w:color="auto"/>
              <w:bottom w:val="single" w:sz="12" w:space="0" w:color="auto"/>
              <w:right w:val="single" w:sz="12" w:space="0" w:color="auto"/>
            </w:tcBorders>
          </w:tcPr>
          <w:p w14:paraId="378B261F" w14:textId="77777777" w:rsidR="00AE2250" w:rsidRPr="00294562" w:rsidRDefault="00AE2250" w:rsidP="00AE2250">
            <w:pPr>
              <w:spacing w:after="0" w:line="240" w:lineRule="auto"/>
            </w:pPr>
            <w:r w:rsidRPr="00294562">
              <w:t>Other</w:t>
            </w:r>
          </w:p>
        </w:tc>
        <w:tc>
          <w:tcPr>
            <w:tcW w:w="1676" w:type="dxa"/>
            <w:tcBorders>
              <w:bottom w:val="single" w:sz="12" w:space="0" w:color="auto"/>
            </w:tcBorders>
          </w:tcPr>
          <w:p w14:paraId="704233ED" w14:textId="77777777" w:rsidR="00AE2250" w:rsidRPr="00294562" w:rsidRDefault="00AE2250" w:rsidP="00AE2250">
            <w:pPr>
              <w:spacing w:after="0" w:line="240" w:lineRule="auto"/>
              <w:jc w:val="center"/>
            </w:pPr>
            <w:r w:rsidRPr="00294562">
              <w:t>28.6%</w:t>
            </w:r>
          </w:p>
        </w:tc>
        <w:tc>
          <w:tcPr>
            <w:tcW w:w="1843" w:type="dxa"/>
            <w:tcBorders>
              <w:bottom w:val="single" w:sz="12" w:space="0" w:color="auto"/>
              <w:right w:val="single" w:sz="4" w:space="0" w:color="auto"/>
            </w:tcBorders>
          </w:tcPr>
          <w:p w14:paraId="36CEF293" w14:textId="77777777" w:rsidR="00AE2250" w:rsidRPr="00294562" w:rsidRDefault="00AE2250" w:rsidP="00AE2250">
            <w:pPr>
              <w:spacing w:after="0" w:line="240" w:lineRule="auto"/>
              <w:jc w:val="center"/>
            </w:pPr>
            <w:r w:rsidRPr="00294562">
              <w:t>41.3%</w:t>
            </w:r>
          </w:p>
        </w:tc>
        <w:tc>
          <w:tcPr>
            <w:tcW w:w="2126" w:type="dxa"/>
            <w:tcBorders>
              <w:left w:val="single" w:sz="4" w:space="0" w:color="auto"/>
              <w:bottom w:val="single" w:sz="12" w:space="0" w:color="auto"/>
              <w:right w:val="single" w:sz="12" w:space="0" w:color="auto"/>
            </w:tcBorders>
          </w:tcPr>
          <w:p w14:paraId="3C3CC566" w14:textId="77777777" w:rsidR="00AE2250" w:rsidRPr="00294562" w:rsidRDefault="00AE2250" w:rsidP="00AE2250">
            <w:pPr>
              <w:spacing w:after="0" w:line="240" w:lineRule="auto"/>
              <w:jc w:val="center"/>
            </w:pPr>
            <w:r w:rsidRPr="00294562">
              <w:t>32.5%</w:t>
            </w:r>
          </w:p>
        </w:tc>
        <w:tc>
          <w:tcPr>
            <w:tcW w:w="1843" w:type="dxa"/>
            <w:tcBorders>
              <w:left w:val="single" w:sz="4" w:space="0" w:color="auto"/>
              <w:bottom w:val="single" w:sz="12" w:space="0" w:color="auto"/>
            </w:tcBorders>
          </w:tcPr>
          <w:p w14:paraId="026DA549" w14:textId="77777777" w:rsidR="00AE2250" w:rsidRPr="00294562" w:rsidRDefault="00AE2250" w:rsidP="00AE2250">
            <w:pPr>
              <w:spacing w:after="0" w:line="240" w:lineRule="auto"/>
              <w:jc w:val="center"/>
            </w:pPr>
            <w:r w:rsidRPr="00294562">
              <w:t>50%</w:t>
            </w:r>
          </w:p>
        </w:tc>
        <w:tc>
          <w:tcPr>
            <w:tcW w:w="2268" w:type="dxa"/>
            <w:tcBorders>
              <w:bottom w:val="single" w:sz="12" w:space="0" w:color="auto"/>
            </w:tcBorders>
          </w:tcPr>
          <w:p w14:paraId="436AA315" w14:textId="77777777" w:rsidR="00AE2250" w:rsidRPr="00294562" w:rsidRDefault="00AE2250" w:rsidP="00AE2250">
            <w:pPr>
              <w:spacing w:after="0" w:line="240" w:lineRule="auto"/>
              <w:jc w:val="center"/>
            </w:pPr>
            <w:r w:rsidRPr="00294562">
              <w:t>56.8%</w:t>
            </w:r>
          </w:p>
        </w:tc>
        <w:tc>
          <w:tcPr>
            <w:tcW w:w="2177" w:type="dxa"/>
            <w:tcBorders>
              <w:bottom w:val="single" w:sz="12" w:space="0" w:color="auto"/>
              <w:right w:val="single" w:sz="12" w:space="0" w:color="auto"/>
            </w:tcBorders>
          </w:tcPr>
          <w:p w14:paraId="6CFF33FF" w14:textId="77777777" w:rsidR="00AE2250" w:rsidRPr="00294562" w:rsidRDefault="00AE2250" w:rsidP="00AE2250">
            <w:pPr>
              <w:spacing w:after="0" w:line="240" w:lineRule="auto"/>
              <w:jc w:val="center"/>
            </w:pPr>
            <w:r w:rsidRPr="00294562">
              <w:t>45.5%</w:t>
            </w:r>
          </w:p>
        </w:tc>
      </w:tr>
    </w:tbl>
    <w:p w14:paraId="775A830A" w14:textId="77777777" w:rsidR="00294562" w:rsidRPr="00294562" w:rsidRDefault="00294562" w:rsidP="00294562"/>
    <w:p w14:paraId="3039B1B0" w14:textId="77777777" w:rsidR="00AE2250" w:rsidRDefault="00AE2250" w:rsidP="00294562">
      <w:pPr>
        <w:jc w:val="center"/>
      </w:pPr>
    </w:p>
    <w:p w14:paraId="4CE52878" w14:textId="77777777" w:rsidR="00AE2250" w:rsidRDefault="00AE2250" w:rsidP="00294562">
      <w:pPr>
        <w:jc w:val="center"/>
      </w:pPr>
    </w:p>
    <w:p w14:paraId="6D8BD234" w14:textId="77777777" w:rsidR="00AE2250" w:rsidRDefault="00AE2250" w:rsidP="00294562">
      <w:pPr>
        <w:jc w:val="center"/>
      </w:pPr>
    </w:p>
    <w:p w14:paraId="704D6596" w14:textId="77777777" w:rsidR="00AE2250" w:rsidRDefault="00AE2250" w:rsidP="00294562">
      <w:pPr>
        <w:jc w:val="center"/>
      </w:pPr>
    </w:p>
    <w:p w14:paraId="66620A65" w14:textId="280C05F6" w:rsidR="00294562" w:rsidRPr="00294562" w:rsidRDefault="00294562" w:rsidP="00294562">
      <w:pPr>
        <w:jc w:val="center"/>
      </w:pPr>
      <w:r w:rsidRPr="00294562">
        <w:t>Table 33 – Relationships between testators and recipients of cash bequests within both the core sample and wider survey in Bolton-le-Sands and Prestbury.</w:t>
      </w:r>
    </w:p>
    <w:p w14:paraId="5D42120A" w14:textId="77777777" w:rsidR="004E745B" w:rsidRDefault="004E745B" w:rsidP="001658CF">
      <w:pPr>
        <w:jc w:val="center"/>
        <w:sectPr w:rsidR="004E745B" w:rsidSect="00294562">
          <w:pgSz w:w="16838" w:h="11906" w:orient="landscape"/>
          <w:pgMar w:top="1440" w:right="1440" w:bottom="1440" w:left="1440" w:header="720" w:footer="720" w:gutter="0"/>
          <w:cols w:space="720"/>
          <w:docGrid w:linePitch="360"/>
        </w:sectPr>
      </w:pPr>
    </w:p>
    <w:p w14:paraId="4203EB91" w14:textId="77777777" w:rsidR="00AD1399" w:rsidRPr="00AD1399" w:rsidRDefault="00AD1399" w:rsidP="00AD1399">
      <w:pPr>
        <w:rPr>
          <w:rFonts w:cs="Calibri"/>
          <w:b/>
          <w:bCs/>
          <w:noProof/>
          <w:sz w:val="22"/>
          <w:szCs w:val="22"/>
        </w:rPr>
      </w:pPr>
    </w:p>
    <w:p w14:paraId="2B70EA86" w14:textId="77777777" w:rsidR="00AD1399" w:rsidRPr="00AD1399" w:rsidRDefault="00AD1399" w:rsidP="00AD1399">
      <w:pPr>
        <w:tabs>
          <w:tab w:val="left" w:pos="2867"/>
        </w:tabs>
        <w:rPr>
          <w:rFonts w:cs="Calibri"/>
          <w:b/>
          <w:bCs/>
          <w:noProof/>
          <w:sz w:val="22"/>
          <w:szCs w:val="22"/>
        </w:rPr>
      </w:pPr>
      <w:r w:rsidRPr="00AD1399">
        <w:rPr>
          <w:rFonts w:cs="Calibri"/>
          <w:b/>
          <w:bCs/>
          <w:noProof/>
          <w:sz w:val="22"/>
          <w:szCs w:val="22"/>
        </w:rPr>
        <w:tab/>
      </w:r>
    </w:p>
    <w:tbl>
      <w:tblPr>
        <w:tblStyle w:val="TableGrid15"/>
        <w:tblW w:w="0" w:type="auto"/>
        <w:tblLayout w:type="fixed"/>
        <w:tblLook w:val="06A0" w:firstRow="1" w:lastRow="0" w:firstColumn="1" w:lastColumn="0" w:noHBand="1" w:noVBand="1"/>
      </w:tblPr>
      <w:tblGrid>
        <w:gridCol w:w="2689"/>
        <w:gridCol w:w="2976"/>
        <w:gridCol w:w="3350"/>
      </w:tblGrid>
      <w:tr w:rsidR="00AD1399" w:rsidRPr="00AD1399" w14:paraId="47A784D9" w14:textId="77777777" w:rsidTr="005322D8">
        <w:trPr>
          <w:trHeight w:val="300"/>
        </w:trPr>
        <w:tc>
          <w:tcPr>
            <w:tcW w:w="2689" w:type="dxa"/>
            <w:vMerge w:val="restart"/>
            <w:tcBorders>
              <w:top w:val="single" w:sz="12" w:space="0" w:color="auto"/>
              <w:left w:val="single" w:sz="12" w:space="0" w:color="auto"/>
              <w:right w:val="single" w:sz="12" w:space="0" w:color="auto"/>
            </w:tcBorders>
          </w:tcPr>
          <w:p w14:paraId="25E1F025" w14:textId="77777777" w:rsidR="00AD1399" w:rsidRPr="00AD1399" w:rsidRDefault="00AD1399" w:rsidP="00AD1399">
            <w:pPr>
              <w:spacing w:after="0" w:line="240" w:lineRule="auto"/>
              <w:rPr>
                <w:sz w:val="22"/>
                <w:szCs w:val="22"/>
                <w:lang w:eastAsia="en-US"/>
              </w:rPr>
            </w:pPr>
          </w:p>
        </w:tc>
        <w:tc>
          <w:tcPr>
            <w:tcW w:w="6326" w:type="dxa"/>
            <w:gridSpan w:val="2"/>
            <w:tcBorders>
              <w:top w:val="single" w:sz="12" w:space="0" w:color="auto"/>
              <w:left w:val="single" w:sz="12" w:space="0" w:color="auto"/>
              <w:bottom w:val="single" w:sz="12" w:space="0" w:color="auto"/>
              <w:right w:val="single" w:sz="12" w:space="0" w:color="auto"/>
            </w:tcBorders>
          </w:tcPr>
          <w:p w14:paraId="67C690A2" w14:textId="77777777" w:rsidR="00AD1399" w:rsidRPr="00AD1399" w:rsidRDefault="00AD1399" w:rsidP="00AD1399">
            <w:pPr>
              <w:spacing w:after="0" w:line="240" w:lineRule="auto"/>
              <w:jc w:val="center"/>
              <w:rPr>
                <w:sz w:val="22"/>
                <w:szCs w:val="22"/>
                <w:lang w:eastAsia="en-US"/>
              </w:rPr>
            </w:pPr>
            <w:r w:rsidRPr="00AD1399">
              <w:rPr>
                <w:sz w:val="22"/>
                <w:szCs w:val="22"/>
                <w:lang w:eastAsia="en-US"/>
              </w:rPr>
              <w:t>Number of Inventories</w:t>
            </w:r>
          </w:p>
        </w:tc>
      </w:tr>
      <w:tr w:rsidR="00AD1399" w:rsidRPr="00AD1399" w14:paraId="7C00DFF6" w14:textId="77777777" w:rsidTr="005322D8">
        <w:trPr>
          <w:trHeight w:val="300"/>
        </w:trPr>
        <w:tc>
          <w:tcPr>
            <w:tcW w:w="2689" w:type="dxa"/>
            <w:vMerge/>
            <w:tcBorders>
              <w:left w:val="single" w:sz="12" w:space="0" w:color="auto"/>
              <w:bottom w:val="single" w:sz="12" w:space="0" w:color="auto"/>
              <w:right w:val="single" w:sz="12" w:space="0" w:color="auto"/>
            </w:tcBorders>
          </w:tcPr>
          <w:p w14:paraId="00A04530" w14:textId="77777777" w:rsidR="00AD1399" w:rsidRPr="00AD1399" w:rsidRDefault="00AD1399" w:rsidP="00AD1399">
            <w:pPr>
              <w:spacing w:after="0" w:line="240" w:lineRule="auto"/>
              <w:rPr>
                <w:sz w:val="22"/>
                <w:szCs w:val="22"/>
                <w:lang w:eastAsia="en-US"/>
              </w:rPr>
            </w:pPr>
          </w:p>
        </w:tc>
        <w:tc>
          <w:tcPr>
            <w:tcW w:w="2976" w:type="dxa"/>
            <w:tcBorders>
              <w:top w:val="single" w:sz="12" w:space="0" w:color="auto"/>
              <w:left w:val="single" w:sz="12" w:space="0" w:color="auto"/>
              <w:bottom w:val="single" w:sz="12" w:space="0" w:color="auto"/>
              <w:right w:val="single" w:sz="12" w:space="0" w:color="auto"/>
            </w:tcBorders>
          </w:tcPr>
          <w:p w14:paraId="1F8AF970" w14:textId="77777777" w:rsidR="00AD1399" w:rsidRPr="00AD1399" w:rsidRDefault="00AD1399" w:rsidP="00AD1399">
            <w:pPr>
              <w:spacing w:after="0" w:line="240" w:lineRule="auto"/>
              <w:jc w:val="center"/>
              <w:rPr>
                <w:sz w:val="22"/>
                <w:szCs w:val="22"/>
                <w:lang w:eastAsia="en-US"/>
              </w:rPr>
            </w:pPr>
            <w:r w:rsidRPr="00AD1399">
              <w:rPr>
                <w:sz w:val="22"/>
                <w:szCs w:val="22"/>
                <w:lang w:eastAsia="en-US"/>
              </w:rPr>
              <w:t>Bolton-le-Sands</w:t>
            </w:r>
          </w:p>
        </w:tc>
        <w:tc>
          <w:tcPr>
            <w:tcW w:w="3350" w:type="dxa"/>
            <w:tcBorders>
              <w:top w:val="single" w:sz="12" w:space="0" w:color="auto"/>
              <w:left w:val="single" w:sz="12" w:space="0" w:color="auto"/>
              <w:bottom w:val="single" w:sz="12" w:space="0" w:color="auto"/>
              <w:right w:val="single" w:sz="12" w:space="0" w:color="auto"/>
            </w:tcBorders>
          </w:tcPr>
          <w:p w14:paraId="318FFD9B" w14:textId="77777777" w:rsidR="00AD1399" w:rsidRPr="00AD1399" w:rsidRDefault="00AD1399" w:rsidP="00AD1399">
            <w:pPr>
              <w:spacing w:after="0" w:line="240" w:lineRule="auto"/>
              <w:jc w:val="center"/>
              <w:rPr>
                <w:sz w:val="22"/>
                <w:szCs w:val="22"/>
                <w:lang w:eastAsia="en-US"/>
              </w:rPr>
            </w:pPr>
            <w:r w:rsidRPr="00AD1399">
              <w:rPr>
                <w:sz w:val="22"/>
                <w:szCs w:val="22"/>
                <w:lang w:eastAsia="en-US"/>
              </w:rPr>
              <w:t>Prestbury</w:t>
            </w:r>
          </w:p>
        </w:tc>
      </w:tr>
      <w:tr w:rsidR="00AD1399" w:rsidRPr="00AD1399" w14:paraId="1A6F3556" w14:textId="77777777" w:rsidTr="005322D8">
        <w:trPr>
          <w:trHeight w:val="300"/>
        </w:trPr>
        <w:tc>
          <w:tcPr>
            <w:tcW w:w="2689" w:type="dxa"/>
            <w:tcBorders>
              <w:top w:val="single" w:sz="12" w:space="0" w:color="auto"/>
              <w:left w:val="single" w:sz="12" w:space="0" w:color="auto"/>
              <w:bottom w:val="single" w:sz="12" w:space="0" w:color="auto"/>
              <w:right w:val="single" w:sz="12" w:space="0" w:color="auto"/>
            </w:tcBorders>
          </w:tcPr>
          <w:p w14:paraId="489CCED9" w14:textId="77777777" w:rsidR="00AD1399" w:rsidRPr="00AD1399" w:rsidRDefault="00AD1399" w:rsidP="00AD1399">
            <w:pPr>
              <w:spacing w:after="0" w:line="240" w:lineRule="auto"/>
              <w:rPr>
                <w:sz w:val="22"/>
                <w:szCs w:val="22"/>
                <w:lang w:eastAsia="en-US"/>
              </w:rPr>
            </w:pPr>
            <w:r w:rsidRPr="00AD1399">
              <w:rPr>
                <w:sz w:val="22"/>
                <w:szCs w:val="22"/>
                <w:lang w:eastAsia="en-US"/>
              </w:rPr>
              <w:t>No Room Grouping</w:t>
            </w:r>
          </w:p>
        </w:tc>
        <w:tc>
          <w:tcPr>
            <w:tcW w:w="2976" w:type="dxa"/>
            <w:tcBorders>
              <w:top w:val="single" w:sz="12" w:space="0" w:color="auto"/>
              <w:left w:val="single" w:sz="12" w:space="0" w:color="auto"/>
              <w:bottom w:val="single" w:sz="12" w:space="0" w:color="auto"/>
              <w:right w:val="single" w:sz="12" w:space="0" w:color="auto"/>
            </w:tcBorders>
          </w:tcPr>
          <w:p w14:paraId="42B84169" w14:textId="77777777" w:rsidR="00AD1399" w:rsidRPr="00AD1399" w:rsidRDefault="00AD1399" w:rsidP="00AD1399">
            <w:pPr>
              <w:spacing w:after="0" w:line="240" w:lineRule="auto"/>
              <w:jc w:val="center"/>
              <w:rPr>
                <w:sz w:val="22"/>
                <w:szCs w:val="22"/>
                <w:lang w:eastAsia="en-US"/>
              </w:rPr>
            </w:pPr>
            <w:r w:rsidRPr="00AD1399">
              <w:rPr>
                <w:sz w:val="22"/>
                <w:szCs w:val="22"/>
                <w:lang w:eastAsia="en-US"/>
              </w:rPr>
              <w:t>75</w:t>
            </w:r>
          </w:p>
        </w:tc>
        <w:tc>
          <w:tcPr>
            <w:tcW w:w="3350" w:type="dxa"/>
            <w:tcBorders>
              <w:top w:val="single" w:sz="12" w:space="0" w:color="auto"/>
              <w:left w:val="single" w:sz="12" w:space="0" w:color="auto"/>
              <w:bottom w:val="single" w:sz="12" w:space="0" w:color="auto"/>
              <w:right w:val="single" w:sz="12" w:space="0" w:color="auto"/>
            </w:tcBorders>
          </w:tcPr>
          <w:p w14:paraId="31B2262C" w14:textId="77777777" w:rsidR="00AD1399" w:rsidRPr="00AD1399" w:rsidRDefault="00AD1399" w:rsidP="00AD1399">
            <w:pPr>
              <w:spacing w:after="0" w:line="240" w:lineRule="auto"/>
              <w:jc w:val="center"/>
              <w:rPr>
                <w:sz w:val="22"/>
                <w:szCs w:val="22"/>
                <w:lang w:eastAsia="en-US"/>
              </w:rPr>
            </w:pPr>
            <w:r w:rsidRPr="00AD1399">
              <w:rPr>
                <w:sz w:val="22"/>
                <w:szCs w:val="22"/>
                <w:lang w:eastAsia="en-US"/>
              </w:rPr>
              <w:t>89</w:t>
            </w:r>
          </w:p>
        </w:tc>
      </w:tr>
      <w:tr w:rsidR="00AD1399" w:rsidRPr="00AD1399" w14:paraId="03BF874E" w14:textId="77777777" w:rsidTr="005322D8">
        <w:trPr>
          <w:trHeight w:val="300"/>
        </w:trPr>
        <w:tc>
          <w:tcPr>
            <w:tcW w:w="2689" w:type="dxa"/>
            <w:tcBorders>
              <w:top w:val="single" w:sz="12" w:space="0" w:color="auto"/>
              <w:left w:val="single" w:sz="12" w:space="0" w:color="auto"/>
              <w:right w:val="single" w:sz="12" w:space="0" w:color="auto"/>
            </w:tcBorders>
          </w:tcPr>
          <w:p w14:paraId="375DE56E" w14:textId="77777777" w:rsidR="00AD1399" w:rsidRPr="00AD1399" w:rsidRDefault="00AD1399" w:rsidP="00AD1399">
            <w:pPr>
              <w:spacing w:after="0" w:line="240" w:lineRule="auto"/>
              <w:rPr>
                <w:sz w:val="22"/>
                <w:szCs w:val="22"/>
                <w:lang w:eastAsia="en-US"/>
              </w:rPr>
            </w:pPr>
            <w:r w:rsidRPr="00AD1399">
              <w:rPr>
                <w:sz w:val="22"/>
                <w:szCs w:val="22"/>
                <w:lang w:eastAsia="en-US"/>
              </w:rPr>
              <w:t>Some Room Grouping</w:t>
            </w:r>
          </w:p>
        </w:tc>
        <w:tc>
          <w:tcPr>
            <w:tcW w:w="2976" w:type="dxa"/>
            <w:tcBorders>
              <w:top w:val="single" w:sz="12" w:space="0" w:color="auto"/>
              <w:left w:val="single" w:sz="12" w:space="0" w:color="auto"/>
              <w:right w:val="single" w:sz="12" w:space="0" w:color="auto"/>
            </w:tcBorders>
          </w:tcPr>
          <w:p w14:paraId="283787DA" w14:textId="77777777" w:rsidR="00AD1399" w:rsidRPr="00AD1399" w:rsidRDefault="00AD1399" w:rsidP="00AD1399">
            <w:pPr>
              <w:spacing w:after="0" w:line="240" w:lineRule="auto"/>
              <w:jc w:val="center"/>
              <w:rPr>
                <w:sz w:val="22"/>
                <w:szCs w:val="22"/>
                <w:lang w:eastAsia="en-US"/>
              </w:rPr>
            </w:pPr>
            <w:r w:rsidRPr="00AD1399">
              <w:rPr>
                <w:sz w:val="22"/>
                <w:szCs w:val="22"/>
                <w:lang w:eastAsia="en-US"/>
              </w:rPr>
              <w:t>24</w:t>
            </w:r>
          </w:p>
        </w:tc>
        <w:tc>
          <w:tcPr>
            <w:tcW w:w="3350" w:type="dxa"/>
            <w:tcBorders>
              <w:top w:val="single" w:sz="12" w:space="0" w:color="auto"/>
              <w:left w:val="single" w:sz="12" w:space="0" w:color="auto"/>
              <w:right w:val="single" w:sz="12" w:space="0" w:color="auto"/>
            </w:tcBorders>
          </w:tcPr>
          <w:p w14:paraId="75637655" w14:textId="77777777" w:rsidR="00AD1399" w:rsidRPr="00AD1399" w:rsidRDefault="00AD1399" w:rsidP="00AD1399">
            <w:pPr>
              <w:spacing w:after="0" w:line="240" w:lineRule="auto"/>
              <w:jc w:val="center"/>
              <w:rPr>
                <w:sz w:val="22"/>
                <w:szCs w:val="22"/>
                <w:lang w:eastAsia="en-US"/>
              </w:rPr>
            </w:pPr>
            <w:r w:rsidRPr="00AD1399">
              <w:rPr>
                <w:sz w:val="22"/>
                <w:szCs w:val="22"/>
                <w:lang w:eastAsia="en-US"/>
              </w:rPr>
              <w:t>10</w:t>
            </w:r>
          </w:p>
        </w:tc>
      </w:tr>
      <w:tr w:rsidR="00AD1399" w:rsidRPr="00AD1399" w14:paraId="59B594A1" w14:textId="77777777" w:rsidTr="00AD1399">
        <w:trPr>
          <w:trHeight w:val="300"/>
        </w:trPr>
        <w:tc>
          <w:tcPr>
            <w:tcW w:w="2689" w:type="dxa"/>
            <w:tcBorders>
              <w:left w:val="single" w:sz="12" w:space="0" w:color="auto"/>
              <w:bottom w:val="single" w:sz="4" w:space="0" w:color="000000"/>
              <w:right w:val="single" w:sz="12" w:space="0" w:color="auto"/>
            </w:tcBorders>
          </w:tcPr>
          <w:p w14:paraId="65B66884" w14:textId="77777777" w:rsidR="00AD1399" w:rsidRPr="00AD1399" w:rsidRDefault="00AD1399" w:rsidP="00AD1399">
            <w:pPr>
              <w:spacing w:after="0" w:line="240" w:lineRule="auto"/>
              <w:rPr>
                <w:b w:val="0"/>
                <w:bCs w:val="0"/>
                <w:sz w:val="22"/>
                <w:szCs w:val="22"/>
                <w:lang w:eastAsia="en-US"/>
              </w:rPr>
            </w:pPr>
            <w:r w:rsidRPr="00AD1399">
              <w:rPr>
                <w:b w:val="0"/>
                <w:bCs w:val="0"/>
                <w:sz w:val="22"/>
                <w:szCs w:val="22"/>
                <w:lang w:eastAsia="en-US"/>
              </w:rPr>
              <w:t xml:space="preserve">     Some Goods Itemised</w:t>
            </w:r>
          </w:p>
        </w:tc>
        <w:tc>
          <w:tcPr>
            <w:tcW w:w="2976" w:type="dxa"/>
            <w:tcBorders>
              <w:left w:val="single" w:sz="12" w:space="0" w:color="auto"/>
              <w:right w:val="single" w:sz="12" w:space="0" w:color="auto"/>
            </w:tcBorders>
          </w:tcPr>
          <w:p w14:paraId="21D47E1A" w14:textId="77777777" w:rsidR="00AD1399" w:rsidRPr="00AD1399" w:rsidRDefault="00AD1399" w:rsidP="00AD1399">
            <w:pPr>
              <w:spacing w:after="0" w:line="240" w:lineRule="auto"/>
              <w:jc w:val="center"/>
              <w:rPr>
                <w:b w:val="0"/>
                <w:bCs w:val="0"/>
                <w:sz w:val="22"/>
                <w:szCs w:val="22"/>
                <w:lang w:eastAsia="en-US"/>
              </w:rPr>
            </w:pPr>
            <w:r w:rsidRPr="00AD1399">
              <w:rPr>
                <w:b w:val="0"/>
                <w:bCs w:val="0"/>
                <w:sz w:val="22"/>
                <w:szCs w:val="22"/>
                <w:lang w:eastAsia="en-US"/>
              </w:rPr>
              <w:t>21</w:t>
            </w:r>
          </w:p>
        </w:tc>
        <w:tc>
          <w:tcPr>
            <w:tcW w:w="3350" w:type="dxa"/>
            <w:tcBorders>
              <w:left w:val="single" w:sz="12" w:space="0" w:color="auto"/>
              <w:right w:val="single" w:sz="12" w:space="0" w:color="auto"/>
            </w:tcBorders>
          </w:tcPr>
          <w:p w14:paraId="6FF65F5E" w14:textId="77777777" w:rsidR="00AD1399" w:rsidRPr="00AD1399" w:rsidRDefault="00AD1399" w:rsidP="00AD1399">
            <w:pPr>
              <w:spacing w:after="0" w:line="240" w:lineRule="auto"/>
              <w:jc w:val="center"/>
              <w:rPr>
                <w:b w:val="0"/>
                <w:bCs w:val="0"/>
                <w:sz w:val="22"/>
                <w:szCs w:val="22"/>
                <w:lang w:eastAsia="en-US"/>
              </w:rPr>
            </w:pPr>
            <w:r w:rsidRPr="00AD1399">
              <w:rPr>
                <w:b w:val="0"/>
                <w:bCs w:val="0"/>
                <w:sz w:val="22"/>
                <w:szCs w:val="22"/>
                <w:lang w:eastAsia="en-US"/>
              </w:rPr>
              <w:t>9</w:t>
            </w:r>
          </w:p>
        </w:tc>
      </w:tr>
      <w:tr w:rsidR="00AD1399" w:rsidRPr="00AD1399" w14:paraId="14F4B6EE" w14:textId="77777777" w:rsidTr="005322D8">
        <w:trPr>
          <w:trHeight w:val="300"/>
        </w:trPr>
        <w:tc>
          <w:tcPr>
            <w:tcW w:w="2689" w:type="dxa"/>
            <w:tcBorders>
              <w:left w:val="single" w:sz="12" w:space="0" w:color="auto"/>
              <w:bottom w:val="single" w:sz="12" w:space="0" w:color="auto"/>
              <w:right w:val="single" w:sz="12" w:space="0" w:color="auto"/>
            </w:tcBorders>
          </w:tcPr>
          <w:p w14:paraId="2613CB84" w14:textId="77777777" w:rsidR="00AD1399" w:rsidRPr="00AD1399" w:rsidRDefault="00AD1399" w:rsidP="00AD1399">
            <w:pPr>
              <w:spacing w:after="0" w:line="240" w:lineRule="auto"/>
              <w:rPr>
                <w:b w:val="0"/>
                <w:bCs w:val="0"/>
                <w:sz w:val="22"/>
                <w:szCs w:val="22"/>
                <w:lang w:eastAsia="en-US"/>
              </w:rPr>
            </w:pPr>
            <w:r w:rsidRPr="00AD1399">
              <w:rPr>
                <w:b w:val="0"/>
                <w:bCs w:val="0"/>
                <w:sz w:val="22"/>
                <w:szCs w:val="22"/>
                <w:lang w:eastAsia="en-US"/>
              </w:rPr>
              <w:t xml:space="preserve">     No Goods Itemised</w:t>
            </w:r>
          </w:p>
        </w:tc>
        <w:tc>
          <w:tcPr>
            <w:tcW w:w="2976" w:type="dxa"/>
            <w:tcBorders>
              <w:left w:val="single" w:sz="12" w:space="0" w:color="auto"/>
              <w:bottom w:val="single" w:sz="12" w:space="0" w:color="auto"/>
              <w:right w:val="single" w:sz="12" w:space="0" w:color="auto"/>
            </w:tcBorders>
          </w:tcPr>
          <w:p w14:paraId="6073576D" w14:textId="77777777" w:rsidR="00AD1399" w:rsidRPr="00AD1399" w:rsidRDefault="00AD1399" w:rsidP="00AD1399">
            <w:pPr>
              <w:spacing w:after="0" w:line="240" w:lineRule="auto"/>
              <w:jc w:val="center"/>
              <w:rPr>
                <w:b w:val="0"/>
                <w:bCs w:val="0"/>
                <w:sz w:val="22"/>
                <w:szCs w:val="22"/>
                <w:lang w:eastAsia="en-US"/>
              </w:rPr>
            </w:pPr>
            <w:r w:rsidRPr="00AD1399">
              <w:rPr>
                <w:b w:val="0"/>
                <w:bCs w:val="0"/>
                <w:sz w:val="22"/>
                <w:szCs w:val="22"/>
                <w:lang w:eastAsia="en-US"/>
              </w:rPr>
              <w:t>3</w:t>
            </w:r>
          </w:p>
        </w:tc>
        <w:tc>
          <w:tcPr>
            <w:tcW w:w="3350" w:type="dxa"/>
            <w:tcBorders>
              <w:left w:val="single" w:sz="12" w:space="0" w:color="auto"/>
              <w:bottom w:val="single" w:sz="12" w:space="0" w:color="auto"/>
              <w:right w:val="single" w:sz="12" w:space="0" w:color="auto"/>
            </w:tcBorders>
          </w:tcPr>
          <w:p w14:paraId="43EDCD95" w14:textId="77777777" w:rsidR="00AD1399" w:rsidRPr="00AD1399" w:rsidRDefault="00AD1399" w:rsidP="00AD1399">
            <w:pPr>
              <w:spacing w:after="0" w:line="240" w:lineRule="auto"/>
              <w:jc w:val="center"/>
              <w:rPr>
                <w:b w:val="0"/>
                <w:bCs w:val="0"/>
                <w:sz w:val="22"/>
                <w:szCs w:val="22"/>
                <w:lang w:eastAsia="en-US"/>
              </w:rPr>
            </w:pPr>
            <w:r w:rsidRPr="00AD1399">
              <w:rPr>
                <w:b w:val="0"/>
                <w:bCs w:val="0"/>
                <w:sz w:val="22"/>
                <w:szCs w:val="22"/>
                <w:lang w:eastAsia="en-US"/>
              </w:rPr>
              <w:t>1</w:t>
            </w:r>
          </w:p>
        </w:tc>
      </w:tr>
      <w:tr w:rsidR="00AD1399" w:rsidRPr="00AD1399" w14:paraId="4A1198C3" w14:textId="77777777" w:rsidTr="005322D8">
        <w:trPr>
          <w:trHeight w:val="300"/>
        </w:trPr>
        <w:tc>
          <w:tcPr>
            <w:tcW w:w="2689" w:type="dxa"/>
            <w:tcBorders>
              <w:top w:val="single" w:sz="12" w:space="0" w:color="auto"/>
              <w:left w:val="single" w:sz="12" w:space="0" w:color="auto"/>
              <w:bottom w:val="single" w:sz="12" w:space="0" w:color="auto"/>
              <w:right w:val="single" w:sz="12" w:space="0" w:color="auto"/>
            </w:tcBorders>
          </w:tcPr>
          <w:p w14:paraId="0B1A8E39" w14:textId="77777777" w:rsidR="00AD1399" w:rsidRPr="00AD1399" w:rsidRDefault="00AD1399" w:rsidP="00AD1399">
            <w:pPr>
              <w:spacing w:after="0" w:line="240" w:lineRule="auto"/>
              <w:rPr>
                <w:sz w:val="22"/>
                <w:szCs w:val="22"/>
                <w:lang w:eastAsia="en-US"/>
              </w:rPr>
            </w:pPr>
            <w:r w:rsidRPr="00AD1399">
              <w:rPr>
                <w:sz w:val="22"/>
                <w:szCs w:val="22"/>
                <w:lang w:eastAsia="en-US"/>
              </w:rPr>
              <w:t>Total</w:t>
            </w:r>
          </w:p>
        </w:tc>
        <w:tc>
          <w:tcPr>
            <w:tcW w:w="2976" w:type="dxa"/>
            <w:tcBorders>
              <w:top w:val="single" w:sz="12" w:space="0" w:color="auto"/>
              <w:left w:val="single" w:sz="12" w:space="0" w:color="auto"/>
              <w:bottom w:val="single" w:sz="12" w:space="0" w:color="auto"/>
              <w:right w:val="single" w:sz="12" w:space="0" w:color="auto"/>
            </w:tcBorders>
          </w:tcPr>
          <w:p w14:paraId="14CED84F" w14:textId="77777777" w:rsidR="00AD1399" w:rsidRPr="00AD1399" w:rsidRDefault="00AD1399" w:rsidP="00AD1399">
            <w:pPr>
              <w:spacing w:after="0" w:line="240" w:lineRule="auto"/>
              <w:jc w:val="center"/>
              <w:rPr>
                <w:sz w:val="22"/>
                <w:szCs w:val="22"/>
                <w:lang w:eastAsia="en-US"/>
              </w:rPr>
            </w:pPr>
            <w:r w:rsidRPr="00AD1399">
              <w:rPr>
                <w:sz w:val="22"/>
                <w:szCs w:val="22"/>
                <w:lang w:eastAsia="en-US"/>
              </w:rPr>
              <w:t>99</w:t>
            </w:r>
          </w:p>
        </w:tc>
        <w:tc>
          <w:tcPr>
            <w:tcW w:w="3350" w:type="dxa"/>
            <w:tcBorders>
              <w:top w:val="single" w:sz="12" w:space="0" w:color="auto"/>
              <w:left w:val="single" w:sz="12" w:space="0" w:color="auto"/>
              <w:bottom w:val="single" w:sz="12" w:space="0" w:color="auto"/>
              <w:right w:val="single" w:sz="12" w:space="0" w:color="auto"/>
            </w:tcBorders>
          </w:tcPr>
          <w:p w14:paraId="5E4CF9A2" w14:textId="77777777" w:rsidR="00AD1399" w:rsidRPr="00AD1399" w:rsidRDefault="00AD1399" w:rsidP="00AD1399">
            <w:pPr>
              <w:spacing w:after="0" w:line="240" w:lineRule="auto"/>
              <w:jc w:val="center"/>
              <w:rPr>
                <w:sz w:val="22"/>
                <w:szCs w:val="22"/>
                <w:lang w:eastAsia="en-US"/>
              </w:rPr>
            </w:pPr>
            <w:r w:rsidRPr="00AD1399">
              <w:rPr>
                <w:sz w:val="22"/>
                <w:szCs w:val="22"/>
                <w:lang w:eastAsia="en-US"/>
              </w:rPr>
              <w:t>99</w:t>
            </w:r>
          </w:p>
        </w:tc>
      </w:tr>
    </w:tbl>
    <w:p w14:paraId="201E53AC" w14:textId="77777777" w:rsidR="00AD1399" w:rsidRPr="00AD1399" w:rsidRDefault="00AD1399" w:rsidP="00AD1399">
      <w:pPr>
        <w:jc w:val="center"/>
        <w:rPr>
          <w:rFonts w:cs="Calibri"/>
          <w:sz w:val="22"/>
          <w:szCs w:val="22"/>
        </w:rPr>
      </w:pPr>
    </w:p>
    <w:p w14:paraId="467CB75D" w14:textId="3444CE37" w:rsidR="00AD1399" w:rsidRPr="00AD1399" w:rsidRDefault="00AD1399" w:rsidP="00AD1399">
      <w:pPr>
        <w:jc w:val="center"/>
        <w:rPr>
          <w:rFonts w:cs="Calibri"/>
        </w:rPr>
      </w:pPr>
      <w:r w:rsidRPr="00AD1399">
        <w:rPr>
          <w:rFonts w:cs="Calibri"/>
        </w:rPr>
        <w:t xml:space="preserve">Table 34 – </w:t>
      </w:r>
      <w:r w:rsidR="00915F5E" w:rsidRPr="00915F5E">
        <w:rPr>
          <w:rFonts w:cs="Calibri"/>
        </w:rPr>
        <w:t xml:space="preserve">Prevalence of </w:t>
      </w:r>
      <w:r w:rsidR="00915F5E">
        <w:rPr>
          <w:rFonts w:cs="Calibri"/>
        </w:rPr>
        <w:t>different degrees of r</w:t>
      </w:r>
      <w:r w:rsidR="00915F5E" w:rsidRPr="00915F5E">
        <w:rPr>
          <w:rFonts w:cs="Calibri"/>
        </w:rPr>
        <w:t xml:space="preserve">oom grouping in inventories within the </w:t>
      </w:r>
      <w:r w:rsidR="00915F5E" w:rsidRPr="00AD1399">
        <w:rPr>
          <w:rFonts w:cs="Calibri"/>
        </w:rPr>
        <w:t>Bolton-le-Sands and Prestbury wider survey</w:t>
      </w:r>
      <w:r w:rsidRPr="00AD1399">
        <w:rPr>
          <w:rFonts w:cs="Calibri"/>
        </w:rPr>
        <w:t>.</w:t>
      </w:r>
    </w:p>
    <w:p w14:paraId="22E3860F" w14:textId="77777777" w:rsidR="00AD1399" w:rsidRDefault="00AD1399">
      <w:pPr>
        <w:spacing w:after="0" w:line="240" w:lineRule="auto"/>
        <w:rPr>
          <w:b/>
          <w:bCs/>
          <w:sz w:val="32"/>
          <w:szCs w:val="32"/>
          <w:u w:val="single"/>
        </w:rPr>
      </w:pPr>
      <w:r>
        <w:rPr>
          <w:b/>
          <w:bCs/>
          <w:sz w:val="32"/>
          <w:szCs w:val="32"/>
          <w:u w:val="single"/>
        </w:rPr>
        <w:br w:type="page"/>
      </w:r>
    </w:p>
    <w:tbl>
      <w:tblPr>
        <w:tblStyle w:val="TableGrid16"/>
        <w:tblW w:w="9015" w:type="dxa"/>
        <w:tblLayout w:type="fixed"/>
        <w:tblLook w:val="06A0" w:firstRow="1" w:lastRow="0" w:firstColumn="1" w:lastColumn="0" w:noHBand="1" w:noVBand="1"/>
      </w:tblPr>
      <w:tblGrid>
        <w:gridCol w:w="2820"/>
        <w:gridCol w:w="1560"/>
        <w:gridCol w:w="1417"/>
        <w:gridCol w:w="1559"/>
        <w:gridCol w:w="1659"/>
      </w:tblGrid>
      <w:tr w:rsidR="00482812" w:rsidRPr="00482812" w14:paraId="191F6593" w14:textId="77777777" w:rsidTr="005322D8">
        <w:trPr>
          <w:trHeight w:val="300"/>
        </w:trPr>
        <w:tc>
          <w:tcPr>
            <w:tcW w:w="2820" w:type="dxa"/>
            <w:tcBorders>
              <w:top w:val="single" w:sz="12" w:space="0" w:color="auto"/>
              <w:left w:val="single" w:sz="12" w:space="0" w:color="auto"/>
              <w:right w:val="single" w:sz="12" w:space="0" w:color="auto"/>
            </w:tcBorders>
          </w:tcPr>
          <w:p w14:paraId="6E931A40" w14:textId="77777777" w:rsidR="00482812" w:rsidRPr="00482812" w:rsidRDefault="00482812" w:rsidP="00482812">
            <w:pPr>
              <w:spacing w:after="0" w:line="240" w:lineRule="auto"/>
              <w:rPr>
                <w:sz w:val="22"/>
                <w:szCs w:val="22"/>
                <w:lang w:eastAsia="en-US"/>
              </w:rPr>
            </w:pPr>
          </w:p>
        </w:tc>
        <w:tc>
          <w:tcPr>
            <w:tcW w:w="2977" w:type="dxa"/>
            <w:gridSpan w:val="2"/>
            <w:tcBorders>
              <w:top w:val="single" w:sz="12" w:space="0" w:color="auto"/>
              <w:left w:val="single" w:sz="12" w:space="0" w:color="auto"/>
              <w:bottom w:val="single" w:sz="12" w:space="0" w:color="auto"/>
              <w:right w:val="single" w:sz="12" w:space="0" w:color="auto"/>
            </w:tcBorders>
          </w:tcPr>
          <w:p w14:paraId="1C630376"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Inventories</w:t>
            </w:r>
          </w:p>
        </w:tc>
        <w:tc>
          <w:tcPr>
            <w:tcW w:w="3218" w:type="dxa"/>
            <w:gridSpan w:val="2"/>
            <w:tcBorders>
              <w:top w:val="single" w:sz="12" w:space="0" w:color="auto"/>
              <w:left w:val="single" w:sz="12" w:space="0" w:color="auto"/>
              <w:bottom w:val="single" w:sz="12" w:space="0" w:color="auto"/>
              <w:right w:val="single" w:sz="12" w:space="0" w:color="auto"/>
            </w:tcBorders>
          </w:tcPr>
          <w:p w14:paraId="1D88833C"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Wills</w:t>
            </w:r>
          </w:p>
        </w:tc>
      </w:tr>
      <w:tr w:rsidR="00482812" w:rsidRPr="00482812" w14:paraId="5BA97379" w14:textId="77777777" w:rsidTr="005322D8">
        <w:trPr>
          <w:trHeight w:val="300"/>
        </w:trPr>
        <w:tc>
          <w:tcPr>
            <w:tcW w:w="2820" w:type="dxa"/>
            <w:tcBorders>
              <w:left w:val="single" w:sz="12" w:space="0" w:color="auto"/>
              <w:bottom w:val="single" w:sz="12" w:space="0" w:color="auto"/>
              <w:right w:val="single" w:sz="12" w:space="0" w:color="auto"/>
            </w:tcBorders>
          </w:tcPr>
          <w:p w14:paraId="64886489" w14:textId="77777777" w:rsidR="00482812" w:rsidRPr="00482812" w:rsidRDefault="00482812" w:rsidP="00482812">
            <w:pPr>
              <w:spacing w:after="0" w:line="240" w:lineRule="auto"/>
              <w:rPr>
                <w:sz w:val="22"/>
                <w:szCs w:val="22"/>
                <w:lang w:eastAsia="en-US"/>
              </w:rPr>
            </w:pPr>
          </w:p>
        </w:tc>
        <w:tc>
          <w:tcPr>
            <w:tcW w:w="1560" w:type="dxa"/>
            <w:tcBorders>
              <w:top w:val="single" w:sz="12" w:space="0" w:color="auto"/>
              <w:left w:val="single" w:sz="12" w:space="0" w:color="auto"/>
              <w:bottom w:val="single" w:sz="12" w:space="0" w:color="auto"/>
              <w:right w:val="single" w:sz="12" w:space="0" w:color="auto"/>
            </w:tcBorders>
          </w:tcPr>
          <w:p w14:paraId="5F85B515"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B-L-S</w:t>
            </w:r>
          </w:p>
        </w:tc>
        <w:tc>
          <w:tcPr>
            <w:tcW w:w="1417" w:type="dxa"/>
            <w:tcBorders>
              <w:top w:val="single" w:sz="12" w:space="0" w:color="auto"/>
              <w:left w:val="single" w:sz="12" w:space="0" w:color="auto"/>
              <w:bottom w:val="single" w:sz="12" w:space="0" w:color="auto"/>
              <w:right w:val="single" w:sz="12" w:space="0" w:color="auto"/>
            </w:tcBorders>
          </w:tcPr>
          <w:p w14:paraId="2780D44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Pr.</w:t>
            </w:r>
          </w:p>
        </w:tc>
        <w:tc>
          <w:tcPr>
            <w:tcW w:w="1559" w:type="dxa"/>
            <w:tcBorders>
              <w:top w:val="single" w:sz="12" w:space="0" w:color="auto"/>
              <w:left w:val="single" w:sz="12" w:space="0" w:color="auto"/>
              <w:bottom w:val="single" w:sz="12" w:space="0" w:color="auto"/>
              <w:right w:val="single" w:sz="12" w:space="0" w:color="auto"/>
            </w:tcBorders>
          </w:tcPr>
          <w:p w14:paraId="145B6B2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B-L-S</w:t>
            </w:r>
          </w:p>
        </w:tc>
        <w:tc>
          <w:tcPr>
            <w:tcW w:w="1659" w:type="dxa"/>
            <w:tcBorders>
              <w:top w:val="single" w:sz="12" w:space="0" w:color="auto"/>
              <w:left w:val="single" w:sz="12" w:space="0" w:color="auto"/>
              <w:bottom w:val="single" w:sz="12" w:space="0" w:color="auto"/>
              <w:right w:val="single" w:sz="12" w:space="0" w:color="auto"/>
            </w:tcBorders>
          </w:tcPr>
          <w:p w14:paraId="1229763B"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Pr.</w:t>
            </w:r>
          </w:p>
        </w:tc>
      </w:tr>
      <w:tr w:rsidR="00482812" w:rsidRPr="00482812" w14:paraId="2A5CD6AC" w14:textId="77777777" w:rsidTr="005322D8">
        <w:trPr>
          <w:trHeight w:val="300"/>
        </w:trPr>
        <w:tc>
          <w:tcPr>
            <w:tcW w:w="2820" w:type="dxa"/>
            <w:tcBorders>
              <w:top w:val="single" w:sz="12" w:space="0" w:color="auto"/>
              <w:left w:val="single" w:sz="12" w:space="0" w:color="auto"/>
              <w:right w:val="single" w:sz="12" w:space="0" w:color="auto"/>
            </w:tcBorders>
          </w:tcPr>
          <w:p w14:paraId="0EBFD216" w14:textId="77777777" w:rsidR="00482812" w:rsidRPr="00482812" w:rsidRDefault="00482812" w:rsidP="00482812">
            <w:pPr>
              <w:spacing w:after="0" w:line="240" w:lineRule="auto"/>
              <w:rPr>
                <w:sz w:val="22"/>
                <w:szCs w:val="22"/>
                <w:lang w:eastAsia="en-US"/>
              </w:rPr>
            </w:pPr>
            <w:r w:rsidRPr="00482812">
              <w:rPr>
                <w:sz w:val="22"/>
                <w:szCs w:val="22"/>
                <w:lang w:eastAsia="en-US"/>
              </w:rPr>
              <w:t>Furniture</w:t>
            </w:r>
          </w:p>
        </w:tc>
        <w:tc>
          <w:tcPr>
            <w:tcW w:w="1560" w:type="dxa"/>
            <w:tcBorders>
              <w:top w:val="single" w:sz="12" w:space="0" w:color="auto"/>
              <w:left w:val="single" w:sz="12" w:space="0" w:color="auto"/>
              <w:right w:val="single" w:sz="12" w:space="0" w:color="auto"/>
            </w:tcBorders>
          </w:tcPr>
          <w:p w14:paraId="6FEB4365" w14:textId="77777777" w:rsidR="00482812" w:rsidRPr="00482812" w:rsidRDefault="00482812" w:rsidP="00482812">
            <w:pPr>
              <w:spacing w:after="0" w:line="240" w:lineRule="auto"/>
              <w:jc w:val="center"/>
              <w:rPr>
                <w:sz w:val="22"/>
                <w:szCs w:val="22"/>
                <w:lang w:eastAsia="en-US"/>
              </w:rPr>
            </w:pPr>
          </w:p>
        </w:tc>
        <w:tc>
          <w:tcPr>
            <w:tcW w:w="1417" w:type="dxa"/>
            <w:tcBorders>
              <w:top w:val="single" w:sz="12" w:space="0" w:color="auto"/>
              <w:left w:val="single" w:sz="12" w:space="0" w:color="auto"/>
              <w:right w:val="single" w:sz="12" w:space="0" w:color="auto"/>
            </w:tcBorders>
          </w:tcPr>
          <w:p w14:paraId="2F857CBE" w14:textId="77777777" w:rsidR="00482812" w:rsidRPr="00482812" w:rsidRDefault="00482812" w:rsidP="00482812">
            <w:pPr>
              <w:spacing w:after="0" w:line="240" w:lineRule="auto"/>
              <w:jc w:val="center"/>
              <w:rPr>
                <w:sz w:val="22"/>
                <w:szCs w:val="22"/>
                <w:lang w:eastAsia="en-US"/>
              </w:rPr>
            </w:pPr>
          </w:p>
        </w:tc>
        <w:tc>
          <w:tcPr>
            <w:tcW w:w="1559" w:type="dxa"/>
            <w:tcBorders>
              <w:top w:val="single" w:sz="12" w:space="0" w:color="auto"/>
              <w:left w:val="single" w:sz="12" w:space="0" w:color="auto"/>
              <w:right w:val="single" w:sz="12" w:space="0" w:color="auto"/>
            </w:tcBorders>
          </w:tcPr>
          <w:p w14:paraId="2F0F5306" w14:textId="77777777" w:rsidR="00482812" w:rsidRPr="00482812" w:rsidRDefault="00482812" w:rsidP="00482812">
            <w:pPr>
              <w:spacing w:after="0" w:line="240" w:lineRule="auto"/>
              <w:jc w:val="center"/>
              <w:rPr>
                <w:sz w:val="22"/>
                <w:szCs w:val="22"/>
                <w:lang w:eastAsia="en-US"/>
              </w:rPr>
            </w:pPr>
          </w:p>
        </w:tc>
        <w:tc>
          <w:tcPr>
            <w:tcW w:w="1659" w:type="dxa"/>
            <w:tcBorders>
              <w:top w:val="single" w:sz="12" w:space="0" w:color="auto"/>
              <w:left w:val="single" w:sz="12" w:space="0" w:color="auto"/>
              <w:right w:val="single" w:sz="12" w:space="0" w:color="auto"/>
            </w:tcBorders>
          </w:tcPr>
          <w:p w14:paraId="79F0EA63" w14:textId="77777777" w:rsidR="00482812" w:rsidRPr="00482812" w:rsidRDefault="00482812" w:rsidP="00482812">
            <w:pPr>
              <w:spacing w:after="0" w:line="240" w:lineRule="auto"/>
              <w:jc w:val="center"/>
              <w:rPr>
                <w:sz w:val="22"/>
                <w:szCs w:val="22"/>
                <w:lang w:eastAsia="en-US"/>
              </w:rPr>
            </w:pPr>
          </w:p>
        </w:tc>
      </w:tr>
      <w:tr w:rsidR="00482812" w:rsidRPr="00482812" w14:paraId="7BA55442" w14:textId="77777777" w:rsidTr="005322D8">
        <w:trPr>
          <w:trHeight w:val="300"/>
        </w:trPr>
        <w:tc>
          <w:tcPr>
            <w:tcW w:w="2820" w:type="dxa"/>
            <w:tcBorders>
              <w:left w:val="single" w:sz="12" w:space="0" w:color="auto"/>
              <w:right w:val="single" w:sz="12" w:space="0" w:color="auto"/>
            </w:tcBorders>
          </w:tcPr>
          <w:p w14:paraId="46A43DF4"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Beds and bed furniture</w:t>
            </w:r>
          </w:p>
        </w:tc>
        <w:tc>
          <w:tcPr>
            <w:tcW w:w="1560" w:type="dxa"/>
            <w:tcBorders>
              <w:left w:val="single" w:sz="12" w:space="0" w:color="auto"/>
              <w:right w:val="single" w:sz="12" w:space="0" w:color="auto"/>
            </w:tcBorders>
          </w:tcPr>
          <w:p w14:paraId="25E99FB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62</w:t>
            </w:r>
          </w:p>
        </w:tc>
        <w:tc>
          <w:tcPr>
            <w:tcW w:w="1417" w:type="dxa"/>
            <w:tcBorders>
              <w:left w:val="single" w:sz="12" w:space="0" w:color="auto"/>
              <w:right w:val="single" w:sz="12" w:space="0" w:color="auto"/>
            </w:tcBorders>
          </w:tcPr>
          <w:p w14:paraId="0EA0324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85</w:t>
            </w:r>
          </w:p>
        </w:tc>
        <w:tc>
          <w:tcPr>
            <w:tcW w:w="1559" w:type="dxa"/>
            <w:tcBorders>
              <w:left w:val="single" w:sz="12" w:space="0" w:color="auto"/>
              <w:right w:val="single" w:sz="12" w:space="0" w:color="auto"/>
            </w:tcBorders>
          </w:tcPr>
          <w:p w14:paraId="32B593A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17</w:t>
            </w:r>
          </w:p>
        </w:tc>
        <w:tc>
          <w:tcPr>
            <w:tcW w:w="1659" w:type="dxa"/>
            <w:tcBorders>
              <w:left w:val="single" w:sz="12" w:space="0" w:color="auto"/>
              <w:right w:val="single" w:sz="12" w:space="0" w:color="auto"/>
            </w:tcBorders>
          </w:tcPr>
          <w:p w14:paraId="7AED460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23</w:t>
            </w:r>
          </w:p>
        </w:tc>
      </w:tr>
      <w:tr w:rsidR="00482812" w:rsidRPr="00482812" w14:paraId="2B959278" w14:textId="77777777" w:rsidTr="005322D8">
        <w:trPr>
          <w:trHeight w:val="300"/>
        </w:trPr>
        <w:tc>
          <w:tcPr>
            <w:tcW w:w="2820" w:type="dxa"/>
            <w:tcBorders>
              <w:left w:val="single" w:sz="12" w:space="0" w:color="auto"/>
              <w:right w:val="single" w:sz="12" w:space="0" w:color="auto"/>
            </w:tcBorders>
          </w:tcPr>
          <w:p w14:paraId="109E6BC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Storage</w:t>
            </w:r>
          </w:p>
        </w:tc>
        <w:tc>
          <w:tcPr>
            <w:tcW w:w="1560" w:type="dxa"/>
            <w:tcBorders>
              <w:left w:val="single" w:sz="12" w:space="0" w:color="auto"/>
              <w:right w:val="single" w:sz="12" w:space="0" w:color="auto"/>
            </w:tcBorders>
          </w:tcPr>
          <w:p w14:paraId="2899784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70</w:t>
            </w:r>
          </w:p>
        </w:tc>
        <w:tc>
          <w:tcPr>
            <w:tcW w:w="1417" w:type="dxa"/>
            <w:tcBorders>
              <w:left w:val="single" w:sz="12" w:space="0" w:color="auto"/>
              <w:right w:val="single" w:sz="12" w:space="0" w:color="auto"/>
            </w:tcBorders>
          </w:tcPr>
          <w:p w14:paraId="22A7099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85</w:t>
            </w:r>
          </w:p>
        </w:tc>
        <w:tc>
          <w:tcPr>
            <w:tcW w:w="1559" w:type="dxa"/>
            <w:tcBorders>
              <w:left w:val="single" w:sz="12" w:space="0" w:color="auto"/>
              <w:right w:val="single" w:sz="12" w:space="0" w:color="auto"/>
            </w:tcBorders>
          </w:tcPr>
          <w:p w14:paraId="7D28A81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22</w:t>
            </w:r>
          </w:p>
        </w:tc>
        <w:tc>
          <w:tcPr>
            <w:tcW w:w="1659" w:type="dxa"/>
            <w:tcBorders>
              <w:left w:val="single" w:sz="12" w:space="0" w:color="auto"/>
              <w:right w:val="single" w:sz="12" w:space="0" w:color="auto"/>
            </w:tcBorders>
          </w:tcPr>
          <w:p w14:paraId="1BC6902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22</w:t>
            </w:r>
          </w:p>
        </w:tc>
      </w:tr>
      <w:tr w:rsidR="00482812" w:rsidRPr="00482812" w14:paraId="1653043D" w14:textId="77777777" w:rsidTr="005322D8">
        <w:trPr>
          <w:trHeight w:val="300"/>
        </w:trPr>
        <w:tc>
          <w:tcPr>
            <w:tcW w:w="2820" w:type="dxa"/>
            <w:tcBorders>
              <w:left w:val="single" w:sz="12" w:space="0" w:color="auto"/>
              <w:right w:val="single" w:sz="12" w:space="0" w:color="auto"/>
            </w:tcBorders>
          </w:tcPr>
          <w:p w14:paraId="2420DF0F"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Seating</w:t>
            </w:r>
          </w:p>
        </w:tc>
        <w:tc>
          <w:tcPr>
            <w:tcW w:w="1560" w:type="dxa"/>
            <w:tcBorders>
              <w:left w:val="single" w:sz="12" w:space="0" w:color="auto"/>
              <w:right w:val="single" w:sz="12" w:space="0" w:color="auto"/>
            </w:tcBorders>
          </w:tcPr>
          <w:p w14:paraId="1C1A17A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68</w:t>
            </w:r>
          </w:p>
        </w:tc>
        <w:tc>
          <w:tcPr>
            <w:tcW w:w="1417" w:type="dxa"/>
            <w:tcBorders>
              <w:left w:val="single" w:sz="12" w:space="0" w:color="auto"/>
              <w:right w:val="single" w:sz="12" w:space="0" w:color="auto"/>
            </w:tcBorders>
          </w:tcPr>
          <w:p w14:paraId="3009DC9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77</w:t>
            </w:r>
          </w:p>
        </w:tc>
        <w:tc>
          <w:tcPr>
            <w:tcW w:w="1559" w:type="dxa"/>
            <w:tcBorders>
              <w:left w:val="single" w:sz="12" w:space="0" w:color="auto"/>
              <w:right w:val="single" w:sz="12" w:space="0" w:color="auto"/>
            </w:tcBorders>
          </w:tcPr>
          <w:p w14:paraId="055FBFC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c>
          <w:tcPr>
            <w:tcW w:w="1659" w:type="dxa"/>
            <w:tcBorders>
              <w:left w:val="single" w:sz="12" w:space="0" w:color="auto"/>
              <w:right w:val="single" w:sz="12" w:space="0" w:color="auto"/>
            </w:tcBorders>
          </w:tcPr>
          <w:p w14:paraId="454C2C7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8</w:t>
            </w:r>
          </w:p>
        </w:tc>
      </w:tr>
      <w:tr w:rsidR="00482812" w:rsidRPr="00482812" w14:paraId="3C406897" w14:textId="77777777" w:rsidTr="005322D8">
        <w:trPr>
          <w:trHeight w:val="300"/>
        </w:trPr>
        <w:tc>
          <w:tcPr>
            <w:tcW w:w="2820" w:type="dxa"/>
            <w:tcBorders>
              <w:left w:val="single" w:sz="12" w:space="0" w:color="auto"/>
              <w:bottom w:val="single" w:sz="12" w:space="0" w:color="auto"/>
              <w:right w:val="single" w:sz="12" w:space="0" w:color="auto"/>
            </w:tcBorders>
          </w:tcPr>
          <w:p w14:paraId="09D6495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Tables</w:t>
            </w:r>
          </w:p>
        </w:tc>
        <w:tc>
          <w:tcPr>
            <w:tcW w:w="1560" w:type="dxa"/>
            <w:tcBorders>
              <w:left w:val="single" w:sz="12" w:space="0" w:color="auto"/>
              <w:bottom w:val="single" w:sz="12" w:space="0" w:color="auto"/>
              <w:right w:val="single" w:sz="12" w:space="0" w:color="auto"/>
            </w:tcBorders>
          </w:tcPr>
          <w:p w14:paraId="7CC761E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38</w:t>
            </w:r>
          </w:p>
        </w:tc>
        <w:tc>
          <w:tcPr>
            <w:tcW w:w="1417" w:type="dxa"/>
            <w:tcBorders>
              <w:left w:val="single" w:sz="12" w:space="0" w:color="auto"/>
              <w:bottom w:val="single" w:sz="12" w:space="0" w:color="auto"/>
              <w:right w:val="single" w:sz="12" w:space="0" w:color="auto"/>
            </w:tcBorders>
          </w:tcPr>
          <w:p w14:paraId="0803743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72</w:t>
            </w:r>
          </w:p>
        </w:tc>
        <w:tc>
          <w:tcPr>
            <w:tcW w:w="1559" w:type="dxa"/>
            <w:tcBorders>
              <w:left w:val="single" w:sz="12" w:space="0" w:color="auto"/>
              <w:bottom w:val="single" w:sz="12" w:space="0" w:color="auto"/>
              <w:right w:val="single" w:sz="12" w:space="0" w:color="auto"/>
            </w:tcBorders>
          </w:tcPr>
          <w:p w14:paraId="078F57A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9</w:t>
            </w:r>
          </w:p>
        </w:tc>
        <w:tc>
          <w:tcPr>
            <w:tcW w:w="1659" w:type="dxa"/>
            <w:tcBorders>
              <w:left w:val="single" w:sz="12" w:space="0" w:color="auto"/>
              <w:bottom w:val="single" w:sz="12" w:space="0" w:color="auto"/>
              <w:right w:val="single" w:sz="12" w:space="0" w:color="auto"/>
            </w:tcBorders>
          </w:tcPr>
          <w:p w14:paraId="21224F1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10</w:t>
            </w:r>
          </w:p>
        </w:tc>
      </w:tr>
      <w:tr w:rsidR="00482812" w:rsidRPr="00482812" w14:paraId="6991DDAB" w14:textId="77777777" w:rsidTr="005322D8">
        <w:trPr>
          <w:trHeight w:val="300"/>
        </w:trPr>
        <w:tc>
          <w:tcPr>
            <w:tcW w:w="2820" w:type="dxa"/>
            <w:tcBorders>
              <w:top w:val="single" w:sz="12" w:space="0" w:color="auto"/>
              <w:left w:val="single" w:sz="12" w:space="0" w:color="auto"/>
              <w:right w:val="single" w:sz="12" w:space="0" w:color="auto"/>
            </w:tcBorders>
          </w:tcPr>
          <w:p w14:paraId="0DF936C9" w14:textId="77777777" w:rsidR="00482812" w:rsidRPr="00482812" w:rsidRDefault="00482812" w:rsidP="00482812">
            <w:pPr>
              <w:spacing w:after="0" w:line="240" w:lineRule="auto"/>
              <w:rPr>
                <w:sz w:val="22"/>
                <w:szCs w:val="22"/>
                <w:lang w:eastAsia="en-US"/>
              </w:rPr>
            </w:pPr>
            <w:r w:rsidRPr="00482812">
              <w:rPr>
                <w:sz w:val="22"/>
                <w:szCs w:val="22"/>
                <w:lang w:eastAsia="en-US"/>
              </w:rPr>
              <w:t>‘Wares’</w:t>
            </w:r>
          </w:p>
        </w:tc>
        <w:tc>
          <w:tcPr>
            <w:tcW w:w="1560" w:type="dxa"/>
            <w:tcBorders>
              <w:top w:val="single" w:sz="12" w:space="0" w:color="auto"/>
              <w:left w:val="single" w:sz="12" w:space="0" w:color="auto"/>
              <w:right w:val="single" w:sz="12" w:space="0" w:color="auto"/>
            </w:tcBorders>
          </w:tcPr>
          <w:p w14:paraId="2CB76CE6" w14:textId="77777777" w:rsidR="00482812" w:rsidRPr="00482812" w:rsidRDefault="00482812" w:rsidP="00482812">
            <w:pPr>
              <w:spacing w:after="0" w:line="240" w:lineRule="auto"/>
              <w:jc w:val="center"/>
              <w:rPr>
                <w:sz w:val="22"/>
                <w:szCs w:val="22"/>
                <w:lang w:eastAsia="en-US"/>
              </w:rPr>
            </w:pPr>
          </w:p>
        </w:tc>
        <w:tc>
          <w:tcPr>
            <w:tcW w:w="1417" w:type="dxa"/>
            <w:tcBorders>
              <w:top w:val="single" w:sz="12" w:space="0" w:color="auto"/>
              <w:left w:val="single" w:sz="12" w:space="0" w:color="auto"/>
              <w:right w:val="single" w:sz="12" w:space="0" w:color="auto"/>
            </w:tcBorders>
          </w:tcPr>
          <w:p w14:paraId="13D99005" w14:textId="77777777" w:rsidR="00482812" w:rsidRPr="00482812" w:rsidRDefault="00482812" w:rsidP="00482812">
            <w:pPr>
              <w:spacing w:after="0" w:line="240" w:lineRule="auto"/>
              <w:jc w:val="center"/>
              <w:rPr>
                <w:sz w:val="22"/>
                <w:szCs w:val="22"/>
                <w:lang w:eastAsia="en-US"/>
              </w:rPr>
            </w:pPr>
          </w:p>
        </w:tc>
        <w:tc>
          <w:tcPr>
            <w:tcW w:w="1559" w:type="dxa"/>
            <w:tcBorders>
              <w:top w:val="single" w:sz="12" w:space="0" w:color="auto"/>
              <w:left w:val="single" w:sz="12" w:space="0" w:color="auto"/>
              <w:right w:val="single" w:sz="12" w:space="0" w:color="auto"/>
            </w:tcBorders>
          </w:tcPr>
          <w:p w14:paraId="1C76C8D7" w14:textId="77777777" w:rsidR="00482812" w:rsidRPr="00482812" w:rsidRDefault="00482812" w:rsidP="00482812">
            <w:pPr>
              <w:spacing w:after="0" w:line="240" w:lineRule="auto"/>
              <w:jc w:val="center"/>
              <w:rPr>
                <w:sz w:val="22"/>
                <w:szCs w:val="22"/>
                <w:lang w:eastAsia="en-US"/>
              </w:rPr>
            </w:pPr>
          </w:p>
        </w:tc>
        <w:tc>
          <w:tcPr>
            <w:tcW w:w="1659" w:type="dxa"/>
            <w:tcBorders>
              <w:top w:val="single" w:sz="12" w:space="0" w:color="auto"/>
              <w:left w:val="single" w:sz="12" w:space="0" w:color="auto"/>
              <w:right w:val="single" w:sz="12" w:space="0" w:color="auto"/>
            </w:tcBorders>
          </w:tcPr>
          <w:p w14:paraId="14039C5A" w14:textId="77777777" w:rsidR="00482812" w:rsidRPr="00482812" w:rsidRDefault="00482812" w:rsidP="00482812">
            <w:pPr>
              <w:spacing w:after="0" w:line="240" w:lineRule="auto"/>
              <w:jc w:val="center"/>
              <w:rPr>
                <w:sz w:val="22"/>
                <w:szCs w:val="22"/>
                <w:lang w:eastAsia="en-US"/>
              </w:rPr>
            </w:pPr>
          </w:p>
        </w:tc>
      </w:tr>
      <w:tr w:rsidR="00482812" w:rsidRPr="00482812" w14:paraId="0E704BA3" w14:textId="77777777" w:rsidTr="005322D8">
        <w:trPr>
          <w:trHeight w:val="300"/>
        </w:trPr>
        <w:tc>
          <w:tcPr>
            <w:tcW w:w="2820" w:type="dxa"/>
            <w:tcBorders>
              <w:left w:val="single" w:sz="12" w:space="0" w:color="auto"/>
              <w:right w:val="single" w:sz="12" w:space="0" w:color="auto"/>
            </w:tcBorders>
          </w:tcPr>
          <w:p w14:paraId="1BF1D312"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Pewterware</w:t>
            </w:r>
          </w:p>
        </w:tc>
        <w:tc>
          <w:tcPr>
            <w:tcW w:w="1560" w:type="dxa"/>
            <w:tcBorders>
              <w:left w:val="single" w:sz="12" w:space="0" w:color="auto"/>
              <w:right w:val="single" w:sz="12" w:space="0" w:color="auto"/>
            </w:tcBorders>
          </w:tcPr>
          <w:p w14:paraId="273B2D3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64</w:t>
            </w:r>
          </w:p>
        </w:tc>
        <w:tc>
          <w:tcPr>
            <w:tcW w:w="1417" w:type="dxa"/>
            <w:tcBorders>
              <w:left w:val="single" w:sz="12" w:space="0" w:color="auto"/>
              <w:right w:val="single" w:sz="12" w:space="0" w:color="auto"/>
            </w:tcBorders>
          </w:tcPr>
          <w:p w14:paraId="24432C8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76</w:t>
            </w:r>
          </w:p>
        </w:tc>
        <w:tc>
          <w:tcPr>
            <w:tcW w:w="1559" w:type="dxa"/>
            <w:tcBorders>
              <w:left w:val="single" w:sz="12" w:space="0" w:color="auto"/>
              <w:right w:val="single" w:sz="12" w:space="0" w:color="auto"/>
            </w:tcBorders>
          </w:tcPr>
          <w:p w14:paraId="400F960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right w:val="single" w:sz="12" w:space="0" w:color="auto"/>
            </w:tcBorders>
          </w:tcPr>
          <w:p w14:paraId="30FA53D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8</w:t>
            </w:r>
          </w:p>
        </w:tc>
      </w:tr>
      <w:tr w:rsidR="00482812" w:rsidRPr="00482812" w14:paraId="6FD5EE1E" w14:textId="77777777" w:rsidTr="005322D8">
        <w:trPr>
          <w:trHeight w:val="300"/>
        </w:trPr>
        <w:tc>
          <w:tcPr>
            <w:tcW w:w="2820" w:type="dxa"/>
            <w:tcBorders>
              <w:left w:val="single" w:sz="12" w:space="0" w:color="auto"/>
              <w:right w:val="single" w:sz="12" w:space="0" w:color="auto"/>
            </w:tcBorders>
          </w:tcPr>
          <w:p w14:paraId="0512537B"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Brassware</w:t>
            </w:r>
          </w:p>
        </w:tc>
        <w:tc>
          <w:tcPr>
            <w:tcW w:w="1560" w:type="dxa"/>
            <w:tcBorders>
              <w:left w:val="single" w:sz="12" w:space="0" w:color="auto"/>
              <w:right w:val="single" w:sz="12" w:space="0" w:color="auto"/>
            </w:tcBorders>
          </w:tcPr>
          <w:p w14:paraId="2B19500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64</w:t>
            </w:r>
          </w:p>
        </w:tc>
        <w:tc>
          <w:tcPr>
            <w:tcW w:w="1417" w:type="dxa"/>
            <w:tcBorders>
              <w:left w:val="single" w:sz="12" w:space="0" w:color="auto"/>
              <w:right w:val="single" w:sz="12" w:space="0" w:color="auto"/>
            </w:tcBorders>
          </w:tcPr>
          <w:p w14:paraId="0520EFA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74</w:t>
            </w:r>
          </w:p>
        </w:tc>
        <w:tc>
          <w:tcPr>
            <w:tcW w:w="1559" w:type="dxa"/>
            <w:tcBorders>
              <w:left w:val="single" w:sz="12" w:space="0" w:color="auto"/>
              <w:right w:val="single" w:sz="12" w:space="0" w:color="auto"/>
            </w:tcBorders>
          </w:tcPr>
          <w:p w14:paraId="5B97510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c>
          <w:tcPr>
            <w:tcW w:w="1659" w:type="dxa"/>
            <w:tcBorders>
              <w:left w:val="single" w:sz="12" w:space="0" w:color="auto"/>
              <w:right w:val="single" w:sz="12" w:space="0" w:color="auto"/>
            </w:tcBorders>
          </w:tcPr>
          <w:p w14:paraId="570B840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11</w:t>
            </w:r>
          </w:p>
        </w:tc>
      </w:tr>
      <w:tr w:rsidR="00482812" w:rsidRPr="00482812" w14:paraId="70CE3328" w14:textId="77777777" w:rsidTr="005322D8">
        <w:trPr>
          <w:trHeight w:val="300"/>
        </w:trPr>
        <w:tc>
          <w:tcPr>
            <w:tcW w:w="2820" w:type="dxa"/>
            <w:tcBorders>
              <w:left w:val="single" w:sz="12" w:space="0" w:color="auto"/>
              <w:right w:val="single" w:sz="12" w:space="0" w:color="auto"/>
            </w:tcBorders>
          </w:tcPr>
          <w:p w14:paraId="7D1CD75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Ironware</w:t>
            </w:r>
          </w:p>
        </w:tc>
        <w:tc>
          <w:tcPr>
            <w:tcW w:w="1560" w:type="dxa"/>
            <w:tcBorders>
              <w:left w:val="single" w:sz="12" w:space="0" w:color="auto"/>
              <w:right w:val="single" w:sz="12" w:space="0" w:color="auto"/>
            </w:tcBorders>
          </w:tcPr>
          <w:p w14:paraId="567E8B9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44</w:t>
            </w:r>
          </w:p>
        </w:tc>
        <w:tc>
          <w:tcPr>
            <w:tcW w:w="1417" w:type="dxa"/>
            <w:tcBorders>
              <w:left w:val="single" w:sz="12" w:space="0" w:color="auto"/>
              <w:right w:val="single" w:sz="12" w:space="0" w:color="auto"/>
            </w:tcBorders>
          </w:tcPr>
          <w:p w14:paraId="4FBEB98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70</w:t>
            </w:r>
          </w:p>
        </w:tc>
        <w:tc>
          <w:tcPr>
            <w:tcW w:w="1559" w:type="dxa"/>
            <w:tcBorders>
              <w:left w:val="single" w:sz="12" w:space="0" w:color="auto"/>
              <w:right w:val="single" w:sz="12" w:space="0" w:color="auto"/>
            </w:tcBorders>
          </w:tcPr>
          <w:p w14:paraId="62DFA84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right w:val="single" w:sz="12" w:space="0" w:color="auto"/>
            </w:tcBorders>
          </w:tcPr>
          <w:p w14:paraId="3946EBB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5</w:t>
            </w:r>
          </w:p>
        </w:tc>
      </w:tr>
      <w:tr w:rsidR="00482812" w:rsidRPr="00482812" w14:paraId="28E68903" w14:textId="77777777" w:rsidTr="005322D8">
        <w:trPr>
          <w:trHeight w:val="300"/>
        </w:trPr>
        <w:tc>
          <w:tcPr>
            <w:tcW w:w="2820" w:type="dxa"/>
            <w:tcBorders>
              <w:left w:val="single" w:sz="12" w:space="0" w:color="auto"/>
              <w:right w:val="single" w:sz="12" w:space="0" w:color="auto"/>
            </w:tcBorders>
          </w:tcPr>
          <w:p w14:paraId="318D77A6"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Wooden ware</w:t>
            </w:r>
          </w:p>
        </w:tc>
        <w:tc>
          <w:tcPr>
            <w:tcW w:w="1560" w:type="dxa"/>
            <w:tcBorders>
              <w:left w:val="single" w:sz="12" w:space="0" w:color="auto"/>
              <w:right w:val="single" w:sz="12" w:space="0" w:color="auto"/>
            </w:tcBorders>
          </w:tcPr>
          <w:p w14:paraId="1B33E75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54</w:t>
            </w:r>
          </w:p>
        </w:tc>
        <w:tc>
          <w:tcPr>
            <w:tcW w:w="1417" w:type="dxa"/>
            <w:tcBorders>
              <w:left w:val="single" w:sz="12" w:space="0" w:color="auto"/>
              <w:right w:val="single" w:sz="12" w:space="0" w:color="auto"/>
            </w:tcBorders>
          </w:tcPr>
          <w:p w14:paraId="313F75E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48</w:t>
            </w:r>
          </w:p>
        </w:tc>
        <w:tc>
          <w:tcPr>
            <w:tcW w:w="1559" w:type="dxa"/>
            <w:tcBorders>
              <w:left w:val="single" w:sz="12" w:space="0" w:color="auto"/>
              <w:right w:val="single" w:sz="12" w:space="0" w:color="auto"/>
            </w:tcBorders>
          </w:tcPr>
          <w:p w14:paraId="6A9B3C0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right w:val="single" w:sz="12" w:space="0" w:color="auto"/>
            </w:tcBorders>
          </w:tcPr>
          <w:p w14:paraId="605B480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2AB4FCE2" w14:textId="77777777" w:rsidTr="005322D8">
        <w:trPr>
          <w:trHeight w:val="300"/>
        </w:trPr>
        <w:tc>
          <w:tcPr>
            <w:tcW w:w="2820" w:type="dxa"/>
            <w:tcBorders>
              <w:left w:val="single" w:sz="12" w:space="0" w:color="auto"/>
              <w:right w:val="single" w:sz="12" w:space="0" w:color="auto"/>
            </w:tcBorders>
          </w:tcPr>
          <w:p w14:paraId="2F22FD7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Earthenware</w:t>
            </w:r>
          </w:p>
        </w:tc>
        <w:tc>
          <w:tcPr>
            <w:tcW w:w="1560" w:type="dxa"/>
            <w:tcBorders>
              <w:left w:val="single" w:sz="12" w:space="0" w:color="auto"/>
              <w:right w:val="single" w:sz="12" w:space="0" w:color="auto"/>
            </w:tcBorders>
          </w:tcPr>
          <w:p w14:paraId="6C62EC7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31</w:t>
            </w:r>
          </w:p>
        </w:tc>
        <w:tc>
          <w:tcPr>
            <w:tcW w:w="1417" w:type="dxa"/>
            <w:tcBorders>
              <w:left w:val="single" w:sz="12" w:space="0" w:color="auto"/>
              <w:right w:val="single" w:sz="12" w:space="0" w:color="auto"/>
            </w:tcBorders>
          </w:tcPr>
          <w:p w14:paraId="2A156A9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31</w:t>
            </w:r>
          </w:p>
        </w:tc>
        <w:tc>
          <w:tcPr>
            <w:tcW w:w="1559" w:type="dxa"/>
            <w:tcBorders>
              <w:left w:val="single" w:sz="12" w:space="0" w:color="auto"/>
              <w:right w:val="single" w:sz="12" w:space="0" w:color="auto"/>
            </w:tcBorders>
          </w:tcPr>
          <w:p w14:paraId="12A6FDE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right w:val="single" w:sz="12" w:space="0" w:color="auto"/>
            </w:tcBorders>
          </w:tcPr>
          <w:p w14:paraId="2B67084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7F428D69" w14:textId="77777777" w:rsidTr="005322D8">
        <w:trPr>
          <w:trHeight w:val="300"/>
        </w:trPr>
        <w:tc>
          <w:tcPr>
            <w:tcW w:w="2820" w:type="dxa"/>
            <w:tcBorders>
              <w:left w:val="single" w:sz="12" w:space="0" w:color="auto"/>
              <w:right w:val="single" w:sz="12" w:space="0" w:color="auto"/>
            </w:tcBorders>
          </w:tcPr>
          <w:p w14:paraId="7C563E5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Glassware</w:t>
            </w:r>
          </w:p>
        </w:tc>
        <w:tc>
          <w:tcPr>
            <w:tcW w:w="1560" w:type="dxa"/>
            <w:tcBorders>
              <w:left w:val="single" w:sz="12" w:space="0" w:color="auto"/>
              <w:right w:val="single" w:sz="12" w:space="0" w:color="auto"/>
            </w:tcBorders>
          </w:tcPr>
          <w:p w14:paraId="13A1AFE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1417" w:type="dxa"/>
            <w:tcBorders>
              <w:left w:val="single" w:sz="12" w:space="0" w:color="auto"/>
              <w:right w:val="single" w:sz="12" w:space="0" w:color="auto"/>
            </w:tcBorders>
          </w:tcPr>
          <w:p w14:paraId="3CE6CC5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16</w:t>
            </w:r>
          </w:p>
        </w:tc>
        <w:tc>
          <w:tcPr>
            <w:tcW w:w="1559" w:type="dxa"/>
            <w:tcBorders>
              <w:left w:val="single" w:sz="12" w:space="0" w:color="auto"/>
              <w:right w:val="single" w:sz="12" w:space="0" w:color="auto"/>
            </w:tcBorders>
          </w:tcPr>
          <w:p w14:paraId="7D3B37F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right w:val="single" w:sz="12" w:space="0" w:color="auto"/>
            </w:tcBorders>
          </w:tcPr>
          <w:p w14:paraId="63DF0EA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04E445F4" w14:textId="77777777" w:rsidTr="005322D8">
        <w:trPr>
          <w:trHeight w:val="300"/>
        </w:trPr>
        <w:tc>
          <w:tcPr>
            <w:tcW w:w="2820" w:type="dxa"/>
            <w:tcBorders>
              <w:left w:val="single" w:sz="12" w:space="0" w:color="auto"/>
              <w:right w:val="single" w:sz="12" w:space="0" w:color="auto"/>
            </w:tcBorders>
          </w:tcPr>
          <w:p w14:paraId="3737E670"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Copperware</w:t>
            </w:r>
          </w:p>
        </w:tc>
        <w:tc>
          <w:tcPr>
            <w:tcW w:w="1560" w:type="dxa"/>
            <w:tcBorders>
              <w:left w:val="single" w:sz="12" w:space="0" w:color="auto"/>
              <w:right w:val="single" w:sz="12" w:space="0" w:color="auto"/>
            </w:tcBorders>
          </w:tcPr>
          <w:p w14:paraId="769022B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417" w:type="dxa"/>
            <w:tcBorders>
              <w:left w:val="single" w:sz="12" w:space="0" w:color="auto"/>
              <w:right w:val="single" w:sz="12" w:space="0" w:color="auto"/>
            </w:tcBorders>
          </w:tcPr>
          <w:p w14:paraId="1291948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12</w:t>
            </w:r>
          </w:p>
        </w:tc>
        <w:tc>
          <w:tcPr>
            <w:tcW w:w="1559" w:type="dxa"/>
            <w:tcBorders>
              <w:left w:val="single" w:sz="12" w:space="0" w:color="auto"/>
              <w:right w:val="single" w:sz="12" w:space="0" w:color="auto"/>
            </w:tcBorders>
          </w:tcPr>
          <w:p w14:paraId="75FB362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right w:val="single" w:sz="12" w:space="0" w:color="auto"/>
            </w:tcBorders>
          </w:tcPr>
          <w:p w14:paraId="4158C0A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26FAA9FC" w14:textId="77777777" w:rsidTr="005322D8">
        <w:trPr>
          <w:trHeight w:val="300"/>
        </w:trPr>
        <w:tc>
          <w:tcPr>
            <w:tcW w:w="2820" w:type="dxa"/>
            <w:tcBorders>
              <w:left w:val="single" w:sz="12" w:space="0" w:color="auto"/>
              <w:bottom w:val="single" w:sz="12" w:space="0" w:color="auto"/>
              <w:right w:val="single" w:sz="12" w:space="0" w:color="auto"/>
            </w:tcBorders>
          </w:tcPr>
          <w:p w14:paraId="445C4F59"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Silverware</w:t>
            </w:r>
          </w:p>
        </w:tc>
        <w:tc>
          <w:tcPr>
            <w:tcW w:w="1560" w:type="dxa"/>
            <w:tcBorders>
              <w:left w:val="single" w:sz="12" w:space="0" w:color="auto"/>
              <w:bottom w:val="single" w:sz="12" w:space="0" w:color="auto"/>
              <w:right w:val="single" w:sz="12" w:space="0" w:color="auto"/>
            </w:tcBorders>
          </w:tcPr>
          <w:p w14:paraId="245CDB8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c>
          <w:tcPr>
            <w:tcW w:w="1417" w:type="dxa"/>
            <w:tcBorders>
              <w:left w:val="single" w:sz="12" w:space="0" w:color="auto"/>
              <w:bottom w:val="single" w:sz="12" w:space="0" w:color="auto"/>
              <w:right w:val="single" w:sz="12" w:space="0" w:color="auto"/>
            </w:tcBorders>
          </w:tcPr>
          <w:p w14:paraId="195EADD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5</w:t>
            </w:r>
          </w:p>
        </w:tc>
        <w:tc>
          <w:tcPr>
            <w:tcW w:w="1559" w:type="dxa"/>
            <w:tcBorders>
              <w:left w:val="single" w:sz="12" w:space="0" w:color="auto"/>
              <w:bottom w:val="single" w:sz="12" w:space="0" w:color="auto"/>
              <w:right w:val="single" w:sz="12" w:space="0" w:color="auto"/>
            </w:tcBorders>
          </w:tcPr>
          <w:p w14:paraId="6040359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659" w:type="dxa"/>
            <w:tcBorders>
              <w:left w:val="single" w:sz="12" w:space="0" w:color="auto"/>
              <w:bottom w:val="single" w:sz="12" w:space="0" w:color="auto"/>
              <w:right w:val="single" w:sz="12" w:space="0" w:color="auto"/>
            </w:tcBorders>
          </w:tcPr>
          <w:p w14:paraId="1A5416C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2D561576" w14:textId="77777777" w:rsidTr="005322D8">
        <w:trPr>
          <w:trHeight w:val="300"/>
        </w:trPr>
        <w:tc>
          <w:tcPr>
            <w:tcW w:w="2820" w:type="dxa"/>
            <w:tcBorders>
              <w:top w:val="single" w:sz="12" w:space="0" w:color="auto"/>
              <w:left w:val="single" w:sz="12" w:space="0" w:color="auto"/>
              <w:right w:val="single" w:sz="12" w:space="0" w:color="auto"/>
            </w:tcBorders>
          </w:tcPr>
          <w:p w14:paraId="7957EC47" w14:textId="77777777" w:rsidR="00482812" w:rsidRPr="00482812" w:rsidRDefault="00482812" w:rsidP="00482812">
            <w:pPr>
              <w:spacing w:after="0" w:line="240" w:lineRule="auto"/>
              <w:rPr>
                <w:sz w:val="22"/>
                <w:szCs w:val="22"/>
                <w:lang w:eastAsia="en-US"/>
              </w:rPr>
            </w:pPr>
            <w:r w:rsidRPr="00482812">
              <w:rPr>
                <w:sz w:val="22"/>
                <w:szCs w:val="22"/>
                <w:lang w:eastAsia="en-US"/>
              </w:rPr>
              <w:t>Cooking and the Hearth</w:t>
            </w:r>
          </w:p>
        </w:tc>
        <w:tc>
          <w:tcPr>
            <w:tcW w:w="1560" w:type="dxa"/>
            <w:tcBorders>
              <w:top w:val="single" w:sz="12" w:space="0" w:color="auto"/>
              <w:left w:val="single" w:sz="12" w:space="0" w:color="auto"/>
              <w:right w:val="single" w:sz="12" w:space="0" w:color="auto"/>
            </w:tcBorders>
          </w:tcPr>
          <w:p w14:paraId="3D1067CA" w14:textId="77777777" w:rsidR="00482812" w:rsidRPr="00482812" w:rsidRDefault="00482812" w:rsidP="00482812">
            <w:pPr>
              <w:spacing w:after="0" w:line="240" w:lineRule="auto"/>
              <w:jc w:val="center"/>
              <w:rPr>
                <w:sz w:val="22"/>
                <w:szCs w:val="22"/>
                <w:lang w:eastAsia="en-US"/>
              </w:rPr>
            </w:pPr>
          </w:p>
        </w:tc>
        <w:tc>
          <w:tcPr>
            <w:tcW w:w="1417" w:type="dxa"/>
            <w:tcBorders>
              <w:top w:val="single" w:sz="12" w:space="0" w:color="auto"/>
              <w:left w:val="single" w:sz="12" w:space="0" w:color="auto"/>
              <w:right w:val="single" w:sz="12" w:space="0" w:color="auto"/>
            </w:tcBorders>
          </w:tcPr>
          <w:p w14:paraId="396A7DEF" w14:textId="77777777" w:rsidR="00482812" w:rsidRPr="00482812" w:rsidRDefault="00482812" w:rsidP="00482812">
            <w:pPr>
              <w:spacing w:after="0" w:line="240" w:lineRule="auto"/>
              <w:jc w:val="center"/>
              <w:rPr>
                <w:sz w:val="22"/>
                <w:szCs w:val="22"/>
                <w:lang w:eastAsia="en-US"/>
              </w:rPr>
            </w:pPr>
          </w:p>
        </w:tc>
        <w:tc>
          <w:tcPr>
            <w:tcW w:w="1559" w:type="dxa"/>
            <w:tcBorders>
              <w:top w:val="single" w:sz="12" w:space="0" w:color="auto"/>
              <w:left w:val="single" w:sz="12" w:space="0" w:color="auto"/>
              <w:right w:val="single" w:sz="12" w:space="0" w:color="auto"/>
            </w:tcBorders>
          </w:tcPr>
          <w:p w14:paraId="456E1397" w14:textId="77777777" w:rsidR="00482812" w:rsidRPr="00482812" w:rsidRDefault="00482812" w:rsidP="00482812">
            <w:pPr>
              <w:spacing w:after="0" w:line="240" w:lineRule="auto"/>
              <w:jc w:val="center"/>
              <w:rPr>
                <w:sz w:val="22"/>
                <w:szCs w:val="22"/>
                <w:lang w:eastAsia="en-US"/>
              </w:rPr>
            </w:pPr>
          </w:p>
        </w:tc>
        <w:tc>
          <w:tcPr>
            <w:tcW w:w="1659" w:type="dxa"/>
            <w:tcBorders>
              <w:top w:val="single" w:sz="12" w:space="0" w:color="auto"/>
              <w:left w:val="single" w:sz="12" w:space="0" w:color="auto"/>
              <w:right w:val="single" w:sz="12" w:space="0" w:color="auto"/>
            </w:tcBorders>
          </w:tcPr>
          <w:p w14:paraId="2AF25290" w14:textId="77777777" w:rsidR="00482812" w:rsidRPr="00482812" w:rsidRDefault="00482812" w:rsidP="00482812">
            <w:pPr>
              <w:spacing w:after="0" w:line="240" w:lineRule="auto"/>
              <w:jc w:val="center"/>
              <w:rPr>
                <w:sz w:val="22"/>
                <w:szCs w:val="22"/>
                <w:lang w:eastAsia="en-US"/>
              </w:rPr>
            </w:pPr>
          </w:p>
        </w:tc>
      </w:tr>
      <w:tr w:rsidR="00482812" w:rsidRPr="00482812" w14:paraId="4C99AC8A" w14:textId="77777777" w:rsidTr="005322D8">
        <w:trPr>
          <w:trHeight w:val="300"/>
        </w:trPr>
        <w:tc>
          <w:tcPr>
            <w:tcW w:w="2820" w:type="dxa"/>
            <w:tcBorders>
              <w:left w:val="single" w:sz="12" w:space="0" w:color="auto"/>
              <w:right w:val="single" w:sz="12" w:space="0" w:color="auto"/>
            </w:tcBorders>
          </w:tcPr>
          <w:p w14:paraId="5A821DB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Cooking pots / pans</w:t>
            </w:r>
          </w:p>
        </w:tc>
        <w:tc>
          <w:tcPr>
            <w:tcW w:w="1560" w:type="dxa"/>
            <w:tcBorders>
              <w:left w:val="single" w:sz="12" w:space="0" w:color="auto"/>
              <w:right w:val="single" w:sz="12" w:space="0" w:color="auto"/>
            </w:tcBorders>
          </w:tcPr>
          <w:p w14:paraId="4CBAEB1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24</w:t>
            </w:r>
          </w:p>
        </w:tc>
        <w:tc>
          <w:tcPr>
            <w:tcW w:w="1417" w:type="dxa"/>
            <w:tcBorders>
              <w:left w:val="single" w:sz="12" w:space="0" w:color="auto"/>
              <w:right w:val="single" w:sz="12" w:space="0" w:color="auto"/>
            </w:tcBorders>
          </w:tcPr>
          <w:p w14:paraId="39DABE7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57</w:t>
            </w:r>
          </w:p>
        </w:tc>
        <w:tc>
          <w:tcPr>
            <w:tcW w:w="1559" w:type="dxa"/>
            <w:tcBorders>
              <w:left w:val="single" w:sz="12" w:space="0" w:color="auto"/>
              <w:right w:val="single" w:sz="12" w:space="0" w:color="auto"/>
            </w:tcBorders>
          </w:tcPr>
          <w:p w14:paraId="17CA53B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c>
          <w:tcPr>
            <w:tcW w:w="1659" w:type="dxa"/>
            <w:tcBorders>
              <w:left w:val="single" w:sz="12" w:space="0" w:color="auto"/>
              <w:right w:val="single" w:sz="12" w:space="0" w:color="auto"/>
            </w:tcBorders>
          </w:tcPr>
          <w:p w14:paraId="47F9936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10</w:t>
            </w:r>
          </w:p>
        </w:tc>
      </w:tr>
      <w:tr w:rsidR="00482812" w:rsidRPr="00482812" w14:paraId="2E2726C0" w14:textId="77777777" w:rsidTr="005322D8">
        <w:trPr>
          <w:trHeight w:val="300"/>
        </w:trPr>
        <w:tc>
          <w:tcPr>
            <w:tcW w:w="2820" w:type="dxa"/>
            <w:tcBorders>
              <w:left w:val="single" w:sz="12" w:space="0" w:color="auto"/>
              <w:right w:val="single" w:sz="12" w:space="0" w:color="auto"/>
            </w:tcBorders>
          </w:tcPr>
          <w:p w14:paraId="3E7D1235"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Basic cooking equipment</w:t>
            </w:r>
          </w:p>
        </w:tc>
        <w:tc>
          <w:tcPr>
            <w:tcW w:w="1560" w:type="dxa"/>
            <w:tcBorders>
              <w:left w:val="single" w:sz="12" w:space="0" w:color="auto"/>
              <w:right w:val="single" w:sz="12" w:space="0" w:color="auto"/>
            </w:tcBorders>
          </w:tcPr>
          <w:p w14:paraId="5F30608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47</w:t>
            </w:r>
          </w:p>
        </w:tc>
        <w:tc>
          <w:tcPr>
            <w:tcW w:w="1417" w:type="dxa"/>
            <w:tcBorders>
              <w:left w:val="single" w:sz="12" w:space="0" w:color="auto"/>
              <w:right w:val="single" w:sz="12" w:space="0" w:color="auto"/>
            </w:tcBorders>
          </w:tcPr>
          <w:p w14:paraId="5DF5179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9</w:t>
            </w:r>
          </w:p>
        </w:tc>
        <w:tc>
          <w:tcPr>
            <w:tcW w:w="1559" w:type="dxa"/>
            <w:tcBorders>
              <w:left w:val="single" w:sz="12" w:space="0" w:color="auto"/>
              <w:right w:val="single" w:sz="12" w:space="0" w:color="auto"/>
            </w:tcBorders>
          </w:tcPr>
          <w:p w14:paraId="1E975DF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right w:val="single" w:sz="12" w:space="0" w:color="auto"/>
            </w:tcBorders>
          </w:tcPr>
          <w:p w14:paraId="2FFD941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642C2B9E" w14:textId="77777777" w:rsidTr="005322D8">
        <w:trPr>
          <w:trHeight w:val="300"/>
        </w:trPr>
        <w:tc>
          <w:tcPr>
            <w:tcW w:w="2820" w:type="dxa"/>
            <w:tcBorders>
              <w:left w:val="single" w:sz="12" w:space="0" w:color="auto"/>
              <w:right w:val="single" w:sz="12" w:space="0" w:color="auto"/>
            </w:tcBorders>
          </w:tcPr>
          <w:p w14:paraId="2F0658E9"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Cooking utensils</w:t>
            </w:r>
          </w:p>
        </w:tc>
        <w:tc>
          <w:tcPr>
            <w:tcW w:w="1560" w:type="dxa"/>
            <w:tcBorders>
              <w:left w:val="single" w:sz="12" w:space="0" w:color="auto"/>
              <w:right w:val="single" w:sz="12" w:space="0" w:color="auto"/>
            </w:tcBorders>
          </w:tcPr>
          <w:p w14:paraId="218DAF3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1417" w:type="dxa"/>
            <w:tcBorders>
              <w:left w:val="single" w:sz="12" w:space="0" w:color="auto"/>
              <w:right w:val="single" w:sz="12" w:space="0" w:color="auto"/>
            </w:tcBorders>
          </w:tcPr>
          <w:p w14:paraId="5387E99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25</w:t>
            </w:r>
          </w:p>
        </w:tc>
        <w:tc>
          <w:tcPr>
            <w:tcW w:w="1559" w:type="dxa"/>
            <w:tcBorders>
              <w:left w:val="single" w:sz="12" w:space="0" w:color="auto"/>
              <w:right w:val="single" w:sz="12" w:space="0" w:color="auto"/>
            </w:tcBorders>
          </w:tcPr>
          <w:p w14:paraId="2019DF9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659" w:type="dxa"/>
            <w:tcBorders>
              <w:left w:val="single" w:sz="12" w:space="0" w:color="auto"/>
              <w:right w:val="single" w:sz="12" w:space="0" w:color="auto"/>
            </w:tcBorders>
          </w:tcPr>
          <w:p w14:paraId="1BA3562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1CCEC39C" w14:textId="77777777" w:rsidTr="005322D8">
        <w:trPr>
          <w:trHeight w:val="300"/>
        </w:trPr>
        <w:tc>
          <w:tcPr>
            <w:tcW w:w="2820" w:type="dxa"/>
            <w:tcBorders>
              <w:left w:val="single" w:sz="12" w:space="0" w:color="auto"/>
              <w:bottom w:val="single" w:sz="12" w:space="0" w:color="auto"/>
              <w:right w:val="single" w:sz="12" w:space="0" w:color="auto"/>
            </w:tcBorders>
          </w:tcPr>
          <w:p w14:paraId="0D92415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Fire equipment</w:t>
            </w:r>
          </w:p>
        </w:tc>
        <w:tc>
          <w:tcPr>
            <w:tcW w:w="1560" w:type="dxa"/>
            <w:tcBorders>
              <w:left w:val="single" w:sz="12" w:space="0" w:color="auto"/>
              <w:bottom w:val="single" w:sz="12" w:space="0" w:color="auto"/>
              <w:right w:val="single" w:sz="12" w:space="0" w:color="auto"/>
            </w:tcBorders>
          </w:tcPr>
          <w:p w14:paraId="3EE2550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18</w:t>
            </w:r>
          </w:p>
        </w:tc>
        <w:tc>
          <w:tcPr>
            <w:tcW w:w="1417" w:type="dxa"/>
            <w:tcBorders>
              <w:left w:val="single" w:sz="12" w:space="0" w:color="auto"/>
              <w:bottom w:val="single" w:sz="12" w:space="0" w:color="auto"/>
              <w:right w:val="single" w:sz="12" w:space="0" w:color="auto"/>
            </w:tcBorders>
          </w:tcPr>
          <w:p w14:paraId="0BE4583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42</w:t>
            </w:r>
          </w:p>
        </w:tc>
        <w:tc>
          <w:tcPr>
            <w:tcW w:w="1559" w:type="dxa"/>
            <w:tcBorders>
              <w:left w:val="single" w:sz="12" w:space="0" w:color="auto"/>
              <w:bottom w:val="single" w:sz="12" w:space="0" w:color="auto"/>
              <w:right w:val="single" w:sz="12" w:space="0" w:color="auto"/>
            </w:tcBorders>
          </w:tcPr>
          <w:p w14:paraId="52180C3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bottom w:val="single" w:sz="12" w:space="0" w:color="auto"/>
              <w:right w:val="single" w:sz="12" w:space="0" w:color="auto"/>
            </w:tcBorders>
          </w:tcPr>
          <w:p w14:paraId="7F989D1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61C68E04" w14:textId="77777777" w:rsidTr="005322D8">
        <w:trPr>
          <w:trHeight w:val="300"/>
        </w:trPr>
        <w:tc>
          <w:tcPr>
            <w:tcW w:w="2820" w:type="dxa"/>
            <w:tcBorders>
              <w:top w:val="single" w:sz="12" w:space="0" w:color="auto"/>
              <w:left w:val="single" w:sz="12" w:space="0" w:color="auto"/>
              <w:right w:val="single" w:sz="12" w:space="0" w:color="auto"/>
            </w:tcBorders>
          </w:tcPr>
          <w:p w14:paraId="43330C1E" w14:textId="77777777" w:rsidR="00482812" w:rsidRPr="00482812" w:rsidRDefault="00482812" w:rsidP="00482812">
            <w:pPr>
              <w:spacing w:after="0" w:line="240" w:lineRule="auto"/>
              <w:rPr>
                <w:sz w:val="22"/>
                <w:szCs w:val="22"/>
                <w:lang w:eastAsia="en-US"/>
              </w:rPr>
            </w:pPr>
            <w:r w:rsidRPr="00482812">
              <w:rPr>
                <w:sz w:val="22"/>
                <w:szCs w:val="22"/>
                <w:lang w:eastAsia="en-US"/>
              </w:rPr>
              <w:t>Miscellaneous Goods</w:t>
            </w:r>
          </w:p>
        </w:tc>
        <w:tc>
          <w:tcPr>
            <w:tcW w:w="1560" w:type="dxa"/>
            <w:tcBorders>
              <w:top w:val="single" w:sz="12" w:space="0" w:color="auto"/>
              <w:left w:val="single" w:sz="12" w:space="0" w:color="auto"/>
              <w:right w:val="single" w:sz="12" w:space="0" w:color="auto"/>
            </w:tcBorders>
          </w:tcPr>
          <w:p w14:paraId="1864A993" w14:textId="77777777" w:rsidR="00482812" w:rsidRPr="00482812" w:rsidRDefault="00482812" w:rsidP="00482812">
            <w:pPr>
              <w:spacing w:after="0" w:line="240" w:lineRule="auto"/>
              <w:jc w:val="center"/>
              <w:rPr>
                <w:sz w:val="22"/>
                <w:szCs w:val="22"/>
                <w:lang w:eastAsia="en-US"/>
              </w:rPr>
            </w:pPr>
          </w:p>
        </w:tc>
        <w:tc>
          <w:tcPr>
            <w:tcW w:w="1417" w:type="dxa"/>
            <w:tcBorders>
              <w:top w:val="single" w:sz="12" w:space="0" w:color="auto"/>
              <w:left w:val="single" w:sz="12" w:space="0" w:color="auto"/>
              <w:right w:val="single" w:sz="12" w:space="0" w:color="auto"/>
            </w:tcBorders>
          </w:tcPr>
          <w:p w14:paraId="68CA3B99" w14:textId="77777777" w:rsidR="00482812" w:rsidRPr="00482812" w:rsidRDefault="00482812" w:rsidP="00482812">
            <w:pPr>
              <w:spacing w:after="0" w:line="240" w:lineRule="auto"/>
              <w:jc w:val="center"/>
              <w:rPr>
                <w:sz w:val="22"/>
                <w:szCs w:val="22"/>
                <w:lang w:eastAsia="en-US"/>
              </w:rPr>
            </w:pPr>
          </w:p>
        </w:tc>
        <w:tc>
          <w:tcPr>
            <w:tcW w:w="1559" w:type="dxa"/>
            <w:tcBorders>
              <w:top w:val="single" w:sz="12" w:space="0" w:color="auto"/>
              <w:left w:val="single" w:sz="12" w:space="0" w:color="auto"/>
              <w:right w:val="single" w:sz="12" w:space="0" w:color="auto"/>
            </w:tcBorders>
          </w:tcPr>
          <w:p w14:paraId="315D5C90" w14:textId="77777777" w:rsidR="00482812" w:rsidRPr="00482812" w:rsidRDefault="00482812" w:rsidP="00482812">
            <w:pPr>
              <w:spacing w:after="0" w:line="240" w:lineRule="auto"/>
              <w:jc w:val="center"/>
              <w:rPr>
                <w:sz w:val="22"/>
                <w:szCs w:val="22"/>
                <w:lang w:eastAsia="en-US"/>
              </w:rPr>
            </w:pPr>
          </w:p>
        </w:tc>
        <w:tc>
          <w:tcPr>
            <w:tcW w:w="1659" w:type="dxa"/>
            <w:tcBorders>
              <w:top w:val="single" w:sz="12" w:space="0" w:color="auto"/>
              <w:left w:val="single" w:sz="12" w:space="0" w:color="auto"/>
              <w:right w:val="single" w:sz="12" w:space="0" w:color="auto"/>
            </w:tcBorders>
          </w:tcPr>
          <w:p w14:paraId="65B4BD14" w14:textId="77777777" w:rsidR="00482812" w:rsidRPr="00482812" w:rsidRDefault="00482812" w:rsidP="00482812">
            <w:pPr>
              <w:spacing w:after="0" w:line="240" w:lineRule="auto"/>
              <w:jc w:val="center"/>
              <w:rPr>
                <w:sz w:val="22"/>
                <w:szCs w:val="22"/>
                <w:lang w:eastAsia="en-US"/>
              </w:rPr>
            </w:pPr>
          </w:p>
        </w:tc>
      </w:tr>
      <w:tr w:rsidR="00482812" w:rsidRPr="00482812" w14:paraId="0FD60572" w14:textId="77777777" w:rsidTr="005322D8">
        <w:trPr>
          <w:trHeight w:val="300"/>
        </w:trPr>
        <w:tc>
          <w:tcPr>
            <w:tcW w:w="2820" w:type="dxa"/>
            <w:tcBorders>
              <w:left w:val="single" w:sz="12" w:space="0" w:color="auto"/>
              <w:right w:val="single" w:sz="12" w:space="0" w:color="auto"/>
            </w:tcBorders>
          </w:tcPr>
          <w:p w14:paraId="194322EC"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Books</w:t>
            </w:r>
          </w:p>
        </w:tc>
        <w:tc>
          <w:tcPr>
            <w:tcW w:w="1560" w:type="dxa"/>
            <w:tcBorders>
              <w:left w:val="single" w:sz="12" w:space="0" w:color="auto"/>
              <w:right w:val="single" w:sz="12" w:space="0" w:color="auto"/>
            </w:tcBorders>
          </w:tcPr>
          <w:p w14:paraId="3F9F67B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w:t>
            </w:r>
          </w:p>
        </w:tc>
        <w:tc>
          <w:tcPr>
            <w:tcW w:w="1417" w:type="dxa"/>
            <w:tcBorders>
              <w:left w:val="single" w:sz="12" w:space="0" w:color="auto"/>
              <w:right w:val="single" w:sz="12" w:space="0" w:color="auto"/>
            </w:tcBorders>
          </w:tcPr>
          <w:p w14:paraId="6159AE5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15</w:t>
            </w:r>
          </w:p>
        </w:tc>
        <w:tc>
          <w:tcPr>
            <w:tcW w:w="1559" w:type="dxa"/>
            <w:tcBorders>
              <w:left w:val="single" w:sz="12" w:space="0" w:color="auto"/>
              <w:right w:val="single" w:sz="12" w:space="0" w:color="auto"/>
            </w:tcBorders>
          </w:tcPr>
          <w:p w14:paraId="4883276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right w:val="single" w:sz="12" w:space="0" w:color="auto"/>
            </w:tcBorders>
          </w:tcPr>
          <w:p w14:paraId="6A8BCA1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576D2EB2" w14:textId="77777777" w:rsidTr="005322D8">
        <w:trPr>
          <w:trHeight w:val="300"/>
        </w:trPr>
        <w:tc>
          <w:tcPr>
            <w:tcW w:w="2820" w:type="dxa"/>
            <w:tcBorders>
              <w:left w:val="single" w:sz="12" w:space="0" w:color="auto"/>
              <w:right w:val="single" w:sz="12" w:space="0" w:color="auto"/>
            </w:tcBorders>
          </w:tcPr>
          <w:p w14:paraId="209B9565"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Looking glasses</w:t>
            </w:r>
          </w:p>
        </w:tc>
        <w:tc>
          <w:tcPr>
            <w:tcW w:w="1560" w:type="dxa"/>
            <w:tcBorders>
              <w:left w:val="single" w:sz="12" w:space="0" w:color="auto"/>
              <w:right w:val="single" w:sz="12" w:space="0" w:color="auto"/>
            </w:tcBorders>
          </w:tcPr>
          <w:p w14:paraId="0BBF194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417" w:type="dxa"/>
            <w:tcBorders>
              <w:left w:val="single" w:sz="12" w:space="0" w:color="auto"/>
              <w:right w:val="single" w:sz="12" w:space="0" w:color="auto"/>
            </w:tcBorders>
          </w:tcPr>
          <w:p w14:paraId="3D38E37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15</w:t>
            </w:r>
          </w:p>
        </w:tc>
        <w:tc>
          <w:tcPr>
            <w:tcW w:w="1559" w:type="dxa"/>
            <w:tcBorders>
              <w:left w:val="single" w:sz="12" w:space="0" w:color="auto"/>
              <w:right w:val="single" w:sz="12" w:space="0" w:color="auto"/>
            </w:tcBorders>
          </w:tcPr>
          <w:p w14:paraId="4A7A90E3" w14:textId="1B557951" w:rsidR="00482812" w:rsidRPr="00482812" w:rsidRDefault="00482812" w:rsidP="00482812">
            <w:pPr>
              <w:spacing w:after="0" w:line="240" w:lineRule="auto"/>
              <w:jc w:val="center"/>
              <w:rPr>
                <w:b w:val="0"/>
                <w:bCs w:val="0"/>
                <w:sz w:val="22"/>
                <w:szCs w:val="22"/>
                <w:lang w:eastAsia="en-US"/>
              </w:rPr>
            </w:pPr>
            <w:r>
              <w:rPr>
                <w:b w:val="0"/>
                <w:bCs w:val="0"/>
                <w:sz w:val="22"/>
                <w:szCs w:val="22"/>
                <w:lang w:eastAsia="en-US"/>
              </w:rPr>
              <w:t>0</w:t>
            </w:r>
          </w:p>
        </w:tc>
        <w:tc>
          <w:tcPr>
            <w:tcW w:w="1659" w:type="dxa"/>
            <w:tcBorders>
              <w:left w:val="single" w:sz="12" w:space="0" w:color="auto"/>
              <w:right w:val="single" w:sz="12" w:space="0" w:color="auto"/>
            </w:tcBorders>
          </w:tcPr>
          <w:p w14:paraId="5B1533B3" w14:textId="391BE634" w:rsidR="00482812" w:rsidRPr="00482812" w:rsidRDefault="00482812" w:rsidP="00482812">
            <w:pPr>
              <w:spacing w:after="0" w:line="240" w:lineRule="auto"/>
              <w:jc w:val="center"/>
              <w:rPr>
                <w:b w:val="0"/>
                <w:bCs w:val="0"/>
                <w:sz w:val="22"/>
                <w:szCs w:val="22"/>
                <w:lang w:eastAsia="en-US"/>
              </w:rPr>
            </w:pPr>
            <w:r>
              <w:rPr>
                <w:b w:val="0"/>
                <w:bCs w:val="0"/>
                <w:sz w:val="22"/>
                <w:szCs w:val="22"/>
                <w:lang w:eastAsia="en-US"/>
              </w:rPr>
              <w:t>0</w:t>
            </w:r>
          </w:p>
        </w:tc>
      </w:tr>
      <w:tr w:rsidR="00482812" w:rsidRPr="00482812" w14:paraId="1D5FAE45" w14:textId="77777777" w:rsidTr="005322D8">
        <w:trPr>
          <w:trHeight w:val="300"/>
        </w:trPr>
        <w:tc>
          <w:tcPr>
            <w:tcW w:w="2820" w:type="dxa"/>
            <w:tcBorders>
              <w:left w:val="single" w:sz="12" w:space="0" w:color="auto"/>
              <w:right w:val="single" w:sz="12" w:space="0" w:color="auto"/>
            </w:tcBorders>
          </w:tcPr>
          <w:p w14:paraId="12A5463F"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Clocks</w:t>
            </w:r>
          </w:p>
        </w:tc>
        <w:tc>
          <w:tcPr>
            <w:tcW w:w="1560" w:type="dxa"/>
            <w:tcBorders>
              <w:left w:val="single" w:sz="12" w:space="0" w:color="auto"/>
              <w:right w:val="single" w:sz="12" w:space="0" w:color="auto"/>
            </w:tcBorders>
          </w:tcPr>
          <w:p w14:paraId="6984A1B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w:t>
            </w:r>
          </w:p>
        </w:tc>
        <w:tc>
          <w:tcPr>
            <w:tcW w:w="1417" w:type="dxa"/>
            <w:tcBorders>
              <w:left w:val="single" w:sz="12" w:space="0" w:color="auto"/>
              <w:right w:val="single" w:sz="12" w:space="0" w:color="auto"/>
            </w:tcBorders>
          </w:tcPr>
          <w:p w14:paraId="203D10F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12</w:t>
            </w:r>
          </w:p>
        </w:tc>
        <w:tc>
          <w:tcPr>
            <w:tcW w:w="1559" w:type="dxa"/>
            <w:tcBorders>
              <w:left w:val="single" w:sz="12" w:space="0" w:color="auto"/>
              <w:right w:val="single" w:sz="12" w:space="0" w:color="auto"/>
            </w:tcBorders>
          </w:tcPr>
          <w:p w14:paraId="61BFEC7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right w:val="single" w:sz="12" w:space="0" w:color="auto"/>
            </w:tcBorders>
          </w:tcPr>
          <w:p w14:paraId="1ADFF8F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47E080A5" w14:textId="77777777" w:rsidTr="005322D8">
        <w:trPr>
          <w:trHeight w:val="300"/>
        </w:trPr>
        <w:tc>
          <w:tcPr>
            <w:tcW w:w="2820" w:type="dxa"/>
            <w:tcBorders>
              <w:left w:val="single" w:sz="12" w:space="0" w:color="auto"/>
              <w:right w:val="single" w:sz="12" w:space="0" w:color="auto"/>
            </w:tcBorders>
          </w:tcPr>
          <w:p w14:paraId="7AAD54EB"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Pictures</w:t>
            </w:r>
          </w:p>
        </w:tc>
        <w:tc>
          <w:tcPr>
            <w:tcW w:w="1560" w:type="dxa"/>
            <w:tcBorders>
              <w:left w:val="single" w:sz="12" w:space="0" w:color="auto"/>
              <w:right w:val="single" w:sz="12" w:space="0" w:color="auto"/>
            </w:tcBorders>
          </w:tcPr>
          <w:p w14:paraId="669FC2F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417" w:type="dxa"/>
            <w:tcBorders>
              <w:left w:val="single" w:sz="12" w:space="0" w:color="auto"/>
              <w:right w:val="single" w:sz="12" w:space="0" w:color="auto"/>
            </w:tcBorders>
          </w:tcPr>
          <w:p w14:paraId="1A085B6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1559" w:type="dxa"/>
            <w:tcBorders>
              <w:left w:val="single" w:sz="12" w:space="0" w:color="auto"/>
              <w:right w:val="single" w:sz="12" w:space="0" w:color="auto"/>
            </w:tcBorders>
          </w:tcPr>
          <w:p w14:paraId="4DA80D3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right w:val="single" w:sz="12" w:space="0" w:color="auto"/>
            </w:tcBorders>
          </w:tcPr>
          <w:p w14:paraId="430F955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780EC7AF" w14:textId="77777777" w:rsidTr="005322D8">
        <w:trPr>
          <w:trHeight w:val="300"/>
        </w:trPr>
        <w:tc>
          <w:tcPr>
            <w:tcW w:w="2820" w:type="dxa"/>
            <w:tcBorders>
              <w:left w:val="single" w:sz="12" w:space="0" w:color="auto"/>
              <w:right w:val="single" w:sz="12" w:space="0" w:color="auto"/>
            </w:tcBorders>
          </w:tcPr>
          <w:p w14:paraId="0AB41E93"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Weapons</w:t>
            </w:r>
          </w:p>
        </w:tc>
        <w:tc>
          <w:tcPr>
            <w:tcW w:w="1560" w:type="dxa"/>
            <w:tcBorders>
              <w:left w:val="single" w:sz="12" w:space="0" w:color="auto"/>
              <w:right w:val="single" w:sz="12" w:space="0" w:color="auto"/>
            </w:tcBorders>
          </w:tcPr>
          <w:p w14:paraId="3B059EB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1417" w:type="dxa"/>
            <w:tcBorders>
              <w:left w:val="single" w:sz="12" w:space="0" w:color="auto"/>
              <w:right w:val="single" w:sz="12" w:space="0" w:color="auto"/>
            </w:tcBorders>
          </w:tcPr>
          <w:p w14:paraId="61A64D2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1559" w:type="dxa"/>
            <w:tcBorders>
              <w:left w:val="single" w:sz="12" w:space="0" w:color="auto"/>
              <w:right w:val="single" w:sz="12" w:space="0" w:color="auto"/>
            </w:tcBorders>
          </w:tcPr>
          <w:p w14:paraId="43EAFBB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right w:val="single" w:sz="12" w:space="0" w:color="auto"/>
            </w:tcBorders>
          </w:tcPr>
          <w:p w14:paraId="28C7121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5C0F9C50" w14:textId="77777777" w:rsidTr="005322D8">
        <w:trPr>
          <w:trHeight w:val="300"/>
        </w:trPr>
        <w:tc>
          <w:tcPr>
            <w:tcW w:w="2820" w:type="dxa"/>
            <w:tcBorders>
              <w:left w:val="single" w:sz="12" w:space="0" w:color="auto"/>
              <w:bottom w:val="single" w:sz="12" w:space="0" w:color="auto"/>
              <w:right w:val="single" w:sz="12" w:space="0" w:color="auto"/>
            </w:tcBorders>
          </w:tcPr>
          <w:p w14:paraId="6A0F8D04"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Musical instruments</w:t>
            </w:r>
          </w:p>
        </w:tc>
        <w:tc>
          <w:tcPr>
            <w:tcW w:w="1560" w:type="dxa"/>
            <w:tcBorders>
              <w:left w:val="single" w:sz="12" w:space="0" w:color="auto"/>
              <w:bottom w:val="single" w:sz="12" w:space="0" w:color="auto"/>
              <w:right w:val="single" w:sz="12" w:space="0" w:color="auto"/>
            </w:tcBorders>
          </w:tcPr>
          <w:p w14:paraId="71A1C9D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417" w:type="dxa"/>
            <w:tcBorders>
              <w:left w:val="single" w:sz="12" w:space="0" w:color="auto"/>
              <w:bottom w:val="single" w:sz="12" w:space="0" w:color="auto"/>
              <w:right w:val="single" w:sz="12" w:space="0" w:color="auto"/>
            </w:tcBorders>
          </w:tcPr>
          <w:p w14:paraId="66C817F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559" w:type="dxa"/>
            <w:tcBorders>
              <w:left w:val="single" w:sz="12" w:space="0" w:color="auto"/>
              <w:bottom w:val="single" w:sz="12" w:space="0" w:color="auto"/>
              <w:right w:val="single" w:sz="12" w:space="0" w:color="auto"/>
            </w:tcBorders>
          </w:tcPr>
          <w:p w14:paraId="254C2BA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59" w:type="dxa"/>
            <w:tcBorders>
              <w:left w:val="single" w:sz="12" w:space="0" w:color="auto"/>
              <w:bottom w:val="single" w:sz="12" w:space="0" w:color="auto"/>
              <w:right w:val="single" w:sz="12" w:space="0" w:color="auto"/>
            </w:tcBorders>
          </w:tcPr>
          <w:p w14:paraId="7634A0F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bl>
    <w:p w14:paraId="5DEC83A6" w14:textId="77777777" w:rsidR="00482812" w:rsidRPr="00482812" w:rsidRDefault="00482812" w:rsidP="00482812">
      <w:pPr>
        <w:jc w:val="center"/>
        <w:rPr>
          <w:rFonts w:cs="Calibri"/>
        </w:rPr>
      </w:pPr>
    </w:p>
    <w:p w14:paraId="5583684C" w14:textId="4B2F94E8" w:rsidR="00482812" w:rsidRPr="00482812" w:rsidRDefault="00482812" w:rsidP="00482812">
      <w:pPr>
        <w:jc w:val="center"/>
        <w:rPr>
          <w:rFonts w:cs="Calibri"/>
        </w:rPr>
      </w:pPr>
      <w:r w:rsidRPr="00482812">
        <w:rPr>
          <w:rFonts w:cs="Calibri"/>
        </w:rPr>
        <w:t xml:space="preserve">Table 35 – </w:t>
      </w:r>
      <w:r w:rsidR="000C113A" w:rsidRPr="000C113A">
        <w:rPr>
          <w:rFonts w:cs="Calibri"/>
        </w:rPr>
        <w:t>Prevalence of</w:t>
      </w:r>
      <w:r w:rsidR="000C113A" w:rsidRPr="00482812">
        <w:rPr>
          <w:rFonts w:cs="Calibri"/>
        </w:rPr>
        <w:t xml:space="preserve"> different types of objects in</w:t>
      </w:r>
      <w:r w:rsidR="000C113A" w:rsidRPr="000C113A">
        <w:rPr>
          <w:rFonts w:cs="Calibri"/>
        </w:rPr>
        <w:t xml:space="preserve"> inventories within</w:t>
      </w:r>
      <w:r w:rsidR="000C113A" w:rsidRPr="00482812">
        <w:rPr>
          <w:rFonts w:cs="Calibri"/>
        </w:rPr>
        <w:t xml:space="preserve"> the Bolton-le-Sands and Prestbury wider survey</w:t>
      </w:r>
      <w:r w:rsidRPr="00482812">
        <w:rPr>
          <w:rFonts w:cs="Calibri"/>
        </w:rPr>
        <w:t>.</w:t>
      </w:r>
    </w:p>
    <w:p w14:paraId="2D450227" w14:textId="77777777" w:rsidR="00482812" w:rsidRPr="00482812" w:rsidRDefault="00482812" w:rsidP="00482812">
      <w:pPr>
        <w:jc w:val="both"/>
        <w:rPr>
          <w:rFonts w:cs="Calibri"/>
          <w:b/>
          <w:bCs/>
        </w:rPr>
      </w:pPr>
      <w:r w:rsidRPr="00482812">
        <w:rPr>
          <w:rFonts w:cs="Calibri"/>
        </w:rPr>
        <w:t xml:space="preserve">(‘Beds and bed furniture’ includes </w:t>
      </w:r>
      <w:proofErr w:type="spellStart"/>
      <w:r w:rsidRPr="00482812">
        <w:rPr>
          <w:rFonts w:cs="Calibri"/>
        </w:rPr>
        <w:t>bedstocks</w:t>
      </w:r>
      <w:proofErr w:type="spellEnd"/>
      <w:r w:rsidRPr="00482812">
        <w:rPr>
          <w:rFonts w:cs="Calibri"/>
        </w:rPr>
        <w:t>, bedsteads and mattresses referred to as ‘beds’ in this period. Mattress beds have not been differentiated from bed furniture because in some instances ‘bed’ is used to refer to the whole bed, rendering this impossible.</w:t>
      </w:r>
      <w:r w:rsidRPr="00482812">
        <w:rPr>
          <w:rFonts w:cs="Calibri"/>
          <w:b/>
          <w:bCs/>
        </w:rPr>
        <w:t xml:space="preserve"> ‘</w:t>
      </w:r>
      <w:r w:rsidRPr="00482812">
        <w:rPr>
          <w:rFonts w:cs="Calibri"/>
        </w:rPr>
        <w:t xml:space="preserve">Storage’ includes arks, coffers, chests and trunks, presses, </w:t>
      </w:r>
      <w:proofErr w:type="spellStart"/>
      <w:r w:rsidRPr="00482812">
        <w:rPr>
          <w:rFonts w:cs="Calibri"/>
        </w:rPr>
        <w:t>dishboards</w:t>
      </w:r>
      <w:proofErr w:type="spellEnd"/>
      <w:r w:rsidRPr="00482812">
        <w:rPr>
          <w:rFonts w:cs="Calibri"/>
        </w:rPr>
        <w:t xml:space="preserve"> and cupboards (including livery cupboards). ‘Earthenware’ includes all vessels referred to as ‘earthen’ in Bolton-le-Sands, but in Prestbury parish other items described as </w:t>
      </w:r>
      <w:proofErr w:type="spellStart"/>
      <w:r w:rsidRPr="00482812">
        <w:rPr>
          <w:rFonts w:cs="Calibri"/>
        </w:rPr>
        <w:t>Ticknall</w:t>
      </w:r>
      <w:proofErr w:type="spellEnd"/>
      <w:r w:rsidRPr="00482812">
        <w:rPr>
          <w:rFonts w:cs="Calibri"/>
        </w:rPr>
        <w:t xml:space="preserve"> ware, </w:t>
      </w:r>
      <w:proofErr w:type="spellStart"/>
      <w:r w:rsidRPr="00482812">
        <w:rPr>
          <w:rFonts w:cs="Calibri"/>
        </w:rPr>
        <w:t>Burslem</w:t>
      </w:r>
      <w:proofErr w:type="spellEnd"/>
      <w:r w:rsidRPr="00482812">
        <w:rPr>
          <w:rFonts w:cs="Calibri"/>
        </w:rPr>
        <w:t xml:space="preserve"> ware and white ware have also been included. These are discussed in greater detail below.</w:t>
      </w:r>
      <w:r w:rsidRPr="00482812">
        <w:rPr>
          <w:rFonts w:cs="Calibri"/>
          <w:b/>
          <w:bCs/>
        </w:rPr>
        <w:t xml:space="preserve"> ‘</w:t>
      </w:r>
      <w:r w:rsidRPr="00482812">
        <w:rPr>
          <w:rFonts w:cs="Calibri"/>
        </w:rPr>
        <w:t xml:space="preserve">Cooking pots / pans’ have only been counted where explicitly mentioned. Some may have been grouped by </w:t>
      </w:r>
      <w:proofErr w:type="spellStart"/>
      <w:r w:rsidRPr="00482812">
        <w:rPr>
          <w:rFonts w:cs="Calibri"/>
        </w:rPr>
        <w:t>appriasiers</w:t>
      </w:r>
      <w:proofErr w:type="spellEnd"/>
      <w:r w:rsidRPr="00482812">
        <w:rPr>
          <w:rFonts w:cs="Calibri"/>
        </w:rPr>
        <w:t xml:space="preserve"> with ‘brassware’, ‘ironware’ and ‘copper ware’, but this has never been assumed. ‘Basic cooking equipment’ refers to griddles, grid irons, trivets and </w:t>
      </w:r>
      <w:proofErr w:type="spellStart"/>
      <w:r w:rsidRPr="00482812">
        <w:rPr>
          <w:rFonts w:cs="Calibri"/>
        </w:rPr>
        <w:t>brandreths</w:t>
      </w:r>
      <w:proofErr w:type="spellEnd"/>
      <w:r w:rsidRPr="00482812">
        <w:rPr>
          <w:rFonts w:cs="Calibri"/>
        </w:rPr>
        <w:t xml:space="preserve"> placed directly in the fire during cooking, and spits and ‘</w:t>
      </w:r>
      <w:proofErr w:type="spellStart"/>
      <w:r w:rsidRPr="00482812">
        <w:rPr>
          <w:rFonts w:cs="Calibri"/>
        </w:rPr>
        <w:t>rackencrookes</w:t>
      </w:r>
      <w:proofErr w:type="spellEnd"/>
      <w:r w:rsidRPr="00482812">
        <w:rPr>
          <w:rFonts w:cs="Calibri"/>
        </w:rPr>
        <w:t xml:space="preserve">’ suspended over the fire, also used for </w:t>
      </w:r>
      <w:r w:rsidRPr="00482812">
        <w:rPr>
          <w:rFonts w:cs="Calibri"/>
        </w:rPr>
        <w:lastRenderedPageBreak/>
        <w:t>cooking.</w:t>
      </w:r>
      <w:r w:rsidRPr="00482812">
        <w:rPr>
          <w:rFonts w:cs="Calibri"/>
          <w:b/>
          <w:bCs/>
        </w:rPr>
        <w:t xml:space="preserve"> ‘</w:t>
      </w:r>
      <w:r w:rsidRPr="00482812">
        <w:rPr>
          <w:rFonts w:cs="Calibri"/>
        </w:rPr>
        <w:t>Cooking utensils’ includes smaller objects used directly in cooking and food preparation, including ladles, toasting irons, flesh forks and pestles and mortars.</w:t>
      </w:r>
      <w:r w:rsidRPr="00482812">
        <w:rPr>
          <w:rFonts w:cs="Calibri"/>
          <w:b/>
          <w:bCs/>
        </w:rPr>
        <w:t xml:space="preserve"> </w:t>
      </w:r>
      <w:r w:rsidRPr="00482812">
        <w:rPr>
          <w:rFonts w:cs="Calibri"/>
        </w:rPr>
        <w:t>‘Fire equipment’ includes bellows, tongs, grates, backstones and other tools used in managing the hearth for cooking and heating the home. Total numbers of inventories represented here have not been included because the diversity of different categories included makes this infeasible.)</w:t>
      </w:r>
    </w:p>
    <w:p w14:paraId="4B706424" w14:textId="77777777" w:rsidR="00482812" w:rsidRPr="00482812" w:rsidRDefault="00482812" w:rsidP="00482812">
      <w:pPr>
        <w:rPr>
          <w:rFonts w:cs="Calibri"/>
          <w:sz w:val="22"/>
          <w:szCs w:val="22"/>
        </w:rPr>
      </w:pPr>
      <w:r w:rsidRPr="00482812">
        <w:rPr>
          <w:rFonts w:cs="Calibri"/>
          <w:sz w:val="22"/>
          <w:szCs w:val="22"/>
        </w:rPr>
        <w:br w:type="page"/>
      </w:r>
    </w:p>
    <w:tbl>
      <w:tblPr>
        <w:tblStyle w:val="TableGrid16"/>
        <w:tblW w:w="9015" w:type="dxa"/>
        <w:tblLayout w:type="fixed"/>
        <w:tblLook w:val="06A0" w:firstRow="1" w:lastRow="0" w:firstColumn="1" w:lastColumn="0" w:noHBand="1" w:noVBand="1"/>
      </w:tblPr>
      <w:tblGrid>
        <w:gridCol w:w="2962"/>
        <w:gridCol w:w="2835"/>
        <w:gridCol w:w="3218"/>
      </w:tblGrid>
      <w:tr w:rsidR="00482812" w:rsidRPr="00482812" w14:paraId="6BD8F4A9" w14:textId="77777777" w:rsidTr="005322D8">
        <w:trPr>
          <w:trHeight w:val="300"/>
        </w:trPr>
        <w:tc>
          <w:tcPr>
            <w:tcW w:w="2962" w:type="dxa"/>
            <w:tcBorders>
              <w:top w:val="single" w:sz="12" w:space="0" w:color="auto"/>
              <w:left w:val="single" w:sz="12" w:space="0" w:color="auto"/>
              <w:bottom w:val="single" w:sz="12" w:space="0" w:color="auto"/>
              <w:right w:val="single" w:sz="12" w:space="0" w:color="auto"/>
            </w:tcBorders>
          </w:tcPr>
          <w:p w14:paraId="31BE87FB" w14:textId="77777777" w:rsidR="00482812" w:rsidRPr="00482812" w:rsidRDefault="00482812" w:rsidP="00482812">
            <w:pPr>
              <w:spacing w:after="0" w:line="240" w:lineRule="auto"/>
              <w:rPr>
                <w:sz w:val="22"/>
                <w:szCs w:val="22"/>
                <w:lang w:eastAsia="en-US"/>
              </w:rPr>
            </w:pPr>
          </w:p>
        </w:tc>
        <w:tc>
          <w:tcPr>
            <w:tcW w:w="2835" w:type="dxa"/>
            <w:tcBorders>
              <w:top w:val="single" w:sz="12" w:space="0" w:color="auto"/>
              <w:left w:val="single" w:sz="12" w:space="0" w:color="auto"/>
              <w:bottom w:val="single" w:sz="12" w:space="0" w:color="auto"/>
              <w:right w:val="single" w:sz="12" w:space="0" w:color="auto"/>
            </w:tcBorders>
          </w:tcPr>
          <w:p w14:paraId="757365EC"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Bolton-le-Sands</w:t>
            </w:r>
          </w:p>
        </w:tc>
        <w:tc>
          <w:tcPr>
            <w:tcW w:w="3218" w:type="dxa"/>
            <w:tcBorders>
              <w:top w:val="single" w:sz="12" w:space="0" w:color="auto"/>
              <w:left w:val="single" w:sz="12" w:space="0" w:color="auto"/>
              <w:bottom w:val="single" w:sz="12" w:space="0" w:color="auto"/>
              <w:right w:val="single" w:sz="12" w:space="0" w:color="auto"/>
            </w:tcBorders>
          </w:tcPr>
          <w:p w14:paraId="671A0259"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Prestbury</w:t>
            </w:r>
          </w:p>
        </w:tc>
      </w:tr>
      <w:tr w:rsidR="00482812" w:rsidRPr="00482812" w14:paraId="6AA8ABEE" w14:textId="77777777" w:rsidTr="005322D8">
        <w:trPr>
          <w:trHeight w:val="300"/>
        </w:trPr>
        <w:tc>
          <w:tcPr>
            <w:tcW w:w="2962" w:type="dxa"/>
            <w:tcBorders>
              <w:top w:val="single" w:sz="12" w:space="0" w:color="auto"/>
              <w:left w:val="single" w:sz="12" w:space="0" w:color="auto"/>
              <w:right w:val="single" w:sz="12" w:space="0" w:color="auto"/>
            </w:tcBorders>
          </w:tcPr>
          <w:p w14:paraId="7D2ED98C" w14:textId="77777777" w:rsidR="00482812" w:rsidRPr="00482812" w:rsidRDefault="00482812" w:rsidP="00482812">
            <w:pPr>
              <w:spacing w:after="0" w:line="240" w:lineRule="auto"/>
              <w:rPr>
                <w:sz w:val="22"/>
                <w:szCs w:val="22"/>
                <w:lang w:eastAsia="en-US"/>
              </w:rPr>
            </w:pPr>
            <w:r w:rsidRPr="00482812">
              <w:rPr>
                <w:sz w:val="22"/>
                <w:szCs w:val="22"/>
                <w:lang w:eastAsia="en-US"/>
              </w:rPr>
              <w:t>Basic Cooking Equipment</w:t>
            </w:r>
          </w:p>
        </w:tc>
        <w:tc>
          <w:tcPr>
            <w:tcW w:w="2835" w:type="dxa"/>
            <w:tcBorders>
              <w:top w:val="single" w:sz="12" w:space="0" w:color="auto"/>
              <w:left w:val="single" w:sz="12" w:space="0" w:color="auto"/>
              <w:right w:val="single" w:sz="12" w:space="0" w:color="auto"/>
            </w:tcBorders>
          </w:tcPr>
          <w:p w14:paraId="095CCE44"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47</w:t>
            </w:r>
          </w:p>
        </w:tc>
        <w:tc>
          <w:tcPr>
            <w:tcW w:w="3218" w:type="dxa"/>
            <w:tcBorders>
              <w:top w:val="single" w:sz="12" w:space="0" w:color="auto"/>
              <w:left w:val="single" w:sz="12" w:space="0" w:color="auto"/>
              <w:right w:val="single" w:sz="12" w:space="0" w:color="auto"/>
            </w:tcBorders>
          </w:tcPr>
          <w:p w14:paraId="4861CAAA"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9</w:t>
            </w:r>
          </w:p>
        </w:tc>
      </w:tr>
      <w:tr w:rsidR="00482812" w:rsidRPr="00482812" w14:paraId="15B49903" w14:textId="77777777" w:rsidTr="005322D8">
        <w:trPr>
          <w:trHeight w:val="300"/>
        </w:trPr>
        <w:tc>
          <w:tcPr>
            <w:tcW w:w="2962" w:type="dxa"/>
            <w:tcBorders>
              <w:left w:val="single" w:sz="12" w:space="0" w:color="auto"/>
              <w:right w:val="single" w:sz="12" w:space="0" w:color="auto"/>
            </w:tcBorders>
          </w:tcPr>
          <w:p w14:paraId="63D8B0EF"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Griddle</w:t>
            </w:r>
          </w:p>
        </w:tc>
        <w:tc>
          <w:tcPr>
            <w:tcW w:w="2835" w:type="dxa"/>
            <w:tcBorders>
              <w:left w:val="single" w:sz="12" w:space="0" w:color="auto"/>
              <w:right w:val="single" w:sz="12" w:space="0" w:color="auto"/>
            </w:tcBorders>
          </w:tcPr>
          <w:p w14:paraId="0B08BB1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26</w:t>
            </w:r>
          </w:p>
        </w:tc>
        <w:tc>
          <w:tcPr>
            <w:tcW w:w="3218" w:type="dxa"/>
            <w:tcBorders>
              <w:left w:val="single" w:sz="12" w:space="0" w:color="auto"/>
              <w:right w:val="single" w:sz="12" w:space="0" w:color="auto"/>
            </w:tcBorders>
          </w:tcPr>
          <w:p w14:paraId="68FEE56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3DBF45BA" w14:textId="77777777" w:rsidTr="005322D8">
        <w:trPr>
          <w:trHeight w:val="300"/>
        </w:trPr>
        <w:tc>
          <w:tcPr>
            <w:tcW w:w="2962" w:type="dxa"/>
            <w:tcBorders>
              <w:left w:val="single" w:sz="12" w:space="0" w:color="auto"/>
              <w:right w:val="single" w:sz="12" w:space="0" w:color="auto"/>
            </w:tcBorders>
          </w:tcPr>
          <w:p w14:paraId="4C5EB8B8"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Grid Iron</w:t>
            </w:r>
          </w:p>
        </w:tc>
        <w:tc>
          <w:tcPr>
            <w:tcW w:w="2835" w:type="dxa"/>
            <w:tcBorders>
              <w:left w:val="single" w:sz="12" w:space="0" w:color="auto"/>
              <w:right w:val="single" w:sz="12" w:space="0" w:color="auto"/>
            </w:tcBorders>
          </w:tcPr>
          <w:p w14:paraId="68E1404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12</w:t>
            </w:r>
          </w:p>
        </w:tc>
        <w:tc>
          <w:tcPr>
            <w:tcW w:w="3218" w:type="dxa"/>
            <w:tcBorders>
              <w:left w:val="single" w:sz="12" w:space="0" w:color="auto"/>
              <w:right w:val="single" w:sz="12" w:space="0" w:color="auto"/>
            </w:tcBorders>
          </w:tcPr>
          <w:p w14:paraId="246B26E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36C3A439" w14:textId="77777777" w:rsidTr="005322D8">
        <w:trPr>
          <w:trHeight w:val="300"/>
        </w:trPr>
        <w:tc>
          <w:tcPr>
            <w:tcW w:w="2962" w:type="dxa"/>
            <w:tcBorders>
              <w:left w:val="single" w:sz="12" w:space="0" w:color="auto"/>
              <w:right w:val="single" w:sz="12" w:space="0" w:color="auto"/>
            </w:tcBorders>
          </w:tcPr>
          <w:p w14:paraId="6DE2CF0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Brandreth</w:t>
            </w:r>
          </w:p>
        </w:tc>
        <w:tc>
          <w:tcPr>
            <w:tcW w:w="2835" w:type="dxa"/>
            <w:tcBorders>
              <w:left w:val="single" w:sz="12" w:space="0" w:color="auto"/>
              <w:right w:val="single" w:sz="12" w:space="0" w:color="auto"/>
            </w:tcBorders>
          </w:tcPr>
          <w:p w14:paraId="312E27C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24</w:t>
            </w:r>
          </w:p>
        </w:tc>
        <w:tc>
          <w:tcPr>
            <w:tcW w:w="3218" w:type="dxa"/>
            <w:tcBorders>
              <w:left w:val="single" w:sz="12" w:space="0" w:color="auto"/>
              <w:right w:val="single" w:sz="12" w:space="0" w:color="auto"/>
            </w:tcBorders>
          </w:tcPr>
          <w:p w14:paraId="52B9A38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0D4D1041" w14:textId="77777777" w:rsidTr="005322D8">
        <w:trPr>
          <w:trHeight w:val="300"/>
        </w:trPr>
        <w:tc>
          <w:tcPr>
            <w:tcW w:w="2962" w:type="dxa"/>
            <w:tcBorders>
              <w:left w:val="single" w:sz="12" w:space="0" w:color="auto"/>
              <w:right w:val="single" w:sz="12" w:space="0" w:color="auto"/>
            </w:tcBorders>
          </w:tcPr>
          <w:p w14:paraId="0A7FF64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Spit</w:t>
            </w:r>
          </w:p>
        </w:tc>
        <w:tc>
          <w:tcPr>
            <w:tcW w:w="2835" w:type="dxa"/>
            <w:tcBorders>
              <w:left w:val="single" w:sz="12" w:space="0" w:color="auto"/>
              <w:right w:val="single" w:sz="12" w:space="0" w:color="auto"/>
            </w:tcBorders>
          </w:tcPr>
          <w:p w14:paraId="6A18A86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11</w:t>
            </w:r>
          </w:p>
        </w:tc>
        <w:tc>
          <w:tcPr>
            <w:tcW w:w="3218" w:type="dxa"/>
            <w:tcBorders>
              <w:left w:val="single" w:sz="12" w:space="0" w:color="auto"/>
              <w:right w:val="single" w:sz="12" w:space="0" w:color="auto"/>
            </w:tcBorders>
          </w:tcPr>
          <w:p w14:paraId="4F01A61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5</w:t>
            </w:r>
          </w:p>
        </w:tc>
      </w:tr>
      <w:tr w:rsidR="00482812" w:rsidRPr="00482812" w14:paraId="1A4C8133" w14:textId="77777777" w:rsidTr="005322D8">
        <w:trPr>
          <w:trHeight w:val="300"/>
        </w:trPr>
        <w:tc>
          <w:tcPr>
            <w:tcW w:w="2962" w:type="dxa"/>
            <w:tcBorders>
              <w:left w:val="single" w:sz="12" w:space="0" w:color="auto"/>
              <w:right w:val="single" w:sz="12" w:space="0" w:color="auto"/>
            </w:tcBorders>
          </w:tcPr>
          <w:p w14:paraId="60754FEC"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w:t>
            </w:r>
            <w:proofErr w:type="spellStart"/>
            <w:r w:rsidRPr="00482812">
              <w:rPr>
                <w:b w:val="0"/>
                <w:bCs w:val="0"/>
                <w:sz w:val="22"/>
                <w:szCs w:val="22"/>
                <w:lang w:eastAsia="en-US"/>
              </w:rPr>
              <w:t>Rackencrooke</w:t>
            </w:r>
            <w:proofErr w:type="spellEnd"/>
          </w:p>
        </w:tc>
        <w:tc>
          <w:tcPr>
            <w:tcW w:w="2835" w:type="dxa"/>
            <w:tcBorders>
              <w:left w:val="single" w:sz="12" w:space="0" w:color="auto"/>
              <w:right w:val="single" w:sz="12" w:space="0" w:color="auto"/>
            </w:tcBorders>
          </w:tcPr>
          <w:p w14:paraId="0F88076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3218" w:type="dxa"/>
            <w:tcBorders>
              <w:left w:val="single" w:sz="12" w:space="0" w:color="auto"/>
              <w:right w:val="single" w:sz="12" w:space="0" w:color="auto"/>
            </w:tcBorders>
          </w:tcPr>
          <w:p w14:paraId="7091894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41DCFC79" w14:textId="77777777" w:rsidTr="005322D8">
        <w:trPr>
          <w:trHeight w:val="300"/>
        </w:trPr>
        <w:tc>
          <w:tcPr>
            <w:tcW w:w="2962" w:type="dxa"/>
            <w:tcBorders>
              <w:left w:val="single" w:sz="12" w:space="0" w:color="auto"/>
              <w:bottom w:val="single" w:sz="12" w:space="0" w:color="auto"/>
              <w:right w:val="single" w:sz="12" w:space="0" w:color="auto"/>
            </w:tcBorders>
          </w:tcPr>
          <w:p w14:paraId="040546B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Trivet</w:t>
            </w:r>
          </w:p>
        </w:tc>
        <w:tc>
          <w:tcPr>
            <w:tcW w:w="2835" w:type="dxa"/>
            <w:tcBorders>
              <w:left w:val="single" w:sz="12" w:space="0" w:color="auto"/>
              <w:bottom w:val="single" w:sz="12" w:space="0" w:color="auto"/>
              <w:right w:val="single" w:sz="12" w:space="0" w:color="auto"/>
            </w:tcBorders>
          </w:tcPr>
          <w:p w14:paraId="59759A8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bottom w:val="single" w:sz="12" w:space="0" w:color="auto"/>
              <w:right w:val="single" w:sz="12" w:space="0" w:color="auto"/>
            </w:tcBorders>
          </w:tcPr>
          <w:p w14:paraId="0FB585D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25AC3F6B" w14:textId="77777777" w:rsidTr="005322D8">
        <w:trPr>
          <w:trHeight w:val="300"/>
        </w:trPr>
        <w:tc>
          <w:tcPr>
            <w:tcW w:w="2962" w:type="dxa"/>
            <w:tcBorders>
              <w:top w:val="single" w:sz="12" w:space="0" w:color="auto"/>
              <w:left w:val="single" w:sz="12" w:space="0" w:color="auto"/>
              <w:right w:val="single" w:sz="12" w:space="0" w:color="auto"/>
            </w:tcBorders>
          </w:tcPr>
          <w:p w14:paraId="55CE8699" w14:textId="77777777" w:rsidR="00482812" w:rsidRPr="00482812" w:rsidRDefault="00482812" w:rsidP="00482812">
            <w:pPr>
              <w:spacing w:after="0" w:line="240" w:lineRule="auto"/>
              <w:rPr>
                <w:sz w:val="22"/>
                <w:szCs w:val="22"/>
                <w:lang w:eastAsia="en-US"/>
              </w:rPr>
            </w:pPr>
            <w:r w:rsidRPr="00482812">
              <w:rPr>
                <w:sz w:val="22"/>
                <w:szCs w:val="22"/>
                <w:lang w:eastAsia="en-US"/>
              </w:rPr>
              <w:t>Cooking Pots</w:t>
            </w:r>
          </w:p>
        </w:tc>
        <w:tc>
          <w:tcPr>
            <w:tcW w:w="2835" w:type="dxa"/>
            <w:tcBorders>
              <w:top w:val="single" w:sz="12" w:space="0" w:color="auto"/>
              <w:left w:val="single" w:sz="12" w:space="0" w:color="auto"/>
              <w:right w:val="single" w:sz="12" w:space="0" w:color="auto"/>
            </w:tcBorders>
          </w:tcPr>
          <w:p w14:paraId="6F0E70D9"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13</w:t>
            </w:r>
          </w:p>
        </w:tc>
        <w:tc>
          <w:tcPr>
            <w:tcW w:w="3218" w:type="dxa"/>
            <w:tcBorders>
              <w:top w:val="single" w:sz="12" w:space="0" w:color="auto"/>
              <w:left w:val="single" w:sz="12" w:space="0" w:color="auto"/>
              <w:right w:val="single" w:sz="12" w:space="0" w:color="auto"/>
            </w:tcBorders>
          </w:tcPr>
          <w:p w14:paraId="180C29CC"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43</w:t>
            </w:r>
          </w:p>
        </w:tc>
      </w:tr>
      <w:tr w:rsidR="00482812" w:rsidRPr="00482812" w14:paraId="076F4DE5" w14:textId="77777777" w:rsidTr="005322D8">
        <w:trPr>
          <w:trHeight w:val="300"/>
        </w:trPr>
        <w:tc>
          <w:tcPr>
            <w:tcW w:w="2962" w:type="dxa"/>
            <w:tcBorders>
              <w:left w:val="single" w:sz="12" w:space="0" w:color="auto"/>
              <w:right w:val="single" w:sz="12" w:space="0" w:color="auto"/>
            </w:tcBorders>
          </w:tcPr>
          <w:p w14:paraId="5C09AA36"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'Pot’ only</w:t>
            </w:r>
          </w:p>
        </w:tc>
        <w:tc>
          <w:tcPr>
            <w:tcW w:w="2835" w:type="dxa"/>
            <w:tcBorders>
              <w:left w:val="single" w:sz="12" w:space="0" w:color="auto"/>
              <w:right w:val="single" w:sz="12" w:space="0" w:color="auto"/>
            </w:tcBorders>
          </w:tcPr>
          <w:p w14:paraId="79D3B84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8</w:t>
            </w:r>
          </w:p>
        </w:tc>
        <w:tc>
          <w:tcPr>
            <w:tcW w:w="3218" w:type="dxa"/>
            <w:tcBorders>
              <w:left w:val="single" w:sz="12" w:space="0" w:color="auto"/>
              <w:right w:val="single" w:sz="12" w:space="0" w:color="auto"/>
            </w:tcBorders>
          </w:tcPr>
          <w:p w14:paraId="4A5058E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w:t>
            </w:r>
          </w:p>
        </w:tc>
      </w:tr>
      <w:tr w:rsidR="00482812" w:rsidRPr="00482812" w14:paraId="5D89574B" w14:textId="77777777" w:rsidTr="005322D8">
        <w:trPr>
          <w:trHeight w:val="300"/>
        </w:trPr>
        <w:tc>
          <w:tcPr>
            <w:tcW w:w="2962" w:type="dxa"/>
            <w:tcBorders>
              <w:left w:val="single" w:sz="12" w:space="0" w:color="auto"/>
              <w:right w:val="single" w:sz="12" w:space="0" w:color="auto"/>
            </w:tcBorders>
          </w:tcPr>
          <w:p w14:paraId="540BF19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Material specified</w:t>
            </w:r>
          </w:p>
        </w:tc>
        <w:tc>
          <w:tcPr>
            <w:tcW w:w="2835" w:type="dxa"/>
            <w:tcBorders>
              <w:left w:val="single" w:sz="12" w:space="0" w:color="auto"/>
              <w:right w:val="single" w:sz="12" w:space="0" w:color="auto"/>
            </w:tcBorders>
          </w:tcPr>
          <w:p w14:paraId="69408F9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w:t>
            </w:r>
          </w:p>
        </w:tc>
        <w:tc>
          <w:tcPr>
            <w:tcW w:w="3218" w:type="dxa"/>
            <w:tcBorders>
              <w:left w:val="single" w:sz="12" w:space="0" w:color="auto"/>
              <w:right w:val="single" w:sz="12" w:space="0" w:color="auto"/>
            </w:tcBorders>
          </w:tcPr>
          <w:p w14:paraId="6CD25EB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35</w:t>
            </w:r>
          </w:p>
        </w:tc>
      </w:tr>
      <w:tr w:rsidR="00482812" w:rsidRPr="00482812" w14:paraId="792A10C1" w14:textId="77777777" w:rsidTr="005322D8">
        <w:trPr>
          <w:trHeight w:val="300"/>
        </w:trPr>
        <w:tc>
          <w:tcPr>
            <w:tcW w:w="2962" w:type="dxa"/>
            <w:tcBorders>
              <w:left w:val="single" w:sz="12" w:space="0" w:color="auto"/>
              <w:right w:val="single" w:sz="12" w:space="0" w:color="auto"/>
            </w:tcBorders>
          </w:tcPr>
          <w:p w14:paraId="78E6C1F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Iron pot</w:t>
            </w:r>
          </w:p>
        </w:tc>
        <w:tc>
          <w:tcPr>
            <w:tcW w:w="2835" w:type="dxa"/>
            <w:tcBorders>
              <w:left w:val="single" w:sz="12" w:space="0" w:color="auto"/>
              <w:right w:val="single" w:sz="12" w:space="0" w:color="auto"/>
            </w:tcBorders>
          </w:tcPr>
          <w:p w14:paraId="47AC2C3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3218" w:type="dxa"/>
            <w:tcBorders>
              <w:left w:val="single" w:sz="12" w:space="0" w:color="auto"/>
              <w:right w:val="single" w:sz="12" w:space="0" w:color="auto"/>
            </w:tcBorders>
          </w:tcPr>
          <w:p w14:paraId="332A4F1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26</w:t>
            </w:r>
          </w:p>
        </w:tc>
      </w:tr>
      <w:tr w:rsidR="00482812" w:rsidRPr="00482812" w14:paraId="2EDFB69D" w14:textId="77777777" w:rsidTr="005322D8">
        <w:trPr>
          <w:trHeight w:val="300"/>
        </w:trPr>
        <w:tc>
          <w:tcPr>
            <w:tcW w:w="2962" w:type="dxa"/>
            <w:tcBorders>
              <w:left w:val="single" w:sz="12" w:space="0" w:color="auto"/>
              <w:right w:val="single" w:sz="12" w:space="0" w:color="auto"/>
            </w:tcBorders>
          </w:tcPr>
          <w:p w14:paraId="5DD1BAA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Brass pot</w:t>
            </w:r>
          </w:p>
        </w:tc>
        <w:tc>
          <w:tcPr>
            <w:tcW w:w="2835" w:type="dxa"/>
            <w:tcBorders>
              <w:left w:val="single" w:sz="12" w:space="0" w:color="auto"/>
              <w:right w:val="single" w:sz="12" w:space="0" w:color="auto"/>
            </w:tcBorders>
          </w:tcPr>
          <w:p w14:paraId="51F3040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3218" w:type="dxa"/>
            <w:tcBorders>
              <w:left w:val="single" w:sz="12" w:space="0" w:color="auto"/>
              <w:right w:val="single" w:sz="12" w:space="0" w:color="auto"/>
            </w:tcBorders>
          </w:tcPr>
          <w:p w14:paraId="72EDFBB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20</w:t>
            </w:r>
          </w:p>
        </w:tc>
      </w:tr>
      <w:tr w:rsidR="00482812" w:rsidRPr="00482812" w14:paraId="71C9D319" w14:textId="77777777" w:rsidTr="005322D8">
        <w:trPr>
          <w:trHeight w:val="300"/>
        </w:trPr>
        <w:tc>
          <w:tcPr>
            <w:tcW w:w="2962" w:type="dxa"/>
            <w:tcBorders>
              <w:left w:val="single" w:sz="12" w:space="0" w:color="auto"/>
              <w:right w:val="single" w:sz="12" w:space="0" w:color="auto"/>
            </w:tcBorders>
          </w:tcPr>
          <w:p w14:paraId="576D71FC"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Pewter pot</w:t>
            </w:r>
          </w:p>
        </w:tc>
        <w:tc>
          <w:tcPr>
            <w:tcW w:w="2835" w:type="dxa"/>
            <w:tcBorders>
              <w:left w:val="single" w:sz="12" w:space="0" w:color="auto"/>
              <w:right w:val="single" w:sz="12" w:space="0" w:color="auto"/>
            </w:tcBorders>
          </w:tcPr>
          <w:p w14:paraId="1CBABF4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right w:val="single" w:sz="12" w:space="0" w:color="auto"/>
            </w:tcBorders>
          </w:tcPr>
          <w:p w14:paraId="4349658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1FD0F0E6" w14:textId="77777777" w:rsidTr="005322D8">
        <w:trPr>
          <w:trHeight w:val="300"/>
        </w:trPr>
        <w:tc>
          <w:tcPr>
            <w:tcW w:w="2962" w:type="dxa"/>
            <w:tcBorders>
              <w:left w:val="single" w:sz="12" w:space="0" w:color="auto"/>
              <w:right w:val="single" w:sz="12" w:space="0" w:color="auto"/>
            </w:tcBorders>
          </w:tcPr>
          <w:p w14:paraId="66B4501B"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Lead pot</w:t>
            </w:r>
          </w:p>
        </w:tc>
        <w:tc>
          <w:tcPr>
            <w:tcW w:w="2835" w:type="dxa"/>
            <w:tcBorders>
              <w:left w:val="single" w:sz="12" w:space="0" w:color="auto"/>
              <w:right w:val="single" w:sz="12" w:space="0" w:color="auto"/>
            </w:tcBorders>
          </w:tcPr>
          <w:p w14:paraId="2E71F68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right w:val="single" w:sz="12" w:space="0" w:color="auto"/>
            </w:tcBorders>
          </w:tcPr>
          <w:p w14:paraId="650C316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78C1E74F" w14:textId="77777777" w:rsidTr="005322D8">
        <w:trPr>
          <w:trHeight w:val="300"/>
        </w:trPr>
        <w:tc>
          <w:tcPr>
            <w:tcW w:w="2962" w:type="dxa"/>
            <w:tcBorders>
              <w:left w:val="single" w:sz="12" w:space="0" w:color="auto"/>
              <w:right w:val="single" w:sz="12" w:space="0" w:color="auto"/>
            </w:tcBorders>
          </w:tcPr>
          <w:p w14:paraId="2DB67A4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Purpose specified</w:t>
            </w:r>
          </w:p>
        </w:tc>
        <w:tc>
          <w:tcPr>
            <w:tcW w:w="2835" w:type="dxa"/>
            <w:tcBorders>
              <w:left w:val="single" w:sz="12" w:space="0" w:color="auto"/>
              <w:right w:val="single" w:sz="12" w:space="0" w:color="auto"/>
            </w:tcBorders>
          </w:tcPr>
          <w:p w14:paraId="4C7DBDA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3218" w:type="dxa"/>
            <w:tcBorders>
              <w:left w:val="single" w:sz="12" w:space="0" w:color="auto"/>
              <w:right w:val="single" w:sz="12" w:space="0" w:color="auto"/>
            </w:tcBorders>
          </w:tcPr>
          <w:p w14:paraId="0EE16A9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7085CA25" w14:textId="77777777" w:rsidTr="005322D8">
        <w:trPr>
          <w:trHeight w:val="300"/>
        </w:trPr>
        <w:tc>
          <w:tcPr>
            <w:tcW w:w="2962" w:type="dxa"/>
            <w:tcBorders>
              <w:left w:val="single" w:sz="12" w:space="0" w:color="auto"/>
              <w:right w:val="single" w:sz="12" w:space="0" w:color="auto"/>
            </w:tcBorders>
          </w:tcPr>
          <w:p w14:paraId="41D3A91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Posset pot</w:t>
            </w:r>
          </w:p>
        </w:tc>
        <w:tc>
          <w:tcPr>
            <w:tcW w:w="2835" w:type="dxa"/>
            <w:tcBorders>
              <w:left w:val="single" w:sz="12" w:space="0" w:color="auto"/>
              <w:right w:val="single" w:sz="12" w:space="0" w:color="auto"/>
            </w:tcBorders>
          </w:tcPr>
          <w:p w14:paraId="700B176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right w:val="single" w:sz="12" w:space="0" w:color="auto"/>
            </w:tcBorders>
          </w:tcPr>
          <w:p w14:paraId="748D6C6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7D3531A3" w14:textId="77777777" w:rsidTr="005322D8">
        <w:trPr>
          <w:trHeight w:val="300"/>
        </w:trPr>
        <w:tc>
          <w:tcPr>
            <w:tcW w:w="2962" w:type="dxa"/>
            <w:tcBorders>
              <w:left w:val="single" w:sz="12" w:space="0" w:color="auto"/>
              <w:right w:val="single" w:sz="12" w:space="0" w:color="auto"/>
            </w:tcBorders>
          </w:tcPr>
          <w:p w14:paraId="57A8D5F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Pie pot</w:t>
            </w:r>
          </w:p>
        </w:tc>
        <w:tc>
          <w:tcPr>
            <w:tcW w:w="2835" w:type="dxa"/>
            <w:tcBorders>
              <w:left w:val="single" w:sz="12" w:space="0" w:color="auto"/>
              <w:right w:val="single" w:sz="12" w:space="0" w:color="auto"/>
            </w:tcBorders>
          </w:tcPr>
          <w:p w14:paraId="03254D8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3218" w:type="dxa"/>
            <w:tcBorders>
              <w:left w:val="single" w:sz="12" w:space="0" w:color="auto"/>
              <w:right w:val="single" w:sz="12" w:space="0" w:color="auto"/>
            </w:tcBorders>
          </w:tcPr>
          <w:p w14:paraId="491D1ED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222A5B68" w14:textId="77777777" w:rsidTr="005322D8">
        <w:trPr>
          <w:trHeight w:val="300"/>
        </w:trPr>
        <w:tc>
          <w:tcPr>
            <w:tcW w:w="2962" w:type="dxa"/>
            <w:tcBorders>
              <w:left w:val="single" w:sz="12" w:space="0" w:color="auto"/>
              <w:bottom w:val="single" w:sz="12" w:space="0" w:color="auto"/>
              <w:right w:val="single" w:sz="12" w:space="0" w:color="auto"/>
            </w:tcBorders>
          </w:tcPr>
          <w:p w14:paraId="7CBE440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w:t>
            </w:r>
            <w:proofErr w:type="spellStart"/>
            <w:r w:rsidRPr="00482812">
              <w:rPr>
                <w:b w:val="0"/>
                <w:bCs w:val="0"/>
                <w:sz w:val="22"/>
                <w:szCs w:val="22"/>
                <w:lang w:eastAsia="en-US"/>
              </w:rPr>
              <w:t>Possnet</w:t>
            </w:r>
            <w:proofErr w:type="spellEnd"/>
          </w:p>
        </w:tc>
        <w:tc>
          <w:tcPr>
            <w:tcW w:w="2835" w:type="dxa"/>
            <w:tcBorders>
              <w:left w:val="single" w:sz="12" w:space="0" w:color="auto"/>
              <w:bottom w:val="single" w:sz="12" w:space="0" w:color="auto"/>
              <w:right w:val="single" w:sz="12" w:space="0" w:color="auto"/>
            </w:tcBorders>
          </w:tcPr>
          <w:p w14:paraId="2A43DC1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3218" w:type="dxa"/>
            <w:tcBorders>
              <w:left w:val="single" w:sz="12" w:space="0" w:color="auto"/>
              <w:bottom w:val="single" w:sz="12" w:space="0" w:color="auto"/>
              <w:right w:val="single" w:sz="12" w:space="0" w:color="auto"/>
            </w:tcBorders>
          </w:tcPr>
          <w:p w14:paraId="085E3BD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6D637666" w14:textId="77777777" w:rsidTr="005322D8">
        <w:trPr>
          <w:trHeight w:val="300"/>
        </w:trPr>
        <w:tc>
          <w:tcPr>
            <w:tcW w:w="2962" w:type="dxa"/>
            <w:tcBorders>
              <w:top w:val="single" w:sz="12" w:space="0" w:color="auto"/>
              <w:left w:val="single" w:sz="12" w:space="0" w:color="auto"/>
              <w:right w:val="single" w:sz="12" w:space="0" w:color="auto"/>
            </w:tcBorders>
          </w:tcPr>
          <w:p w14:paraId="4E017661" w14:textId="77777777" w:rsidR="00482812" w:rsidRPr="00482812" w:rsidRDefault="00482812" w:rsidP="00482812">
            <w:pPr>
              <w:spacing w:after="0" w:line="240" w:lineRule="auto"/>
              <w:rPr>
                <w:sz w:val="22"/>
                <w:szCs w:val="22"/>
                <w:lang w:eastAsia="en-US"/>
              </w:rPr>
            </w:pPr>
            <w:r w:rsidRPr="00482812">
              <w:rPr>
                <w:sz w:val="22"/>
                <w:szCs w:val="22"/>
                <w:lang w:eastAsia="en-US"/>
              </w:rPr>
              <w:t>Cooking Pans</w:t>
            </w:r>
          </w:p>
        </w:tc>
        <w:tc>
          <w:tcPr>
            <w:tcW w:w="2835" w:type="dxa"/>
            <w:tcBorders>
              <w:top w:val="single" w:sz="12" w:space="0" w:color="auto"/>
              <w:left w:val="single" w:sz="12" w:space="0" w:color="auto"/>
              <w:right w:val="single" w:sz="12" w:space="0" w:color="auto"/>
            </w:tcBorders>
          </w:tcPr>
          <w:p w14:paraId="292739A9"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22</w:t>
            </w:r>
          </w:p>
        </w:tc>
        <w:tc>
          <w:tcPr>
            <w:tcW w:w="3218" w:type="dxa"/>
            <w:tcBorders>
              <w:top w:val="single" w:sz="12" w:space="0" w:color="auto"/>
              <w:left w:val="single" w:sz="12" w:space="0" w:color="auto"/>
              <w:right w:val="single" w:sz="12" w:space="0" w:color="auto"/>
            </w:tcBorders>
          </w:tcPr>
          <w:p w14:paraId="60DBDAB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36</w:t>
            </w:r>
          </w:p>
        </w:tc>
      </w:tr>
      <w:tr w:rsidR="00482812" w:rsidRPr="00482812" w14:paraId="2A2CBDCD" w14:textId="77777777" w:rsidTr="005322D8">
        <w:trPr>
          <w:trHeight w:val="300"/>
        </w:trPr>
        <w:tc>
          <w:tcPr>
            <w:tcW w:w="2962" w:type="dxa"/>
            <w:tcBorders>
              <w:left w:val="single" w:sz="12" w:space="0" w:color="auto"/>
              <w:right w:val="single" w:sz="12" w:space="0" w:color="auto"/>
            </w:tcBorders>
          </w:tcPr>
          <w:p w14:paraId="1BC21CEB"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‘Pan’ only</w:t>
            </w:r>
          </w:p>
        </w:tc>
        <w:tc>
          <w:tcPr>
            <w:tcW w:w="2835" w:type="dxa"/>
            <w:tcBorders>
              <w:left w:val="single" w:sz="12" w:space="0" w:color="auto"/>
              <w:right w:val="single" w:sz="12" w:space="0" w:color="auto"/>
            </w:tcBorders>
          </w:tcPr>
          <w:p w14:paraId="00DC329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8</w:t>
            </w:r>
          </w:p>
        </w:tc>
        <w:tc>
          <w:tcPr>
            <w:tcW w:w="3218" w:type="dxa"/>
            <w:tcBorders>
              <w:left w:val="single" w:sz="12" w:space="0" w:color="auto"/>
              <w:right w:val="single" w:sz="12" w:space="0" w:color="auto"/>
            </w:tcBorders>
          </w:tcPr>
          <w:p w14:paraId="1A8CE4A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w:t>
            </w:r>
          </w:p>
        </w:tc>
      </w:tr>
      <w:tr w:rsidR="00482812" w:rsidRPr="00482812" w14:paraId="7CDE63B5" w14:textId="77777777" w:rsidTr="005322D8">
        <w:trPr>
          <w:trHeight w:val="300"/>
        </w:trPr>
        <w:tc>
          <w:tcPr>
            <w:tcW w:w="2962" w:type="dxa"/>
            <w:tcBorders>
              <w:left w:val="single" w:sz="12" w:space="0" w:color="auto"/>
              <w:right w:val="single" w:sz="12" w:space="0" w:color="auto"/>
            </w:tcBorders>
          </w:tcPr>
          <w:p w14:paraId="117A2C5E"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Material specified</w:t>
            </w:r>
          </w:p>
        </w:tc>
        <w:tc>
          <w:tcPr>
            <w:tcW w:w="2835" w:type="dxa"/>
            <w:tcBorders>
              <w:left w:val="single" w:sz="12" w:space="0" w:color="auto"/>
              <w:right w:val="single" w:sz="12" w:space="0" w:color="auto"/>
            </w:tcBorders>
          </w:tcPr>
          <w:p w14:paraId="1704C78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c>
          <w:tcPr>
            <w:tcW w:w="3218" w:type="dxa"/>
            <w:tcBorders>
              <w:left w:val="single" w:sz="12" w:space="0" w:color="auto"/>
              <w:right w:val="single" w:sz="12" w:space="0" w:color="auto"/>
            </w:tcBorders>
          </w:tcPr>
          <w:p w14:paraId="2D67A98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11</w:t>
            </w:r>
          </w:p>
        </w:tc>
      </w:tr>
      <w:tr w:rsidR="00482812" w:rsidRPr="00482812" w14:paraId="71B38D9F" w14:textId="77777777" w:rsidTr="005322D8">
        <w:trPr>
          <w:trHeight w:val="300"/>
        </w:trPr>
        <w:tc>
          <w:tcPr>
            <w:tcW w:w="2962" w:type="dxa"/>
            <w:tcBorders>
              <w:left w:val="single" w:sz="12" w:space="0" w:color="auto"/>
              <w:right w:val="single" w:sz="12" w:space="0" w:color="auto"/>
            </w:tcBorders>
          </w:tcPr>
          <w:p w14:paraId="7AA414E4"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Brass pan</w:t>
            </w:r>
          </w:p>
        </w:tc>
        <w:tc>
          <w:tcPr>
            <w:tcW w:w="2835" w:type="dxa"/>
            <w:tcBorders>
              <w:left w:val="single" w:sz="12" w:space="0" w:color="auto"/>
              <w:right w:val="single" w:sz="12" w:space="0" w:color="auto"/>
            </w:tcBorders>
          </w:tcPr>
          <w:p w14:paraId="03C27A4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3218" w:type="dxa"/>
            <w:tcBorders>
              <w:left w:val="single" w:sz="12" w:space="0" w:color="auto"/>
              <w:right w:val="single" w:sz="12" w:space="0" w:color="auto"/>
            </w:tcBorders>
          </w:tcPr>
          <w:p w14:paraId="56D9844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12</w:t>
            </w:r>
          </w:p>
        </w:tc>
      </w:tr>
      <w:tr w:rsidR="00482812" w:rsidRPr="00482812" w14:paraId="6803A424" w14:textId="77777777" w:rsidTr="005322D8">
        <w:trPr>
          <w:trHeight w:val="300"/>
        </w:trPr>
        <w:tc>
          <w:tcPr>
            <w:tcW w:w="2962" w:type="dxa"/>
            <w:tcBorders>
              <w:left w:val="single" w:sz="12" w:space="0" w:color="auto"/>
              <w:right w:val="single" w:sz="12" w:space="0" w:color="auto"/>
            </w:tcBorders>
          </w:tcPr>
          <w:p w14:paraId="104D0F1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Iron pan</w:t>
            </w:r>
          </w:p>
        </w:tc>
        <w:tc>
          <w:tcPr>
            <w:tcW w:w="2835" w:type="dxa"/>
            <w:tcBorders>
              <w:left w:val="single" w:sz="12" w:space="0" w:color="auto"/>
              <w:right w:val="single" w:sz="12" w:space="0" w:color="auto"/>
            </w:tcBorders>
          </w:tcPr>
          <w:p w14:paraId="7747ADD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3218" w:type="dxa"/>
            <w:tcBorders>
              <w:left w:val="single" w:sz="12" w:space="0" w:color="auto"/>
              <w:right w:val="single" w:sz="12" w:space="0" w:color="auto"/>
            </w:tcBorders>
          </w:tcPr>
          <w:p w14:paraId="13E58A9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3FD2AF47" w14:textId="77777777" w:rsidTr="005322D8">
        <w:trPr>
          <w:trHeight w:val="300"/>
        </w:trPr>
        <w:tc>
          <w:tcPr>
            <w:tcW w:w="2962" w:type="dxa"/>
            <w:tcBorders>
              <w:left w:val="single" w:sz="12" w:space="0" w:color="auto"/>
              <w:right w:val="single" w:sz="12" w:space="0" w:color="auto"/>
            </w:tcBorders>
          </w:tcPr>
          <w:p w14:paraId="6EBCE3A0"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Purpose specified</w:t>
            </w:r>
          </w:p>
        </w:tc>
        <w:tc>
          <w:tcPr>
            <w:tcW w:w="2835" w:type="dxa"/>
            <w:tcBorders>
              <w:left w:val="single" w:sz="12" w:space="0" w:color="auto"/>
              <w:right w:val="single" w:sz="12" w:space="0" w:color="auto"/>
            </w:tcBorders>
          </w:tcPr>
          <w:p w14:paraId="5F75563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16</w:t>
            </w:r>
          </w:p>
        </w:tc>
        <w:tc>
          <w:tcPr>
            <w:tcW w:w="3218" w:type="dxa"/>
            <w:tcBorders>
              <w:left w:val="single" w:sz="12" w:space="0" w:color="auto"/>
              <w:right w:val="single" w:sz="12" w:space="0" w:color="auto"/>
            </w:tcBorders>
          </w:tcPr>
          <w:p w14:paraId="3378E41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26</w:t>
            </w:r>
          </w:p>
        </w:tc>
      </w:tr>
      <w:tr w:rsidR="00482812" w:rsidRPr="00482812" w14:paraId="7811E470" w14:textId="77777777" w:rsidTr="005322D8">
        <w:trPr>
          <w:trHeight w:val="300"/>
        </w:trPr>
        <w:tc>
          <w:tcPr>
            <w:tcW w:w="2962" w:type="dxa"/>
            <w:tcBorders>
              <w:left w:val="single" w:sz="12" w:space="0" w:color="auto"/>
              <w:right w:val="single" w:sz="12" w:space="0" w:color="auto"/>
            </w:tcBorders>
          </w:tcPr>
          <w:p w14:paraId="109B12BC"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Frying pan</w:t>
            </w:r>
          </w:p>
        </w:tc>
        <w:tc>
          <w:tcPr>
            <w:tcW w:w="2835" w:type="dxa"/>
            <w:tcBorders>
              <w:left w:val="single" w:sz="12" w:space="0" w:color="auto"/>
              <w:right w:val="single" w:sz="12" w:space="0" w:color="auto"/>
            </w:tcBorders>
          </w:tcPr>
          <w:p w14:paraId="282A64E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15</w:t>
            </w:r>
          </w:p>
        </w:tc>
        <w:tc>
          <w:tcPr>
            <w:tcW w:w="3218" w:type="dxa"/>
            <w:tcBorders>
              <w:left w:val="single" w:sz="12" w:space="0" w:color="auto"/>
              <w:right w:val="single" w:sz="12" w:space="0" w:color="auto"/>
            </w:tcBorders>
          </w:tcPr>
          <w:p w14:paraId="7D6DCB0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20</w:t>
            </w:r>
          </w:p>
        </w:tc>
      </w:tr>
      <w:tr w:rsidR="00482812" w:rsidRPr="00482812" w14:paraId="77C7DC94" w14:textId="77777777" w:rsidTr="005322D8">
        <w:trPr>
          <w:trHeight w:val="300"/>
        </w:trPr>
        <w:tc>
          <w:tcPr>
            <w:tcW w:w="2962" w:type="dxa"/>
            <w:tcBorders>
              <w:left w:val="single" w:sz="12" w:space="0" w:color="auto"/>
              <w:right w:val="single" w:sz="12" w:space="0" w:color="auto"/>
            </w:tcBorders>
          </w:tcPr>
          <w:p w14:paraId="61759F49"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Dripping pan</w:t>
            </w:r>
          </w:p>
        </w:tc>
        <w:tc>
          <w:tcPr>
            <w:tcW w:w="2835" w:type="dxa"/>
            <w:tcBorders>
              <w:left w:val="single" w:sz="12" w:space="0" w:color="auto"/>
              <w:right w:val="single" w:sz="12" w:space="0" w:color="auto"/>
            </w:tcBorders>
          </w:tcPr>
          <w:p w14:paraId="786CA46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3218" w:type="dxa"/>
            <w:tcBorders>
              <w:left w:val="single" w:sz="12" w:space="0" w:color="auto"/>
              <w:right w:val="single" w:sz="12" w:space="0" w:color="auto"/>
            </w:tcBorders>
          </w:tcPr>
          <w:p w14:paraId="7AED2C4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w:t>
            </w:r>
          </w:p>
        </w:tc>
      </w:tr>
      <w:tr w:rsidR="00482812" w:rsidRPr="00482812" w14:paraId="75DF2EC8" w14:textId="77777777" w:rsidTr="005322D8">
        <w:trPr>
          <w:trHeight w:val="300"/>
        </w:trPr>
        <w:tc>
          <w:tcPr>
            <w:tcW w:w="2962" w:type="dxa"/>
            <w:tcBorders>
              <w:left w:val="single" w:sz="12" w:space="0" w:color="auto"/>
              <w:right w:val="single" w:sz="12" w:space="0" w:color="auto"/>
            </w:tcBorders>
          </w:tcPr>
          <w:p w14:paraId="49661CA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Saucepan</w:t>
            </w:r>
          </w:p>
        </w:tc>
        <w:tc>
          <w:tcPr>
            <w:tcW w:w="2835" w:type="dxa"/>
            <w:tcBorders>
              <w:left w:val="single" w:sz="12" w:space="0" w:color="auto"/>
              <w:right w:val="single" w:sz="12" w:space="0" w:color="auto"/>
            </w:tcBorders>
          </w:tcPr>
          <w:p w14:paraId="6D668C2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right w:val="single" w:sz="12" w:space="0" w:color="auto"/>
            </w:tcBorders>
          </w:tcPr>
          <w:p w14:paraId="121CCC8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w:t>
            </w:r>
          </w:p>
        </w:tc>
      </w:tr>
      <w:tr w:rsidR="00482812" w:rsidRPr="00482812" w14:paraId="086B6ACF" w14:textId="77777777" w:rsidTr="005322D8">
        <w:trPr>
          <w:trHeight w:val="300"/>
        </w:trPr>
        <w:tc>
          <w:tcPr>
            <w:tcW w:w="2962" w:type="dxa"/>
            <w:tcBorders>
              <w:left w:val="single" w:sz="12" w:space="0" w:color="auto"/>
              <w:right w:val="single" w:sz="12" w:space="0" w:color="auto"/>
            </w:tcBorders>
          </w:tcPr>
          <w:p w14:paraId="0E12A366"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Brewing pan</w:t>
            </w:r>
          </w:p>
        </w:tc>
        <w:tc>
          <w:tcPr>
            <w:tcW w:w="2835" w:type="dxa"/>
            <w:tcBorders>
              <w:left w:val="single" w:sz="12" w:space="0" w:color="auto"/>
              <w:right w:val="single" w:sz="12" w:space="0" w:color="auto"/>
            </w:tcBorders>
          </w:tcPr>
          <w:p w14:paraId="7C13338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right w:val="single" w:sz="12" w:space="0" w:color="auto"/>
            </w:tcBorders>
          </w:tcPr>
          <w:p w14:paraId="07ACBA1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167B3F45" w14:textId="77777777" w:rsidTr="005322D8">
        <w:trPr>
          <w:trHeight w:val="300"/>
        </w:trPr>
        <w:tc>
          <w:tcPr>
            <w:tcW w:w="2962" w:type="dxa"/>
            <w:tcBorders>
              <w:left w:val="single" w:sz="12" w:space="0" w:color="auto"/>
              <w:right w:val="single" w:sz="12" w:space="0" w:color="auto"/>
            </w:tcBorders>
          </w:tcPr>
          <w:p w14:paraId="1BED3D00"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Size specified</w:t>
            </w:r>
          </w:p>
        </w:tc>
        <w:tc>
          <w:tcPr>
            <w:tcW w:w="2835" w:type="dxa"/>
            <w:tcBorders>
              <w:left w:val="single" w:sz="12" w:space="0" w:color="auto"/>
              <w:right w:val="single" w:sz="12" w:space="0" w:color="auto"/>
            </w:tcBorders>
          </w:tcPr>
          <w:p w14:paraId="7749EC8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right w:val="single" w:sz="12" w:space="0" w:color="auto"/>
            </w:tcBorders>
          </w:tcPr>
          <w:p w14:paraId="6A032A5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7BE75136" w14:textId="77777777" w:rsidTr="005322D8">
        <w:trPr>
          <w:trHeight w:val="300"/>
        </w:trPr>
        <w:tc>
          <w:tcPr>
            <w:tcW w:w="2962" w:type="dxa"/>
            <w:tcBorders>
              <w:left w:val="single" w:sz="12" w:space="0" w:color="auto"/>
              <w:right w:val="single" w:sz="12" w:space="0" w:color="auto"/>
            </w:tcBorders>
          </w:tcPr>
          <w:p w14:paraId="1136E56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Little pan</w:t>
            </w:r>
          </w:p>
        </w:tc>
        <w:tc>
          <w:tcPr>
            <w:tcW w:w="2835" w:type="dxa"/>
            <w:tcBorders>
              <w:left w:val="single" w:sz="12" w:space="0" w:color="auto"/>
              <w:right w:val="single" w:sz="12" w:space="0" w:color="auto"/>
            </w:tcBorders>
          </w:tcPr>
          <w:p w14:paraId="020A6D4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right w:val="single" w:sz="12" w:space="0" w:color="auto"/>
            </w:tcBorders>
          </w:tcPr>
          <w:p w14:paraId="650E97E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2C606634" w14:textId="77777777" w:rsidTr="005322D8">
        <w:trPr>
          <w:trHeight w:val="300"/>
        </w:trPr>
        <w:tc>
          <w:tcPr>
            <w:tcW w:w="2962" w:type="dxa"/>
            <w:tcBorders>
              <w:left w:val="single" w:sz="12" w:space="0" w:color="auto"/>
              <w:bottom w:val="single" w:sz="12" w:space="0" w:color="auto"/>
              <w:right w:val="single" w:sz="12" w:space="0" w:color="auto"/>
            </w:tcBorders>
          </w:tcPr>
          <w:p w14:paraId="74238DF5"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Skillet</w:t>
            </w:r>
          </w:p>
        </w:tc>
        <w:tc>
          <w:tcPr>
            <w:tcW w:w="2835" w:type="dxa"/>
            <w:tcBorders>
              <w:left w:val="single" w:sz="12" w:space="0" w:color="auto"/>
              <w:bottom w:val="single" w:sz="12" w:space="0" w:color="auto"/>
              <w:right w:val="single" w:sz="12" w:space="0" w:color="auto"/>
            </w:tcBorders>
          </w:tcPr>
          <w:p w14:paraId="1309EE4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bottom w:val="single" w:sz="12" w:space="0" w:color="auto"/>
              <w:right w:val="single" w:sz="12" w:space="0" w:color="auto"/>
            </w:tcBorders>
          </w:tcPr>
          <w:p w14:paraId="7F06365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22</w:t>
            </w:r>
          </w:p>
        </w:tc>
      </w:tr>
      <w:tr w:rsidR="00482812" w:rsidRPr="00482812" w14:paraId="6ACA4C4F" w14:textId="77777777" w:rsidTr="005322D8">
        <w:trPr>
          <w:trHeight w:val="300"/>
        </w:trPr>
        <w:tc>
          <w:tcPr>
            <w:tcW w:w="2962" w:type="dxa"/>
            <w:tcBorders>
              <w:top w:val="single" w:sz="12" w:space="0" w:color="auto"/>
              <w:left w:val="single" w:sz="12" w:space="0" w:color="auto"/>
              <w:right w:val="single" w:sz="12" w:space="0" w:color="auto"/>
            </w:tcBorders>
          </w:tcPr>
          <w:p w14:paraId="093D9942" w14:textId="77777777" w:rsidR="00482812" w:rsidRPr="00482812" w:rsidRDefault="00482812" w:rsidP="00482812">
            <w:pPr>
              <w:spacing w:after="0" w:line="240" w:lineRule="auto"/>
              <w:rPr>
                <w:sz w:val="22"/>
                <w:szCs w:val="22"/>
                <w:lang w:eastAsia="en-US"/>
              </w:rPr>
            </w:pPr>
            <w:r w:rsidRPr="00482812">
              <w:rPr>
                <w:sz w:val="22"/>
                <w:szCs w:val="22"/>
                <w:lang w:eastAsia="en-US"/>
              </w:rPr>
              <w:t>Cooking Utensils</w:t>
            </w:r>
          </w:p>
        </w:tc>
        <w:tc>
          <w:tcPr>
            <w:tcW w:w="2835" w:type="dxa"/>
            <w:tcBorders>
              <w:top w:val="single" w:sz="12" w:space="0" w:color="auto"/>
              <w:left w:val="single" w:sz="12" w:space="0" w:color="auto"/>
              <w:right w:val="single" w:sz="12" w:space="0" w:color="auto"/>
            </w:tcBorders>
          </w:tcPr>
          <w:p w14:paraId="1B2D2D94"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4</w:t>
            </w:r>
          </w:p>
        </w:tc>
        <w:tc>
          <w:tcPr>
            <w:tcW w:w="3218" w:type="dxa"/>
            <w:tcBorders>
              <w:top w:val="single" w:sz="12" w:space="0" w:color="auto"/>
              <w:left w:val="single" w:sz="12" w:space="0" w:color="auto"/>
              <w:right w:val="single" w:sz="12" w:space="0" w:color="auto"/>
            </w:tcBorders>
          </w:tcPr>
          <w:p w14:paraId="2F3A4DE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25</w:t>
            </w:r>
          </w:p>
        </w:tc>
      </w:tr>
      <w:tr w:rsidR="00482812" w:rsidRPr="00482812" w14:paraId="341F2BA7" w14:textId="77777777" w:rsidTr="005322D8">
        <w:trPr>
          <w:trHeight w:val="300"/>
        </w:trPr>
        <w:tc>
          <w:tcPr>
            <w:tcW w:w="2962" w:type="dxa"/>
            <w:tcBorders>
              <w:left w:val="single" w:sz="12" w:space="0" w:color="auto"/>
              <w:right w:val="single" w:sz="12" w:space="0" w:color="auto"/>
            </w:tcBorders>
          </w:tcPr>
          <w:p w14:paraId="6DDE6CE8"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Kettle</w:t>
            </w:r>
          </w:p>
        </w:tc>
        <w:tc>
          <w:tcPr>
            <w:tcW w:w="2835" w:type="dxa"/>
            <w:tcBorders>
              <w:left w:val="single" w:sz="12" w:space="0" w:color="auto"/>
              <w:right w:val="single" w:sz="12" w:space="0" w:color="auto"/>
            </w:tcBorders>
          </w:tcPr>
          <w:p w14:paraId="0904E40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right w:val="single" w:sz="12" w:space="0" w:color="auto"/>
            </w:tcBorders>
          </w:tcPr>
          <w:p w14:paraId="1BAC17F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20</w:t>
            </w:r>
          </w:p>
        </w:tc>
      </w:tr>
      <w:tr w:rsidR="00482812" w:rsidRPr="00482812" w14:paraId="43B9DC91" w14:textId="77777777" w:rsidTr="005322D8">
        <w:trPr>
          <w:trHeight w:val="300"/>
        </w:trPr>
        <w:tc>
          <w:tcPr>
            <w:tcW w:w="2962" w:type="dxa"/>
            <w:tcBorders>
              <w:left w:val="single" w:sz="12" w:space="0" w:color="auto"/>
              <w:right w:val="single" w:sz="12" w:space="0" w:color="auto"/>
            </w:tcBorders>
          </w:tcPr>
          <w:p w14:paraId="2ADA7AD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Ladle</w:t>
            </w:r>
          </w:p>
        </w:tc>
        <w:tc>
          <w:tcPr>
            <w:tcW w:w="2835" w:type="dxa"/>
            <w:tcBorders>
              <w:left w:val="single" w:sz="12" w:space="0" w:color="auto"/>
              <w:right w:val="single" w:sz="12" w:space="0" w:color="auto"/>
            </w:tcBorders>
          </w:tcPr>
          <w:p w14:paraId="1AA837E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3218" w:type="dxa"/>
            <w:tcBorders>
              <w:left w:val="single" w:sz="12" w:space="0" w:color="auto"/>
              <w:right w:val="single" w:sz="12" w:space="0" w:color="auto"/>
            </w:tcBorders>
          </w:tcPr>
          <w:p w14:paraId="4275FEB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8</w:t>
            </w:r>
          </w:p>
        </w:tc>
      </w:tr>
      <w:tr w:rsidR="00482812" w:rsidRPr="00482812" w14:paraId="3069DFD7" w14:textId="77777777" w:rsidTr="005322D8">
        <w:trPr>
          <w:trHeight w:val="300"/>
        </w:trPr>
        <w:tc>
          <w:tcPr>
            <w:tcW w:w="2962" w:type="dxa"/>
            <w:tcBorders>
              <w:left w:val="single" w:sz="12" w:space="0" w:color="auto"/>
              <w:right w:val="single" w:sz="12" w:space="0" w:color="auto"/>
            </w:tcBorders>
          </w:tcPr>
          <w:p w14:paraId="4C4F8CF4"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Toasting / bread iron</w:t>
            </w:r>
          </w:p>
        </w:tc>
        <w:tc>
          <w:tcPr>
            <w:tcW w:w="2835" w:type="dxa"/>
            <w:tcBorders>
              <w:left w:val="single" w:sz="12" w:space="0" w:color="auto"/>
              <w:right w:val="single" w:sz="12" w:space="0" w:color="auto"/>
            </w:tcBorders>
          </w:tcPr>
          <w:p w14:paraId="22DF442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right w:val="single" w:sz="12" w:space="0" w:color="auto"/>
            </w:tcBorders>
          </w:tcPr>
          <w:p w14:paraId="6A46925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w:t>
            </w:r>
          </w:p>
        </w:tc>
      </w:tr>
      <w:tr w:rsidR="00482812" w:rsidRPr="00482812" w14:paraId="37489578" w14:textId="77777777" w:rsidTr="005322D8">
        <w:trPr>
          <w:trHeight w:val="300"/>
        </w:trPr>
        <w:tc>
          <w:tcPr>
            <w:tcW w:w="2962" w:type="dxa"/>
            <w:tcBorders>
              <w:left w:val="single" w:sz="12" w:space="0" w:color="auto"/>
              <w:right w:val="single" w:sz="12" w:space="0" w:color="auto"/>
            </w:tcBorders>
          </w:tcPr>
          <w:p w14:paraId="68BCFDB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Flesh fork</w:t>
            </w:r>
          </w:p>
        </w:tc>
        <w:tc>
          <w:tcPr>
            <w:tcW w:w="2835" w:type="dxa"/>
            <w:tcBorders>
              <w:left w:val="single" w:sz="12" w:space="0" w:color="auto"/>
              <w:right w:val="single" w:sz="12" w:space="0" w:color="auto"/>
            </w:tcBorders>
          </w:tcPr>
          <w:p w14:paraId="355E41A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218" w:type="dxa"/>
            <w:tcBorders>
              <w:left w:val="single" w:sz="12" w:space="0" w:color="auto"/>
              <w:right w:val="single" w:sz="12" w:space="0" w:color="auto"/>
            </w:tcBorders>
          </w:tcPr>
          <w:p w14:paraId="7C0A6EC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r>
      <w:tr w:rsidR="00482812" w:rsidRPr="00482812" w14:paraId="278C8D3E" w14:textId="77777777" w:rsidTr="005322D8">
        <w:trPr>
          <w:trHeight w:val="300"/>
        </w:trPr>
        <w:tc>
          <w:tcPr>
            <w:tcW w:w="2962" w:type="dxa"/>
            <w:tcBorders>
              <w:left w:val="single" w:sz="12" w:space="0" w:color="auto"/>
              <w:bottom w:val="single" w:sz="12" w:space="0" w:color="auto"/>
              <w:right w:val="single" w:sz="12" w:space="0" w:color="auto"/>
            </w:tcBorders>
          </w:tcPr>
          <w:p w14:paraId="769AFA0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Pestle and mortar</w:t>
            </w:r>
          </w:p>
        </w:tc>
        <w:tc>
          <w:tcPr>
            <w:tcW w:w="2835" w:type="dxa"/>
            <w:tcBorders>
              <w:left w:val="single" w:sz="12" w:space="0" w:color="auto"/>
              <w:bottom w:val="single" w:sz="12" w:space="0" w:color="auto"/>
              <w:right w:val="single" w:sz="12" w:space="0" w:color="auto"/>
            </w:tcBorders>
          </w:tcPr>
          <w:p w14:paraId="3276CBC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3218" w:type="dxa"/>
            <w:tcBorders>
              <w:left w:val="single" w:sz="12" w:space="0" w:color="auto"/>
              <w:bottom w:val="single" w:sz="12" w:space="0" w:color="auto"/>
              <w:right w:val="single" w:sz="12" w:space="0" w:color="auto"/>
            </w:tcBorders>
          </w:tcPr>
          <w:p w14:paraId="1274D7E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08EF97A3" w14:textId="77777777" w:rsidTr="005322D8">
        <w:trPr>
          <w:trHeight w:val="300"/>
        </w:trPr>
        <w:tc>
          <w:tcPr>
            <w:tcW w:w="2962" w:type="dxa"/>
            <w:tcBorders>
              <w:top w:val="single" w:sz="12" w:space="0" w:color="auto"/>
              <w:left w:val="single" w:sz="12" w:space="0" w:color="auto"/>
              <w:bottom w:val="single" w:sz="12" w:space="0" w:color="auto"/>
              <w:right w:val="single" w:sz="12" w:space="0" w:color="auto"/>
            </w:tcBorders>
          </w:tcPr>
          <w:p w14:paraId="56135DD0" w14:textId="77777777" w:rsidR="00482812" w:rsidRPr="00482812" w:rsidRDefault="00482812" w:rsidP="00482812">
            <w:pPr>
              <w:spacing w:after="0" w:line="240" w:lineRule="auto"/>
              <w:rPr>
                <w:sz w:val="22"/>
                <w:szCs w:val="22"/>
                <w:lang w:eastAsia="en-US"/>
              </w:rPr>
            </w:pPr>
            <w:r w:rsidRPr="00482812">
              <w:rPr>
                <w:sz w:val="22"/>
                <w:szCs w:val="22"/>
                <w:lang w:eastAsia="en-US"/>
              </w:rPr>
              <w:t>Total</w:t>
            </w:r>
          </w:p>
        </w:tc>
        <w:tc>
          <w:tcPr>
            <w:tcW w:w="2835" w:type="dxa"/>
            <w:tcBorders>
              <w:top w:val="single" w:sz="12" w:space="0" w:color="auto"/>
              <w:left w:val="single" w:sz="12" w:space="0" w:color="auto"/>
              <w:bottom w:val="single" w:sz="12" w:space="0" w:color="auto"/>
              <w:right w:val="single" w:sz="12" w:space="0" w:color="auto"/>
            </w:tcBorders>
          </w:tcPr>
          <w:p w14:paraId="4002C9AE"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58</w:t>
            </w:r>
          </w:p>
        </w:tc>
        <w:tc>
          <w:tcPr>
            <w:tcW w:w="3218" w:type="dxa"/>
            <w:tcBorders>
              <w:top w:val="single" w:sz="12" w:space="0" w:color="auto"/>
              <w:left w:val="single" w:sz="12" w:space="0" w:color="auto"/>
              <w:bottom w:val="single" w:sz="12" w:space="0" w:color="auto"/>
              <w:right w:val="single" w:sz="12" w:space="0" w:color="auto"/>
            </w:tcBorders>
          </w:tcPr>
          <w:p w14:paraId="45FFFF3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60</w:t>
            </w:r>
          </w:p>
        </w:tc>
      </w:tr>
    </w:tbl>
    <w:p w14:paraId="6A98FED6" w14:textId="77777777" w:rsidR="00482812" w:rsidRPr="00482812" w:rsidRDefault="00482812" w:rsidP="00482812">
      <w:pPr>
        <w:jc w:val="center"/>
        <w:rPr>
          <w:rFonts w:cs="Calibri"/>
        </w:rPr>
      </w:pPr>
    </w:p>
    <w:p w14:paraId="0A75418B" w14:textId="1B4506CE" w:rsidR="00482812" w:rsidRPr="00482812" w:rsidRDefault="00482812" w:rsidP="00482812">
      <w:pPr>
        <w:jc w:val="center"/>
        <w:rPr>
          <w:rFonts w:cs="Calibri"/>
        </w:rPr>
      </w:pPr>
      <w:r w:rsidRPr="00482812">
        <w:rPr>
          <w:rFonts w:cs="Calibri"/>
        </w:rPr>
        <w:t xml:space="preserve">Table 36 – </w:t>
      </w:r>
      <w:r w:rsidR="004950AC" w:rsidRPr="004950AC">
        <w:rPr>
          <w:rFonts w:cs="Calibri"/>
        </w:rPr>
        <w:t>Prevalence of</w:t>
      </w:r>
      <w:r w:rsidR="004950AC" w:rsidRPr="00482812">
        <w:rPr>
          <w:rFonts w:cs="Calibri"/>
        </w:rPr>
        <w:t xml:space="preserve"> different types of cooking equipment in </w:t>
      </w:r>
      <w:r w:rsidR="004950AC" w:rsidRPr="004950AC">
        <w:rPr>
          <w:rFonts w:cs="Calibri"/>
        </w:rPr>
        <w:t xml:space="preserve">inventories within </w:t>
      </w:r>
      <w:r w:rsidR="004950AC" w:rsidRPr="00482812">
        <w:rPr>
          <w:rFonts w:cs="Calibri"/>
        </w:rPr>
        <w:t>the Bolton-le-Sands and Prestbury wider survey</w:t>
      </w:r>
      <w:r w:rsidRPr="00482812">
        <w:rPr>
          <w:rFonts w:cs="Calibri"/>
        </w:rPr>
        <w:t>.</w:t>
      </w:r>
    </w:p>
    <w:p w14:paraId="4F603741" w14:textId="2DCE2554" w:rsidR="00482812" w:rsidRPr="00482812" w:rsidRDefault="00482812" w:rsidP="00482812">
      <w:pPr>
        <w:jc w:val="both"/>
        <w:rPr>
          <w:rFonts w:cs="Calibri"/>
        </w:rPr>
      </w:pPr>
      <w:r w:rsidRPr="00482812">
        <w:rPr>
          <w:rFonts w:cs="Calibri"/>
        </w:rPr>
        <w:lastRenderedPageBreak/>
        <w:t xml:space="preserve">(Further information on Table </w:t>
      </w:r>
      <w:r w:rsidR="00AE2250">
        <w:rPr>
          <w:rFonts w:cs="Calibri"/>
        </w:rPr>
        <w:t>36</w:t>
      </w:r>
      <w:r w:rsidRPr="00482812">
        <w:rPr>
          <w:rFonts w:cs="Calibri"/>
        </w:rPr>
        <w:t xml:space="preserve">: ‘Cooking pots’ are specified because </w:t>
      </w:r>
      <w:proofErr w:type="gramStart"/>
      <w:r w:rsidRPr="00482812">
        <w:rPr>
          <w:rFonts w:cs="Calibri"/>
        </w:rPr>
        <w:t>the majority of</w:t>
      </w:r>
      <w:proofErr w:type="gramEnd"/>
      <w:r w:rsidRPr="00482812">
        <w:rPr>
          <w:rFonts w:cs="Calibri"/>
        </w:rPr>
        <w:t xml:space="preserve"> pots referenced in Bolton-le-Sands are earthen pots, typically used for drinking. Some unspecified pots may also fall under this umbrella. There is only one instance of earthenware pots used for drinking in the Prestbury inventories.  Cooking </w:t>
      </w:r>
      <w:proofErr w:type="gramStart"/>
      <w:r w:rsidRPr="00482812">
        <w:rPr>
          <w:rFonts w:cs="Calibri"/>
        </w:rPr>
        <w:t>pans’</w:t>
      </w:r>
      <w:proofErr w:type="gramEnd"/>
      <w:r w:rsidRPr="00482812">
        <w:rPr>
          <w:rFonts w:cs="Calibri"/>
        </w:rPr>
        <w:t xml:space="preserve"> are specified because Prestbury inventories also feature bed pans, candle pans, furnace pans, singeing pans, and warming pans, all used for other household purposes. One warming pan also featured within one Bolton-le-Sands inventory.)</w:t>
      </w:r>
    </w:p>
    <w:p w14:paraId="39349693" w14:textId="77777777" w:rsidR="00482812" w:rsidRPr="00482812" w:rsidRDefault="00482812" w:rsidP="00482812">
      <w:pPr>
        <w:rPr>
          <w:rFonts w:cs="Calibri"/>
          <w:sz w:val="22"/>
          <w:szCs w:val="22"/>
        </w:rPr>
      </w:pPr>
      <w:r w:rsidRPr="00482812">
        <w:rPr>
          <w:rFonts w:cs="Calibri"/>
          <w:sz w:val="22"/>
          <w:szCs w:val="22"/>
        </w:rPr>
        <w:br w:type="page"/>
      </w:r>
    </w:p>
    <w:tbl>
      <w:tblPr>
        <w:tblStyle w:val="TableGrid16"/>
        <w:tblW w:w="9015" w:type="dxa"/>
        <w:tblLayout w:type="fixed"/>
        <w:tblLook w:val="06A0" w:firstRow="1" w:lastRow="0" w:firstColumn="1" w:lastColumn="0" w:noHBand="1" w:noVBand="1"/>
      </w:tblPr>
      <w:tblGrid>
        <w:gridCol w:w="3240"/>
        <w:gridCol w:w="2699"/>
        <w:gridCol w:w="3076"/>
      </w:tblGrid>
      <w:tr w:rsidR="00482812" w:rsidRPr="00482812" w14:paraId="503AD0B2" w14:textId="77777777" w:rsidTr="005322D8">
        <w:trPr>
          <w:trHeight w:val="300"/>
        </w:trPr>
        <w:tc>
          <w:tcPr>
            <w:tcW w:w="3240" w:type="dxa"/>
            <w:tcBorders>
              <w:top w:val="single" w:sz="12" w:space="0" w:color="auto"/>
              <w:left w:val="single" w:sz="12" w:space="0" w:color="auto"/>
              <w:bottom w:val="single" w:sz="12" w:space="0" w:color="auto"/>
              <w:right w:val="single" w:sz="12" w:space="0" w:color="auto"/>
            </w:tcBorders>
          </w:tcPr>
          <w:p w14:paraId="318156B3" w14:textId="77777777" w:rsidR="00482812" w:rsidRPr="00482812" w:rsidRDefault="00482812" w:rsidP="00482812">
            <w:pPr>
              <w:spacing w:after="0" w:line="240" w:lineRule="auto"/>
              <w:rPr>
                <w:sz w:val="22"/>
                <w:szCs w:val="22"/>
                <w:lang w:eastAsia="en-US"/>
              </w:rPr>
            </w:pPr>
          </w:p>
        </w:tc>
        <w:tc>
          <w:tcPr>
            <w:tcW w:w="2699" w:type="dxa"/>
            <w:tcBorders>
              <w:top w:val="single" w:sz="12" w:space="0" w:color="auto"/>
              <w:left w:val="single" w:sz="12" w:space="0" w:color="auto"/>
              <w:bottom w:val="single" w:sz="12" w:space="0" w:color="auto"/>
              <w:right w:val="single" w:sz="12" w:space="0" w:color="auto"/>
            </w:tcBorders>
          </w:tcPr>
          <w:p w14:paraId="49E7EDF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Bolton-le-Sands</w:t>
            </w:r>
          </w:p>
        </w:tc>
        <w:tc>
          <w:tcPr>
            <w:tcW w:w="3076" w:type="dxa"/>
            <w:tcBorders>
              <w:top w:val="single" w:sz="12" w:space="0" w:color="auto"/>
              <w:left w:val="single" w:sz="12" w:space="0" w:color="auto"/>
              <w:bottom w:val="single" w:sz="12" w:space="0" w:color="auto"/>
              <w:right w:val="single" w:sz="12" w:space="0" w:color="auto"/>
            </w:tcBorders>
          </w:tcPr>
          <w:p w14:paraId="619FF304"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Prestbury</w:t>
            </w:r>
          </w:p>
        </w:tc>
      </w:tr>
      <w:tr w:rsidR="00482812" w:rsidRPr="00482812" w14:paraId="75F61E54" w14:textId="77777777" w:rsidTr="005322D8">
        <w:trPr>
          <w:trHeight w:val="300"/>
        </w:trPr>
        <w:tc>
          <w:tcPr>
            <w:tcW w:w="3240" w:type="dxa"/>
            <w:tcBorders>
              <w:top w:val="single" w:sz="12" w:space="0" w:color="auto"/>
              <w:left w:val="single" w:sz="12" w:space="0" w:color="auto"/>
              <w:right w:val="single" w:sz="12" w:space="0" w:color="auto"/>
            </w:tcBorders>
          </w:tcPr>
          <w:p w14:paraId="7B651A3F" w14:textId="77777777" w:rsidR="00482812" w:rsidRPr="00482812" w:rsidRDefault="00482812" w:rsidP="00482812">
            <w:pPr>
              <w:spacing w:after="0" w:line="240" w:lineRule="auto"/>
              <w:rPr>
                <w:sz w:val="22"/>
                <w:szCs w:val="22"/>
                <w:lang w:eastAsia="en-US"/>
              </w:rPr>
            </w:pPr>
            <w:r w:rsidRPr="00482812">
              <w:rPr>
                <w:sz w:val="22"/>
                <w:szCs w:val="22"/>
                <w:lang w:eastAsia="en-US"/>
              </w:rPr>
              <w:t>Chairs</w:t>
            </w:r>
          </w:p>
        </w:tc>
        <w:tc>
          <w:tcPr>
            <w:tcW w:w="2699" w:type="dxa"/>
            <w:tcBorders>
              <w:top w:val="single" w:sz="12" w:space="0" w:color="auto"/>
              <w:left w:val="single" w:sz="12" w:space="0" w:color="auto"/>
              <w:right w:val="single" w:sz="12" w:space="0" w:color="auto"/>
            </w:tcBorders>
          </w:tcPr>
          <w:p w14:paraId="70ACDE11"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50</w:t>
            </w:r>
          </w:p>
        </w:tc>
        <w:tc>
          <w:tcPr>
            <w:tcW w:w="3076" w:type="dxa"/>
            <w:tcBorders>
              <w:top w:val="single" w:sz="12" w:space="0" w:color="auto"/>
              <w:left w:val="single" w:sz="12" w:space="0" w:color="auto"/>
              <w:right w:val="single" w:sz="12" w:space="0" w:color="auto"/>
            </w:tcBorders>
          </w:tcPr>
          <w:p w14:paraId="32D023B1"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71</w:t>
            </w:r>
          </w:p>
        </w:tc>
      </w:tr>
      <w:tr w:rsidR="00482812" w:rsidRPr="00482812" w14:paraId="20ED263E" w14:textId="77777777" w:rsidTr="005322D8">
        <w:trPr>
          <w:trHeight w:val="300"/>
        </w:trPr>
        <w:tc>
          <w:tcPr>
            <w:tcW w:w="3240" w:type="dxa"/>
            <w:tcBorders>
              <w:left w:val="single" w:sz="12" w:space="0" w:color="auto"/>
              <w:right w:val="single" w:sz="12" w:space="0" w:color="auto"/>
            </w:tcBorders>
          </w:tcPr>
          <w:p w14:paraId="7DF68555"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Unspecified type</w:t>
            </w:r>
          </w:p>
        </w:tc>
        <w:tc>
          <w:tcPr>
            <w:tcW w:w="2699" w:type="dxa"/>
            <w:tcBorders>
              <w:left w:val="single" w:sz="12" w:space="0" w:color="auto"/>
              <w:right w:val="single" w:sz="12" w:space="0" w:color="auto"/>
            </w:tcBorders>
          </w:tcPr>
          <w:p w14:paraId="756601C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50</w:t>
            </w:r>
          </w:p>
        </w:tc>
        <w:tc>
          <w:tcPr>
            <w:tcW w:w="3076" w:type="dxa"/>
            <w:tcBorders>
              <w:left w:val="single" w:sz="12" w:space="0" w:color="auto"/>
              <w:right w:val="single" w:sz="12" w:space="0" w:color="auto"/>
            </w:tcBorders>
          </w:tcPr>
          <w:p w14:paraId="655FA29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66</w:t>
            </w:r>
          </w:p>
        </w:tc>
      </w:tr>
      <w:tr w:rsidR="00482812" w:rsidRPr="00482812" w14:paraId="10E0793E" w14:textId="77777777" w:rsidTr="005322D8">
        <w:trPr>
          <w:trHeight w:val="300"/>
        </w:trPr>
        <w:tc>
          <w:tcPr>
            <w:tcW w:w="3240" w:type="dxa"/>
            <w:tcBorders>
              <w:left w:val="single" w:sz="12" w:space="0" w:color="auto"/>
              <w:right w:val="single" w:sz="12" w:space="0" w:color="auto"/>
            </w:tcBorders>
          </w:tcPr>
          <w:p w14:paraId="44E0D285"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Form specified</w:t>
            </w:r>
          </w:p>
        </w:tc>
        <w:tc>
          <w:tcPr>
            <w:tcW w:w="2699" w:type="dxa"/>
            <w:tcBorders>
              <w:left w:val="single" w:sz="12" w:space="0" w:color="auto"/>
              <w:right w:val="single" w:sz="12" w:space="0" w:color="auto"/>
            </w:tcBorders>
          </w:tcPr>
          <w:p w14:paraId="7FF9026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76" w:type="dxa"/>
            <w:tcBorders>
              <w:left w:val="single" w:sz="12" w:space="0" w:color="auto"/>
              <w:right w:val="single" w:sz="12" w:space="0" w:color="auto"/>
            </w:tcBorders>
          </w:tcPr>
          <w:p w14:paraId="0EDEB55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10</w:t>
            </w:r>
          </w:p>
        </w:tc>
      </w:tr>
      <w:tr w:rsidR="00482812" w:rsidRPr="00482812" w14:paraId="61A8ADB7" w14:textId="77777777" w:rsidTr="005322D8">
        <w:trPr>
          <w:trHeight w:val="300"/>
        </w:trPr>
        <w:tc>
          <w:tcPr>
            <w:tcW w:w="3240" w:type="dxa"/>
            <w:tcBorders>
              <w:left w:val="single" w:sz="12" w:space="0" w:color="auto"/>
              <w:right w:val="single" w:sz="12" w:space="0" w:color="auto"/>
            </w:tcBorders>
          </w:tcPr>
          <w:p w14:paraId="0E980BCE"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Additional material specified</w:t>
            </w:r>
          </w:p>
        </w:tc>
        <w:tc>
          <w:tcPr>
            <w:tcW w:w="2699" w:type="dxa"/>
            <w:tcBorders>
              <w:left w:val="single" w:sz="12" w:space="0" w:color="auto"/>
              <w:right w:val="single" w:sz="12" w:space="0" w:color="auto"/>
            </w:tcBorders>
          </w:tcPr>
          <w:p w14:paraId="7A098DD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76" w:type="dxa"/>
            <w:tcBorders>
              <w:left w:val="single" w:sz="12" w:space="0" w:color="auto"/>
              <w:right w:val="single" w:sz="12" w:space="0" w:color="auto"/>
            </w:tcBorders>
          </w:tcPr>
          <w:p w14:paraId="5B9441A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7DA8B1F3" w14:textId="77777777" w:rsidTr="005322D8">
        <w:trPr>
          <w:trHeight w:val="300"/>
        </w:trPr>
        <w:tc>
          <w:tcPr>
            <w:tcW w:w="3240" w:type="dxa"/>
            <w:tcBorders>
              <w:left w:val="single" w:sz="12" w:space="0" w:color="auto"/>
              <w:right w:val="single" w:sz="12" w:space="0" w:color="auto"/>
            </w:tcBorders>
          </w:tcPr>
          <w:p w14:paraId="1F1D28D6"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Colour specified</w:t>
            </w:r>
          </w:p>
        </w:tc>
        <w:tc>
          <w:tcPr>
            <w:tcW w:w="2699" w:type="dxa"/>
            <w:tcBorders>
              <w:left w:val="single" w:sz="12" w:space="0" w:color="auto"/>
              <w:right w:val="single" w:sz="12" w:space="0" w:color="auto"/>
            </w:tcBorders>
          </w:tcPr>
          <w:p w14:paraId="3CB46E0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76" w:type="dxa"/>
            <w:tcBorders>
              <w:left w:val="single" w:sz="12" w:space="0" w:color="auto"/>
              <w:right w:val="single" w:sz="12" w:space="0" w:color="auto"/>
            </w:tcBorders>
          </w:tcPr>
          <w:p w14:paraId="70EE365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5D579075" w14:textId="77777777" w:rsidTr="005322D8">
        <w:trPr>
          <w:trHeight w:val="300"/>
        </w:trPr>
        <w:tc>
          <w:tcPr>
            <w:tcW w:w="3240" w:type="dxa"/>
            <w:tcBorders>
              <w:left w:val="single" w:sz="12" w:space="0" w:color="auto"/>
              <w:bottom w:val="single" w:sz="12" w:space="0" w:color="auto"/>
              <w:right w:val="single" w:sz="12" w:space="0" w:color="auto"/>
            </w:tcBorders>
          </w:tcPr>
          <w:p w14:paraId="4BBFB695"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Purpose specified</w:t>
            </w:r>
          </w:p>
        </w:tc>
        <w:tc>
          <w:tcPr>
            <w:tcW w:w="2699" w:type="dxa"/>
            <w:tcBorders>
              <w:left w:val="single" w:sz="12" w:space="0" w:color="auto"/>
              <w:bottom w:val="single" w:sz="12" w:space="0" w:color="auto"/>
              <w:right w:val="single" w:sz="12" w:space="0" w:color="auto"/>
            </w:tcBorders>
          </w:tcPr>
          <w:p w14:paraId="14CC3CF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76" w:type="dxa"/>
            <w:tcBorders>
              <w:left w:val="single" w:sz="12" w:space="0" w:color="auto"/>
              <w:bottom w:val="single" w:sz="12" w:space="0" w:color="auto"/>
              <w:right w:val="single" w:sz="12" w:space="0" w:color="auto"/>
            </w:tcBorders>
          </w:tcPr>
          <w:p w14:paraId="7A4C54A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246E3BC8" w14:textId="77777777" w:rsidTr="005322D8">
        <w:trPr>
          <w:trHeight w:val="300"/>
        </w:trPr>
        <w:tc>
          <w:tcPr>
            <w:tcW w:w="3240" w:type="dxa"/>
            <w:tcBorders>
              <w:top w:val="single" w:sz="12" w:space="0" w:color="auto"/>
              <w:left w:val="single" w:sz="12" w:space="0" w:color="auto"/>
              <w:bottom w:val="single" w:sz="4" w:space="0" w:color="auto"/>
              <w:right w:val="single" w:sz="12" w:space="0" w:color="auto"/>
            </w:tcBorders>
          </w:tcPr>
          <w:p w14:paraId="034DCEF8" w14:textId="77777777" w:rsidR="00482812" w:rsidRPr="00482812" w:rsidRDefault="00482812" w:rsidP="00482812">
            <w:pPr>
              <w:spacing w:after="0" w:line="240" w:lineRule="auto"/>
              <w:rPr>
                <w:sz w:val="22"/>
                <w:szCs w:val="22"/>
                <w:lang w:eastAsia="en-US"/>
              </w:rPr>
            </w:pPr>
            <w:r w:rsidRPr="00482812">
              <w:rPr>
                <w:sz w:val="22"/>
                <w:szCs w:val="22"/>
                <w:lang w:eastAsia="en-US"/>
              </w:rPr>
              <w:t>Stools</w:t>
            </w:r>
          </w:p>
        </w:tc>
        <w:tc>
          <w:tcPr>
            <w:tcW w:w="2699" w:type="dxa"/>
            <w:tcBorders>
              <w:top w:val="single" w:sz="12" w:space="0" w:color="auto"/>
              <w:left w:val="single" w:sz="12" w:space="0" w:color="auto"/>
              <w:bottom w:val="single" w:sz="4" w:space="0" w:color="auto"/>
              <w:right w:val="single" w:sz="12" w:space="0" w:color="auto"/>
            </w:tcBorders>
          </w:tcPr>
          <w:p w14:paraId="5B09BA3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38</w:t>
            </w:r>
          </w:p>
        </w:tc>
        <w:tc>
          <w:tcPr>
            <w:tcW w:w="3076" w:type="dxa"/>
            <w:tcBorders>
              <w:top w:val="single" w:sz="12" w:space="0" w:color="auto"/>
              <w:left w:val="single" w:sz="12" w:space="0" w:color="auto"/>
              <w:bottom w:val="single" w:sz="4" w:space="0" w:color="auto"/>
              <w:right w:val="single" w:sz="12" w:space="0" w:color="auto"/>
            </w:tcBorders>
          </w:tcPr>
          <w:p w14:paraId="1F3A8E35"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55</w:t>
            </w:r>
          </w:p>
        </w:tc>
      </w:tr>
      <w:tr w:rsidR="00482812" w:rsidRPr="00482812" w14:paraId="519F4588" w14:textId="77777777" w:rsidTr="005322D8">
        <w:trPr>
          <w:trHeight w:val="300"/>
        </w:trPr>
        <w:tc>
          <w:tcPr>
            <w:tcW w:w="3240" w:type="dxa"/>
            <w:tcBorders>
              <w:top w:val="single" w:sz="4" w:space="0" w:color="auto"/>
              <w:left w:val="single" w:sz="12" w:space="0" w:color="auto"/>
              <w:right w:val="single" w:sz="12" w:space="0" w:color="auto"/>
            </w:tcBorders>
          </w:tcPr>
          <w:p w14:paraId="33F827CC"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Unspecified type</w:t>
            </w:r>
          </w:p>
        </w:tc>
        <w:tc>
          <w:tcPr>
            <w:tcW w:w="2699" w:type="dxa"/>
            <w:tcBorders>
              <w:top w:val="single" w:sz="4" w:space="0" w:color="auto"/>
              <w:left w:val="single" w:sz="12" w:space="0" w:color="auto"/>
              <w:right w:val="single" w:sz="12" w:space="0" w:color="auto"/>
            </w:tcBorders>
          </w:tcPr>
          <w:p w14:paraId="521B832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38</w:t>
            </w:r>
          </w:p>
        </w:tc>
        <w:tc>
          <w:tcPr>
            <w:tcW w:w="3076" w:type="dxa"/>
            <w:tcBorders>
              <w:top w:val="single" w:sz="4" w:space="0" w:color="auto"/>
              <w:left w:val="single" w:sz="12" w:space="0" w:color="auto"/>
              <w:right w:val="single" w:sz="12" w:space="0" w:color="auto"/>
            </w:tcBorders>
          </w:tcPr>
          <w:p w14:paraId="0483DC1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47</w:t>
            </w:r>
          </w:p>
        </w:tc>
      </w:tr>
      <w:tr w:rsidR="00482812" w:rsidRPr="00482812" w14:paraId="3E030D33" w14:textId="77777777" w:rsidTr="005322D8">
        <w:trPr>
          <w:trHeight w:val="300"/>
        </w:trPr>
        <w:tc>
          <w:tcPr>
            <w:tcW w:w="3240" w:type="dxa"/>
            <w:tcBorders>
              <w:left w:val="single" w:sz="12" w:space="0" w:color="auto"/>
              <w:right w:val="single" w:sz="12" w:space="0" w:color="auto"/>
            </w:tcBorders>
          </w:tcPr>
          <w:p w14:paraId="663B50D0"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Form specified</w:t>
            </w:r>
          </w:p>
        </w:tc>
        <w:tc>
          <w:tcPr>
            <w:tcW w:w="2699" w:type="dxa"/>
            <w:tcBorders>
              <w:left w:val="single" w:sz="12" w:space="0" w:color="auto"/>
              <w:right w:val="single" w:sz="12" w:space="0" w:color="auto"/>
            </w:tcBorders>
          </w:tcPr>
          <w:p w14:paraId="0C9836A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76" w:type="dxa"/>
            <w:tcBorders>
              <w:left w:val="single" w:sz="12" w:space="0" w:color="auto"/>
              <w:right w:val="single" w:sz="12" w:space="0" w:color="auto"/>
            </w:tcBorders>
          </w:tcPr>
          <w:p w14:paraId="467628A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18</w:t>
            </w:r>
          </w:p>
        </w:tc>
      </w:tr>
      <w:tr w:rsidR="00482812" w:rsidRPr="00482812" w14:paraId="229113E3" w14:textId="77777777" w:rsidTr="005322D8">
        <w:trPr>
          <w:trHeight w:val="300"/>
        </w:trPr>
        <w:tc>
          <w:tcPr>
            <w:tcW w:w="3240" w:type="dxa"/>
            <w:tcBorders>
              <w:left w:val="single" w:sz="12" w:space="0" w:color="auto"/>
              <w:right w:val="single" w:sz="12" w:space="0" w:color="auto"/>
            </w:tcBorders>
          </w:tcPr>
          <w:p w14:paraId="161E38A5"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Shape specified</w:t>
            </w:r>
          </w:p>
        </w:tc>
        <w:tc>
          <w:tcPr>
            <w:tcW w:w="2699" w:type="dxa"/>
            <w:tcBorders>
              <w:left w:val="single" w:sz="12" w:space="0" w:color="auto"/>
              <w:right w:val="single" w:sz="12" w:space="0" w:color="auto"/>
            </w:tcBorders>
          </w:tcPr>
          <w:p w14:paraId="206FC0A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76" w:type="dxa"/>
            <w:tcBorders>
              <w:left w:val="single" w:sz="12" w:space="0" w:color="auto"/>
              <w:right w:val="single" w:sz="12" w:space="0" w:color="auto"/>
            </w:tcBorders>
          </w:tcPr>
          <w:p w14:paraId="7A3D73D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39D78603" w14:textId="77777777" w:rsidTr="005322D8">
        <w:trPr>
          <w:trHeight w:val="300"/>
        </w:trPr>
        <w:tc>
          <w:tcPr>
            <w:tcW w:w="3240" w:type="dxa"/>
            <w:tcBorders>
              <w:left w:val="single" w:sz="12" w:space="0" w:color="auto"/>
              <w:right w:val="single" w:sz="12" w:space="0" w:color="auto"/>
            </w:tcBorders>
          </w:tcPr>
          <w:p w14:paraId="32B4A1C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Colour specified</w:t>
            </w:r>
          </w:p>
        </w:tc>
        <w:tc>
          <w:tcPr>
            <w:tcW w:w="2699" w:type="dxa"/>
            <w:tcBorders>
              <w:left w:val="single" w:sz="12" w:space="0" w:color="auto"/>
              <w:right w:val="single" w:sz="12" w:space="0" w:color="auto"/>
            </w:tcBorders>
          </w:tcPr>
          <w:p w14:paraId="56AF904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76" w:type="dxa"/>
            <w:tcBorders>
              <w:left w:val="single" w:sz="12" w:space="0" w:color="auto"/>
              <w:right w:val="single" w:sz="12" w:space="0" w:color="auto"/>
            </w:tcBorders>
          </w:tcPr>
          <w:p w14:paraId="283FFCF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75A14153" w14:textId="77777777" w:rsidTr="005322D8">
        <w:trPr>
          <w:trHeight w:val="300"/>
        </w:trPr>
        <w:tc>
          <w:tcPr>
            <w:tcW w:w="3240" w:type="dxa"/>
            <w:tcBorders>
              <w:left w:val="single" w:sz="12" w:space="0" w:color="auto"/>
              <w:bottom w:val="single" w:sz="12" w:space="0" w:color="auto"/>
              <w:right w:val="single" w:sz="12" w:space="0" w:color="auto"/>
            </w:tcBorders>
          </w:tcPr>
          <w:p w14:paraId="1C3D007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Size specified</w:t>
            </w:r>
          </w:p>
        </w:tc>
        <w:tc>
          <w:tcPr>
            <w:tcW w:w="2699" w:type="dxa"/>
            <w:tcBorders>
              <w:left w:val="single" w:sz="12" w:space="0" w:color="auto"/>
              <w:bottom w:val="single" w:sz="12" w:space="0" w:color="auto"/>
              <w:right w:val="single" w:sz="12" w:space="0" w:color="auto"/>
            </w:tcBorders>
          </w:tcPr>
          <w:p w14:paraId="6B48048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76" w:type="dxa"/>
            <w:tcBorders>
              <w:left w:val="single" w:sz="12" w:space="0" w:color="auto"/>
              <w:bottom w:val="single" w:sz="12" w:space="0" w:color="auto"/>
              <w:right w:val="single" w:sz="12" w:space="0" w:color="auto"/>
            </w:tcBorders>
          </w:tcPr>
          <w:p w14:paraId="44E3E3A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2715DC64" w14:textId="77777777" w:rsidTr="005322D8">
        <w:trPr>
          <w:trHeight w:val="300"/>
        </w:trPr>
        <w:tc>
          <w:tcPr>
            <w:tcW w:w="3240" w:type="dxa"/>
            <w:tcBorders>
              <w:top w:val="single" w:sz="12" w:space="0" w:color="auto"/>
              <w:left w:val="single" w:sz="12" w:space="0" w:color="auto"/>
              <w:right w:val="single" w:sz="12" w:space="0" w:color="auto"/>
            </w:tcBorders>
          </w:tcPr>
          <w:p w14:paraId="46540E2E" w14:textId="77777777" w:rsidR="00482812" w:rsidRPr="00482812" w:rsidRDefault="00482812" w:rsidP="00482812">
            <w:pPr>
              <w:spacing w:after="0" w:line="240" w:lineRule="auto"/>
              <w:rPr>
                <w:sz w:val="22"/>
                <w:szCs w:val="22"/>
                <w:lang w:eastAsia="en-US"/>
              </w:rPr>
            </w:pPr>
            <w:r w:rsidRPr="00482812">
              <w:rPr>
                <w:sz w:val="22"/>
                <w:szCs w:val="22"/>
                <w:lang w:eastAsia="en-US"/>
              </w:rPr>
              <w:t>Other seating</w:t>
            </w:r>
          </w:p>
        </w:tc>
        <w:tc>
          <w:tcPr>
            <w:tcW w:w="2699" w:type="dxa"/>
            <w:tcBorders>
              <w:top w:val="single" w:sz="12" w:space="0" w:color="auto"/>
              <w:left w:val="single" w:sz="12" w:space="0" w:color="auto"/>
              <w:right w:val="single" w:sz="12" w:space="0" w:color="auto"/>
            </w:tcBorders>
          </w:tcPr>
          <w:p w14:paraId="21B0CC76"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14</w:t>
            </w:r>
          </w:p>
        </w:tc>
        <w:tc>
          <w:tcPr>
            <w:tcW w:w="3076" w:type="dxa"/>
            <w:tcBorders>
              <w:top w:val="single" w:sz="12" w:space="0" w:color="auto"/>
              <w:left w:val="single" w:sz="12" w:space="0" w:color="auto"/>
              <w:right w:val="single" w:sz="12" w:space="0" w:color="auto"/>
            </w:tcBorders>
          </w:tcPr>
          <w:p w14:paraId="16A084D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31</w:t>
            </w:r>
          </w:p>
        </w:tc>
      </w:tr>
      <w:tr w:rsidR="00482812" w:rsidRPr="00482812" w14:paraId="7F4A4955" w14:textId="77777777" w:rsidTr="005322D8">
        <w:trPr>
          <w:trHeight w:val="300"/>
        </w:trPr>
        <w:tc>
          <w:tcPr>
            <w:tcW w:w="3240" w:type="dxa"/>
            <w:tcBorders>
              <w:left w:val="single" w:sz="12" w:space="0" w:color="auto"/>
              <w:right w:val="single" w:sz="12" w:space="0" w:color="auto"/>
            </w:tcBorders>
          </w:tcPr>
          <w:p w14:paraId="0CB4B475"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Form</w:t>
            </w:r>
          </w:p>
        </w:tc>
        <w:tc>
          <w:tcPr>
            <w:tcW w:w="2699" w:type="dxa"/>
            <w:tcBorders>
              <w:left w:val="single" w:sz="12" w:space="0" w:color="auto"/>
              <w:right w:val="single" w:sz="12" w:space="0" w:color="auto"/>
            </w:tcBorders>
          </w:tcPr>
          <w:p w14:paraId="0B7BB4F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10</w:t>
            </w:r>
          </w:p>
        </w:tc>
        <w:tc>
          <w:tcPr>
            <w:tcW w:w="3076" w:type="dxa"/>
            <w:tcBorders>
              <w:left w:val="single" w:sz="12" w:space="0" w:color="auto"/>
              <w:right w:val="single" w:sz="12" w:space="0" w:color="auto"/>
            </w:tcBorders>
          </w:tcPr>
          <w:p w14:paraId="23DA0DA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28</w:t>
            </w:r>
          </w:p>
        </w:tc>
      </w:tr>
      <w:tr w:rsidR="00482812" w:rsidRPr="00482812" w14:paraId="7CFAC301" w14:textId="77777777" w:rsidTr="005322D8">
        <w:trPr>
          <w:trHeight w:val="300"/>
        </w:trPr>
        <w:tc>
          <w:tcPr>
            <w:tcW w:w="3240" w:type="dxa"/>
            <w:tcBorders>
              <w:left w:val="single" w:sz="12" w:space="0" w:color="auto"/>
              <w:right w:val="single" w:sz="12" w:space="0" w:color="auto"/>
            </w:tcBorders>
          </w:tcPr>
          <w:p w14:paraId="5FEC2C4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Bench</w:t>
            </w:r>
          </w:p>
        </w:tc>
        <w:tc>
          <w:tcPr>
            <w:tcW w:w="2699" w:type="dxa"/>
            <w:tcBorders>
              <w:left w:val="single" w:sz="12" w:space="0" w:color="auto"/>
              <w:right w:val="single" w:sz="12" w:space="0" w:color="auto"/>
            </w:tcBorders>
          </w:tcPr>
          <w:p w14:paraId="026B76F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76" w:type="dxa"/>
            <w:tcBorders>
              <w:left w:val="single" w:sz="12" w:space="0" w:color="auto"/>
              <w:right w:val="single" w:sz="12" w:space="0" w:color="auto"/>
            </w:tcBorders>
          </w:tcPr>
          <w:p w14:paraId="6FBE922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r>
      <w:tr w:rsidR="00482812" w:rsidRPr="00482812" w14:paraId="182F1BA6" w14:textId="77777777" w:rsidTr="005322D8">
        <w:trPr>
          <w:trHeight w:val="300"/>
        </w:trPr>
        <w:tc>
          <w:tcPr>
            <w:tcW w:w="3240" w:type="dxa"/>
            <w:tcBorders>
              <w:left w:val="single" w:sz="12" w:space="0" w:color="auto"/>
              <w:right w:val="single" w:sz="12" w:space="0" w:color="auto"/>
            </w:tcBorders>
          </w:tcPr>
          <w:p w14:paraId="3B17FB78"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Long seat</w:t>
            </w:r>
          </w:p>
        </w:tc>
        <w:tc>
          <w:tcPr>
            <w:tcW w:w="2699" w:type="dxa"/>
            <w:tcBorders>
              <w:left w:val="single" w:sz="12" w:space="0" w:color="auto"/>
              <w:right w:val="single" w:sz="12" w:space="0" w:color="auto"/>
            </w:tcBorders>
          </w:tcPr>
          <w:p w14:paraId="2216F90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3076" w:type="dxa"/>
            <w:tcBorders>
              <w:left w:val="single" w:sz="12" w:space="0" w:color="auto"/>
              <w:right w:val="single" w:sz="12" w:space="0" w:color="auto"/>
            </w:tcBorders>
          </w:tcPr>
          <w:p w14:paraId="665CFBA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61058FC2" w14:textId="77777777" w:rsidTr="005322D8">
        <w:trPr>
          <w:trHeight w:val="300"/>
        </w:trPr>
        <w:tc>
          <w:tcPr>
            <w:tcW w:w="3240" w:type="dxa"/>
            <w:tcBorders>
              <w:left w:val="single" w:sz="12" w:space="0" w:color="auto"/>
              <w:bottom w:val="single" w:sz="12" w:space="0" w:color="auto"/>
              <w:right w:val="single" w:sz="12" w:space="0" w:color="auto"/>
            </w:tcBorders>
          </w:tcPr>
          <w:p w14:paraId="62446AF2"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Settle</w:t>
            </w:r>
          </w:p>
        </w:tc>
        <w:tc>
          <w:tcPr>
            <w:tcW w:w="2699" w:type="dxa"/>
            <w:tcBorders>
              <w:left w:val="single" w:sz="12" w:space="0" w:color="auto"/>
              <w:bottom w:val="single" w:sz="12" w:space="0" w:color="auto"/>
              <w:right w:val="single" w:sz="12" w:space="0" w:color="auto"/>
            </w:tcBorders>
          </w:tcPr>
          <w:p w14:paraId="75C7B63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5</w:t>
            </w:r>
          </w:p>
        </w:tc>
        <w:tc>
          <w:tcPr>
            <w:tcW w:w="3076" w:type="dxa"/>
            <w:tcBorders>
              <w:left w:val="single" w:sz="12" w:space="0" w:color="auto"/>
              <w:bottom w:val="single" w:sz="12" w:space="0" w:color="auto"/>
              <w:right w:val="single" w:sz="12" w:space="0" w:color="auto"/>
            </w:tcBorders>
          </w:tcPr>
          <w:p w14:paraId="09A6D9F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72F64F2A" w14:textId="77777777" w:rsidTr="005322D8">
        <w:trPr>
          <w:trHeight w:val="300"/>
        </w:trPr>
        <w:tc>
          <w:tcPr>
            <w:tcW w:w="3240" w:type="dxa"/>
            <w:tcBorders>
              <w:top w:val="single" w:sz="12" w:space="0" w:color="auto"/>
              <w:left w:val="single" w:sz="12" w:space="0" w:color="auto"/>
              <w:bottom w:val="single" w:sz="12" w:space="0" w:color="auto"/>
              <w:right w:val="single" w:sz="12" w:space="0" w:color="auto"/>
            </w:tcBorders>
          </w:tcPr>
          <w:p w14:paraId="2D68DEF1" w14:textId="77777777" w:rsidR="00482812" w:rsidRPr="00482812" w:rsidRDefault="00482812" w:rsidP="00482812">
            <w:pPr>
              <w:spacing w:after="0" w:line="240" w:lineRule="auto"/>
              <w:rPr>
                <w:sz w:val="22"/>
                <w:szCs w:val="22"/>
                <w:lang w:eastAsia="en-US"/>
              </w:rPr>
            </w:pPr>
            <w:r w:rsidRPr="00482812">
              <w:rPr>
                <w:sz w:val="22"/>
                <w:szCs w:val="22"/>
                <w:lang w:eastAsia="en-US"/>
              </w:rPr>
              <w:t>Total</w:t>
            </w:r>
          </w:p>
        </w:tc>
        <w:tc>
          <w:tcPr>
            <w:tcW w:w="2699" w:type="dxa"/>
            <w:tcBorders>
              <w:top w:val="single" w:sz="12" w:space="0" w:color="auto"/>
              <w:left w:val="single" w:sz="12" w:space="0" w:color="auto"/>
              <w:bottom w:val="single" w:sz="12" w:space="0" w:color="auto"/>
              <w:right w:val="single" w:sz="12" w:space="0" w:color="auto"/>
            </w:tcBorders>
          </w:tcPr>
          <w:p w14:paraId="2B3D98BF"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54</w:t>
            </w:r>
          </w:p>
        </w:tc>
        <w:tc>
          <w:tcPr>
            <w:tcW w:w="3076" w:type="dxa"/>
            <w:tcBorders>
              <w:top w:val="single" w:sz="12" w:space="0" w:color="auto"/>
              <w:left w:val="single" w:sz="12" w:space="0" w:color="auto"/>
              <w:bottom w:val="single" w:sz="12" w:space="0" w:color="auto"/>
              <w:right w:val="single" w:sz="12" w:space="0" w:color="auto"/>
            </w:tcBorders>
          </w:tcPr>
          <w:p w14:paraId="75199F04"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77</w:t>
            </w:r>
          </w:p>
        </w:tc>
      </w:tr>
    </w:tbl>
    <w:p w14:paraId="6E48020E" w14:textId="77777777" w:rsidR="00482812" w:rsidRPr="00482812" w:rsidRDefault="00482812" w:rsidP="00482812">
      <w:pPr>
        <w:rPr>
          <w:rFonts w:cs="Calibri"/>
          <w:b/>
          <w:bCs/>
          <w:sz w:val="22"/>
          <w:szCs w:val="22"/>
        </w:rPr>
      </w:pPr>
    </w:p>
    <w:p w14:paraId="5B83C068" w14:textId="71358DA0" w:rsidR="00482812" w:rsidRPr="00482812" w:rsidRDefault="00482812" w:rsidP="00482812">
      <w:pPr>
        <w:jc w:val="center"/>
        <w:rPr>
          <w:rFonts w:cs="Calibri"/>
        </w:rPr>
      </w:pPr>
      <w:r w:rsidRPr="00482812">
        <w:rPr>
          <w:rFonts w:cs="Calibri"/>
        </w:rPr>
        <w:t xml:space="preserve">Table 37 – </w:t>
      </w:r>
      <w:r w:rsidR="0027424D" w:rsidRPr="0027424D">
        <w:rPr>
          <w:rFonts w:cs="Calibri"/>
        </w:rPr>
        <w:t>Prevalence of</w:t>
      </w:r>
      <w:r w:rsidR="0027424D" w:rsidRPr="00482812">
        <w:rPr>
          <w:rFonts w:cs="Calibri"/>
        </w:rPr>
        <w:t xml:space="preserve"> different types of seating in</w:t>
      </w:r>
      <w:r w:rsidR="0027424D" w:rsidRPr="0027424D">
        <w:rPr>
          <w:rFonts w:cs="Calibri"/>
        </w:rPr>
        <w:t xml:space="preserve"> inventories within</w:t>
      </w:r>
      <w:r w:rsidR="0027424D" w:rsidRPr="00482812">
        <w:rPr>
          <w:rFonts w:cs="Calibri"/>
        </w:rPr>
        <w:t xml:space="preserve"> the Bolton-le-Sands and Prestbury wider survey</w:t>
      </w:r>
      <w:r w:rsidRPr="00482812">
        <w:rPr>
          <w:rFonts w:cs="Calibri"/>
        </w:rPr>
        <w:t>.</w:t>
      </w:r>
    </w:p>
    <w:p w14:paraId="68793038" w14:textId="77777777" w:rsidR="00482812" w:rsidRPr="00482812" w:rsidRDefault="00482812" w:rsidP="00482812">
      <w:pPr>
        <w:rPr>
          <w:rFonts w:cs="Calibri"/>
          <w:sz w:val="22"/>
          <w:szCs w:val="22"/>
        </w:rPr>
      </w:pPr>
      <w:r w:rsidRPr="00482812">
        <w:rPr>
          <w:rFonts w:cs="Calibri"/>
          <w:sz w:val="22"/>
          <w:szCs w:val="22"/>
        </w:rPr>
        <w:br w:type="page"/>
      </w:r>
    </w:p>
    <w:p w14:paraId="0C3BB767" w14:textId="77777777" w:rsidR="00482812" w:rsidRPr="00482812" w:rsidRDefault="00482812" w:rsidP="00482812">
      <w:pPr>
        <w:jc w:val="center"/>
        <w:rPr>
          <w:rFonts w:cs="Calibri"/>
          <w:sz w:val="22"/>
          <w:szCs w:val="22"/>
        </w:rPr>
      </w:pPr>
    </w:p>
    <w:p w14:paraId="69F7A2D6" w14:textId="77777777" w:rsidR="00482812" w:rsidRPr="00482812" w:rsidRDefault="00482812" w:rsidP="00482812">
      <w:pPr>
        <w:rPr>
          <w:rFonts w:cs="Calibri"/>
          <w:b/>
          <w:bCs/>
          <w:sz w:val="22"/>
          <w:szCs w:val="22"/>
        </w:rPr>
      </w:pPr>
    </w:p>
    <w:p w14:paraId="5C2EE354" w14:textId="77777777" w:rsidR="00482812" w:rsidRPr="00482812" w:rsidRDefault="00482812" w:rsidP="00482812">
      <w:pPr>
        <w:rPr>
          <w:rFonts w:cs="Calibri"/>
          <w:b/>
          <w:bCs/>
          <w:sz w:val="22"/>
          <w:szCs w:val="22"/>
        </w:rPr>
      </w:pPr>
    </w:p>
    <w:tbl>
      <w:tblPr>
        <w:tblStyle w:val="TableGrid16"/>
        <w:tblW w:w="0" w:type="auto"/>
        <w:tblLook w:val="06A0" w:firstRow="1" w:lastRow="0" w:firstColumn="1" w:lastColumn="0" w:noHBand="1" w:noVBand="1"/>
      </w:tblPr>
      <w:tblGrid>
        <w:gridCol w:w="3246"/>
        <w:gridCol w:w="2693"/>
        <w:gridCol w:w="3057"/>
      </w:tblGrid>
      <w:tr w:rsidR="00482812" w:rsidRPr="00482812" w14:paraId="70908DD5" w14:textId="77777777" w:rsidTr="005322D8">
        <w:trPr>
          <w:trHeight w:val="300"/>
        </w:trPr>
        <w:tc>
          <w:tcPr>
            <w:tcW w:w="3246" w:type="dxa"/>
            <w:tcBorders>
              <w:top w:val="single" w:sz="12" w:space="0" w:color="auto"/>
              <w:left w:val="single" w:sz="12" w:space="0" w:color="auto"/>
              <w:bottom w:val="single" w:sz="12" w:space="0" w:color="auto"/>
              <w:right w:val="single" w:sz="12" w:space="0" w:color="auto"/>
            </w:tcBorders>
          </w:tcPr>
          <w:p w14:paraId="0DD3E376" w14:textId="77777777" w:rsidR="00482812" w:rsidRPr="00482812" w:rsidRDefault="00482812" w:rsidP="00482812">
            <w:pPr>
              <w:spacing w:after="0" w:line="240" w:lineRule="auto"/>
              <w:rPr>
                <w:sz w:val="22"/>
                <w:szCs w:val="22"/>
                <w:lang w:eastAsia="en-US"/>
              </w:rPr>
            </w:pPr>
          </w:p>
        </w:tc>
        <w:tc>
          <w:tcPr>
            <w:tcW w:w="2693" w:type="dxa"/>
            <w:tcBorders>
              <w:top w:val="single" w:sz="12" w:space="0" w:color="auto"/>
              <w:left w:val="single" w:sz="12" w:space="0" w:color="auto"/>
              <w:bottom w:val="single" w:sz="12" w:space="0" w:color="auto"/>
              <w:right w:val="single" w:sz="12" w:space="0" w:color="auto"/>
            </w:tcBorders>
          </w:tcPr>
          <w:p w14:paraId="14C9E675"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Bolton-le-Sands</w:t>
            </w:r>
          </w:p>
        </w:tc>
        <w:tc>
          <w:tcPr>
            <w:tcW w:w="3057" w:type="dxa"/>
            <w:tcBorders>
              <w:top w:val="single" w:sz="12" w:space="0" w:color="auto"/>
              <w:left w:val="single" w:sz="12" w:space="0" w:color="auto"/>
              <w:bottom w:val="single" w:sz="12" w:space="0" w:color="auto"/>
              <w:right w:val="single" w:sz="12" w:space="0" w:color="auto"/>
            </w:tcBorders>
          </w:tcPr>
          <w:p w14:paraId="209AE003"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 xml:space="preserve">Prestbury </w:t>
            </w:r>
          </w:p>
        </w:tc>
      </w:tr>
      <w:tr w:rsidR="00482812" w:rsidRPr="00482812" w14:paraId="505166B4" w14:textId="77777777" w:rsidTr="005322D8">
        <w:trPr>
          <w:trHeight w:val="300"/>
        </w:trPr>
        <w:tc>
          <w:tcPr>
            <w:tcW w:w="3246" w:type="dxa"/>
            <w:tcBorders>
              <w:top w:val="single" w:sz="12" w:space="0" w:color="auto"/>
              <w:left w:val="single" w:sz="12" w:space="0" w:color="auto"/>
              <w:right w:val="single" w:sz="12" w:space="0" w:color="auto"/>
            </w:tcBorders>
          </w:tcPr>
          <w:p w14:paraId="749E0DCD" w14:textId="77777777" w:rsidR="00482812" w:rsidRPr="00482812" w:rsidRDefault="00482812" w:rsidP="00482812">
            <w:pPr>
              <w:spacing w:after="0" w:line="240" w:lineRule="auto"/>
              <w:rPr>
                <w:sz w:val="22"/>
                <w:szCs w:val="22"/>
                <w:lang w:eastAsia="en-US"/>
              </w:rPr>
            </w:pPr>
            <w:r w:rsidRPr="00482812">
              <w:rPr>
                <w:sz w:val="22"/>
                <w:szCs w:val="22"/>
                <w:lang w:eastAsia="en-US"/>
              </w:rPr>
              <w:t>Tables</w:t>
            </w:r>
          </w:p>
        </w:tc>
        <w:tc>
          <w:tcPr>
            <w:tcW w:w="2693" w:type="dxa"/>
            <w:tcBorders>
              <w:top w:val="single" w:sz="12" w:space="0" w:color="auto"/>
              <w:left w:val="single" w:sz="12" w:space="0" w:color="auto"/>
              <w:right w:val="single" w:sz="12" w:space="0" w:color="auto"/>
            </w:tcBorders>
          </w:tcPr>
          <w:p w14:paraId="6E84613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38</w:t>
            </w:r>
          </w:p>
        </w:tc>
        <w:tc>
          <w:tcPr>
            <w:tcW w:w="3057" w:type="dxa"/>
            <w:tcBorders>
              <w:top w:val="single" w:sz="12" w:space="0" w:color="auto"/>
              <w:left w:val="single" w:sz="12" w:space="0" w:color="auto"/>
              <w:right w:val="single" w:sz="12" w:space="0" w:color="auto"/>
            </w:tcBorders>
          </w:tcPr>
          <w:p w14:paraId="6791680B"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72</w:t>
            </w:r>
          </w:p>
        </w:tc>
      </w:tr>
      <w:tr w:rsidR="00482812" w:rsidRPr="00482812" w14:paraId="0731AA70" w14:textId="77777777" w:rsidTr="005322D8">
        <w:trPr>
          <w:trHeight w:val="300"/>
        </w:trPr>
        <w:tc>
          <w:tcPr>
            <w:tcW w:w="3246" w:type="dxa"/>
            <w:tcBorders>
              <w:left w:val="single" w:sz="12" w:space="0" w:color="auto"/>
              <w:right w:val="single" w:sz="12" w:space="0" w:color="auto"/>
            </w:tcBorders>
          </w:tcPr>
          <w:p w14:paraId="5DDDF92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Unspecified Type</w:t>
            </w:r>
          </w:p>
        </w:tc>
        <w:tc>
          <w:tcPr>
            <w:tcW w:w="2693" w:type="dxa"/>
            <w:tcBorders>
              <w:left w:val="single" w:sz="12" w:space="0" w:color="auto"/>
              <w:right w:val="single" w:sz="12" w:space="0" w:color="auto"/>
            </w:tcBorders>
          </w:tcPr>
          <w:p w14:paraId="27AB5CD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36</w:t>
            </w:r>
          </w:p>
        </w:tc>
        <w:tc>
          <w:tcPr>
            <w:tcW w:w="3057" w:type="dxa"/>
            <w:tcBorders>
              <w:left w:val="single" w:sz="12" w:space="0" w:color="auto"/>
              <w:right w:val="single" w:sz="12" w:space="0" w:color="auto"/>
            </w:tcBorders>
          </w:tcPr>
          <w:p w14:paraId="7415E65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60</w:t>
            </w:r>
          </w:p>
        </w:tc>
      </w:tr>
      <w:tr w:rsidR="00482812" w:rsidRPr="00482812" w14:paraId="21F9A6FF" w14:textId="77777777" w:rsidTr="005322D8">
        <w:trPr>
          <w:trHeight w:val="300"/>
        </w:trPr>
        <w:tc>
          <w:tcPr>
            <w:tcW w:w="3246" w:type="dxa"/>
            <w:tcBorders>
              <w:left w:val="single" w:sz="12" w:space="0" w:color="auto"/>
              <w:right w:val="single" w:sz="12" w:space="0" w:color="auto"/>
            </w:tcBorders>
          </w:tcPr>
          <w:p w14:paraId="17644BA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Shape specified</w:t>
            </w:r>
          </w:p>
        </w:tc>
        <w:tc>
          <w:tcPr>
            <w:tcW w:w="2693" w:type="dxa"/>
            <w:tcBorders>
              <w:left w:val="single" w:sz="12" w:space="0" w:color="auto"/>
              <w:right w:val="single" w:sz="12" w:space="0" w:color="auto"/>
            </w:tcBorders>
          </w:tcPr>
          <w:p w14:paraId="7DB70BA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57" w:type="dxa"/>
            <w:tcBorders>
              <w:left w:val="single" w:sz="12" w:space="0" w:color="auto"/>
              <w:right w:val="single" w:sz="12" w:space="0" w:color="auto"/>
            </w:tcBorders>
          </w:tcPr>
          <w:p w14:paraId="7246D22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15</w:t>
            </w:r>
          </w:p>
        </w:tc>
      </w:tr>
      <w:tr w:rsidR="00482812" w:rsidRPr="00482812" w14:paraId="544B060B" w14:textId="77777777" w:rsidTr="005322D8">
        <w:trPr>
          <w:trHeight w:val="300"/>
        </w:trPr>
        <w:tc>
          <w:tcPr>
            <w:tcW w:w="3246" w:type="dxa"/>
            <w:tcBorders>
              <w:left w:val="single" w:sz="12" w:space="0" w:color="auto"/>
              <w:right w:val="single" w:sz="12" w:space="0" w:color="auto"/>
            </w:tcBorders>
          </w:tcPr>
          <w:p w14:paraId="0188435B"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Size specified</w:t>
            </w:r>
          </w:p>
        </w:tc>
        <w:tc>
          <w:tcPr>
            <w:tcW w:w="2693" w:type="dxa"/>
            <w:tcBorders>
              <w:left w:val="single" w:sz="12" w:space="0" w:color="auto"/>
              <w:right w:val="single" w:sz="12" w:space="0" w:color="auto"/>
            </w:tcBorders>
          </w:tcPr>
          <w:p w14:paraId="638CAEC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3057" w:type="dxa"/>
            <w:tcBorders>
              <w:left w:val="single" w:sz="12" w:space="0" w:color="auto"/>
              <w:right w:val="single" w:sz="12" w:space="0" w:color="auto"/>
            </w:tcBorders>
          </w:tcPr>
          <w:p w14:paraId="271B103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10</w:t>
            </w:r>
          </w:p>
        </w:tc>
      </w:tr>
      <w:tr w:rsidR="00482812" w:rsidRPr="00482812" w14:paraId="283DC4B5" w14:textId="77777777" w:rsidTr="005322D8">
        <w:trPr>
          <w:trHeight w:val="300"/>
        </w:trPr>
        <w:tc>
          <w:tcPr>
            <w:tcW w:w="3246" w:type="dxa"/>
            <w:tcBorders>
              <w:left w:val="single" w:sz="12" w:space="0" w:color="auto"/>
              <w:right w:val="single" w:sz="12" w:space="0" w:color="auto"/>
            </w:tcBorders>
          </w:tcPr>
          <w:p w14:paraId="5D33C6EF"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Material specified</w:t>
            </w:r>
          </w:p>
        </w:tc>
        <w:tc>
          <w:tcPr>
            <w:tcW w:w="2693" w:type="dxa"/>
            <w:tcBorders>
              <w:left w:val="single" w:sz="12" w:space="0" w:color="auto"/>
              <w:right w:val="single" w:sz="12" w:space="0" w:color="auto"/>
            </w:tcBorders>
          </w:tcPr>
          <w:p w14:paraId="2663B11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57" w:type="dxa"/>
            <w:tcBorders>
              <w:left w:val="single" w:sz="12" w:space="0" w:color="auto"/>
              <w:right w:val="single" w:sz="12" w:space="0" w:color="auto"/>
            </w:tcBorders>
          </w:tcPr>
          <w:p w14:paraId="598D994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5C55C333" w14:textId="77777777" w:rsidTr="005322D8">
        <w:trPr>
          <w:trHeight w:val="300"/>
        </w:trPr>
        <w:tc>
          <w:tcPr>
            <w:tcW w:w="3246" w:type="dxa"/>
            <w:tcBorders>
              <w:left w:val="single" w:sz="12" w:space="0" w:color="auto"/>
              <w:bottom w:val="single" w:sz="12" w:space="0" w:color="auto"/>
              <w:right w:val="single" w:sz="12" w:space="0" w:color="auto"/>
            </w:tcBorders>
          </w:tcPr>
          <w:p w14:paraId="64B02905"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Form specified</w:t>
            </w:r>
          </w:p>
        </w:tc>
        <w:tc>
          <w:tcPr>
            <w:tcW w:w="2693" w:type="dxa"/>
            <w:tcBorders>
              <w:left w:val="single" w:sz="12" w:space="0" w:color="auto"/>
              <w:bottom w:val="single" w:sz="12" w:space="0" w:color="auto"/>
              <w:right w:val="single" w:sz="12" w:space="0" w:color="auto"/>
            </w:tcBorders>
          </w:tcPr>
          <w:p w14:paraId="552299C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57" w:type="dxa"/>
            <w:tcBorders>
              <w:left w:val="single" w:sz="12" w:space="0" w:color="auto"/>
              <w:bottom w:val="single" w:sz="12" w:space="0" w:color="auto"/>
              <w:right w:val="single" w:sz="12" w:space="0" w:color="auto"/>
            </w:tcBorders>
          </w:tcPr>
          <w:p w14:paraId="2B7255E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r>
      <w:tr w:rsidR="00482812" w:rsidRPr="00482812" w14:paraId="3BB99E91" w14:textId="77777777" w:rsidTr="005322D8">
        <w:trPr>
          <w:trHeight w:val="300"/>
        </w:trPr>
        <w:tc>
          <w:tcPr>
            <w:tcW w:w="3246" w:type="dxa"/>
            <w:tcBorders>
              <w:top w:val="single" w:sz="12" w:space="0" w:color="auto"/>
              <w:left w:val="single" w:sz="12" w:space="0" w:color="auto"/>
              <w:bottom w:val="single" w:sz="12" w:space="0" w:color="auto"/>
              <w:right w:val="single" w:sz="12" w:space="0" w:color="auto"/>
            </w:tcBorders>
          </w:tcPr>
          <w:p w14:paraId="612E5E48" w14:textId="77777777" w:rsidR="00482812" w:rsidRPr="00482812" w:rsidRDefault="00482812" w:rsidP="00482812">
            <w:pPr>
              <w:spacing w:after="0" w:line="240" w:lineRule="auto"/>
              <w:rPr>
                <w:sz w:val="22"/>
                <w:szCs w:val="22"/>
                <w:lang w:eastAsia="en-US"/>
              </w:rPr>
            </w:pPr>
            <w:r w:rsidRPr="00482812">
              <w:rPr>
                <w:sz w:val="22"/>
                <w:szCs w:val="22"/>
                <w:lang w:eastAsia="en-US"/>
              </w:rPr>
              <w:t>Total</w:t>
            </w:r>
          </w:p>
        </w:tc>
        <w:tc>
          <w:tcPr>
            <w:tcW w:w="2693" w:type="dxa"/>
            <w:tcBorders>
              <w:top w:val="single" w:sz="12" w:space="0" w:color="auto"/>
              <w:left w:val="single" w:sz="12" w:space="0" w:color="auto"/>
              <w:bottom w:val="single" w:sz="12" w:space="0" w:color="auto"/>
              <w:right w:val="single" w:sz="12" w:space="0" w:color="auto"/>
            </w:tcBorders>
          </w:tcPr>
          <w:p w14:paraId="4AE3D96E"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38</w:t>
            </w:r>
          </w:p>
        </w:tc>
        <w:tc>
          <w:tcPr>
            <w:tcW w:w="3057" w:type="dxa"/>
            <w:tcBorders>
              <w:top w:val="single" w:sz="12" w:space="0" w:color="auto"/>
              <w:left w:val="single" w:sz="12" w:space="0" w:color="auto"/>
              <w:bottom w:val="single" w:sz="12" w:space="0" w:color="auto"/>
              <w:right w:val="single" w:sz="12" w:space="0" w:color="auto"/>
            </w:tcBorders>
          </w:tcPr>
          <w:p w14:paraId="221932AB"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72</w:t>
            </w:r>
          </w:p>
        </w:tc>
      </w:tr>
    </w:tbl>
    <w:p w14:paraId="5B04EF59" w14:textId="77777777" w:rsidR="00482812" w:rsidRPr="00482812" w:rsidRDefault="00482812" w:rsidP="00482812">
      <w:pPr>
        <w:jc w:val="center"/>
        <w:rPr>
          <w:rFonts w:cs="Calibri"/>
          <w:sz w:val="22"/>
          <w:szCs w:val="22"/>
        </w:rPr>
      </w:pPr>
    </w:p>
    <w:p w14:paraId="675F1EE4" w14:textId="353B6D3B" w:rsidR="00482812" w:rsidRPr="00482812" w:rsidRDefault="00482812" w:rsidP="00482812">
      <w:pPr>
        <w:jc w:val="center"/>
        <w:rPr>
          <w:rFonts w:cs="Calibri"/>
          <w:sz w:val="22"/>
          <w:szCs w:val="22"/>
        </w:rPr>
      </w:pPr>
      <w:r w:rsidRPr="00482812">
        <w:rPr>
          <w:rFonts w:cs="Calibri"/>
          <w:sz w:val="22"/>
          <w:szCs w:val="22"/>
        </w:rPr>
        <w:t xml:space="preserve">Table 38 – </w:t>
      </w:r>
      <w:r w:rsidR="00B3657B" w:rsidRPr="00B3657B">
        <w:rPr>
          <w:rFonts w:cs="Calibri"/>
          <w:sz w:val="22"/>
          <w:szCs w:val="22"/>
        </w:rPr>
        <w:t>Prevalence of</w:t>
      </w:r>
      <w:r w:rsidR="00B3657B" w:rsidRPr="00482812">
        <w:rPr>
          <w:rFonts w:cs="Calibri"/>
          <w:sz w:val="22"/>
          <w:szCs w:val="22"/>
        </w:rPr>
        <w:t xml:space="preserve"> different kinds of beds and mattresses </w:t>
      </w:r>
      <w:r w:rsidR="00B3657B" w:rsidRPr="00B3657B">
        <w:rPr>
          <w:rFonts w:cs="Calibri"/>
          <w:sz w:val="22"/>
          <w:szCs w:val="22"/>
        </w:rPr>
        <w:t>in inventories within</w:t>
      </w:r>
      <w:r w:rsidR="00B3657B" w:rsidRPr="00482812">
        <w:rPr>
          <w:rFonts w:cs="Calibri"/>
          <w:sz w:val="22"/>
          <w:szCs w:val="22"/>
        </w:rPr>
        <w:t xml:space="preserve"> the Bolton-le-Sands and Prestbury wider survey</w:t>
      </w:r>
      <w:r w:rsidRPr="00482812">
        <w:rPr>
          <w:rFonts w:cs="Calibri"/>
          <w:sz w:val="22"/>
          <w:szCs w:val="22"/>
        </w:rPr>
        <w:t>.</w:t>
      </w:r>
    </w:p>
    <w:p w14:paraId="473110CE" w14:textId="77777777" w:rsidR="00482812" w:rsidRPr="00482812" w:rsidRDefault="00482812" w:rsidP="00482812">
      <w:pPr>
        <w:jc w:val="center"/>
        <w:rPr>
          <w:rFonts w:cs="Calibri"/>
          <w:sz w:val="22"/>
          <w:szCs w:val="22"/>
        </w:rPr>
      </w:pPr>
      <w:r w:rsidRPr="00482812">
        <w:rPr>
          <w:rFonts w:cs="Calibri"/>
          <w:sz w:val="22"/>
          <w:szCs w:val="22"/>
        </w:rPr>
        <w:br w:type="page"/>
      </w:r>
    </w:p>
    <w:tbl>
      <w:tblPr>
        <w:tblStyle w:val="TableGrid16"/>
        <w:tblW w:w="9132" w:type="dxa"/>
        <w:tblLayout w:type="fixed"/>
        <w:tblLook w:val="06A0" w:firstRow="1" w:lastRow="0" w:firstColumn="1" w:lastColumn="0" w:noHBand="1" w:noVBand="1"/>
      </w:tblPr>
      <w:tblGrid>
        <w:gridCol w:w="2820"/>
        <w:gridCol w:w="1560"/>
        <w:gridCol w:w="1559"/>
        <w:gridCol w:w="1559"/>
        <w:gridCol w:w="1634"/>
      </w:tblGrid>
      <w:tr w:rsidR="00482812" w:rsidRPr="00482812" w14:paraId="4E5AE81F" w14:textId="77777777" w:rsidTr="005322D8">
        <w:trPr>
          <w:trHeight w:val="300"/>
        </w:trPr>
        <w:tc>
          <w:tcPr>
            <w:tcW w:w="2820" w:type="dxa"/>
            <w:vMerge w:val="restart"/>
            <w:tcBorders>
              <w:top w:val="single" w:sz="12" w:space="0" w:color="auto"/>
              <w:left w:val="single" w:sz="12" w:space="0" w:color="auto"/>
              <w:right w:val="single" w:sz="12" w:space="0" w:color="auto"/>
            </w:tcBorders>
          </w:tcPr>
          <w:p w14:paraId="405E91F7" w14:textId="77777777" w:rsidR="00482812" w:rsidRPr="00482812" w:rsidRDefault="00482812" w:rsidP="00482812">
            <w:pPr>
              <w:spacing w:after="0" w:line="240" w:lineRule="auto"/>
              <w:rPr>
                <w:sz w:val="22"/>
                <w:szCs w:val="22"/>
                <w:lang w:eastAsia="en-US"/>
              </w:rPr>
            </w:pPr>
          </w:p>
        </w:tc>
        <w:tc>
          <w:tcPr>
            <w:tcW w:w="3119" w:type="dxa"/>
            <w:gridSpan w:val="2"/>
            <w:tcBorders>
              <w:top w:val="single" w:sz="12" w:space="0" w:color="auto"/>
              <w:left w:val="single" w:sz="12" w:space="0" w:color="auto"/>
              <w:bottom w:val="single" w:sz="12" w:space="0" w:color="auto"/>
              <w:right w:val="single" w:sz="12" w:space="0" w:color="auto"/>
            </w:tcBorders>
          </w:tcPr>
          <w:p w14:paraId="0712967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Inventories</w:t>
            </w:r>
          </w:p>
        </w:tc>
        <w:tc>
          <w:tcPr>
            <w:tcW w:w="3193" w:type="dxa"/>
            <w:gridSpan w:val="2"/>
            <w:tcBorders>
              <w:top w:val="single" w:sz="12" w:space="0" w:color="auto"/>
              <w:left w:val="single" w:sz="12" w:space="0" w:color="auto"/>
              <w:bottom w:val="single" w:sz="12" w:space="0" w:color="auto"/>
              <w:right w:val="single" w:sz="12" w:space="0" w:color="auto"/>
            </w:tcBorders>
          </w:tcPr>
          <w:p w14:paraId="6F23E025"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Wills</w:t>
            </w:r>
          </w:p>
        </w:tc>
      </w:tr>
      <w:tr w:rsidR="00482812" w:rsidRPr="00482812" w14:paraId="0213D41A" w14:textId="77777777" w:rsidTr="005322D8">
        <w:trPr>
          <w:trHeight w:val="300"/>
        </w:trPr>
        <w:tc>
          <w:tcPr>
            <w:tcW w:w="2820" w:type="dxa"/>
            <w:vMerge/>
            <w:tcBorders>
              <w:left w:val="single" w:sz="12" w:space="0" w:color="auto"/>
              <w:bottom w:val="single" w:sz="12" w:space="0" w:color="auto"/>
              <w:right w:val="single" w:sz="12" w:space="0" w:color="auto"/>
            </w:tcBorders>
          </w:tcPr>
          <w:p w14:paraId="1087D0B2" w14:textId="77777777" w:rsidR="00482812" w:rsidRPr="00482812" w:rsidRDefault="00482812" w:rsidP="00482812">
            <w:pPr>
              <w:spacing w:after="0" w:line="240" w:lineRule="auto"/>
              <w:rPr>
                <w:sz w:val="22"/>
                <w:szCs w:val="22"/>
                <w:lang w:eastAsia="en-US"/>
              </w:rPr>
            </w:pPr>
          </w:p>
        </w:tc>
        <w:tc>
          <w:tcPr>
            <w:tcW w:w="1560" w:type="dxa"/>
            <w:tcBorders>
              <w:top w:val="single" w:sz="12" w:space="0" w:color="auto"/>
              <w:left w:val="single" w:sz="12" w:space="0" w:color="auto"/>
              <w:bottom w:val="single" w:sz="12" w:space="0" w:color="auto"/>
              <w:right w:val="single" w:sz="12" w:space="0" w:color="auto"/>
            </w:tcBorders>
          </w:tcPr>
          <w:p w14:paraId="455DF19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B-L-S</w:t>
            </w:r>
          </w:p>
        </w:tc>
        <w:tc>
          <w:tcPr>
            <w:tcW w:w="1559" w:type="dxa"/>
            <w:tcBorders>
              <w:top w:val="single" w:sz="12" w:space="0" w:color="auto"/>
              <w:left w:val="single" w:sz="12" w:space="0" w:color="auto"/>
              <w:bottom w:val="single" w:sz="12" w:space="0" w:color="auto"/>
              <w:right w:val="single" w:sz="12" w:space="0" w:color="auto"/>
            </w:tcBorders>
          </w:tcPr>
          <w:p w14:paraId="4009044B"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Pr.</w:t>
            </w:r>
          </w:p>
        </w:tc>
        <w:tc>
          <w:tcPr>
            <w:tcW w:w="1559" w:type="dxa"/>
            <w:tcBorders>
              <w:top w:val="single" w:sz="12" w:space="0" w:color="auto"/>
              <w:left w:val="single" w:sz="12" w:space="0" w:color="auto"/>
              <w:bottom w:val="single" w:sz="12" w:space="0" w:color="auto"/>
              <w:right w:val="single" w:sz="12" w:space="0" w:color="auto"/>
            </w:tcBorders>
          </w:tcPr>
          <w:p w14:paraId="34F6891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B-L-S</w:t>
            </w:r>
          </w:p>
        </w:tc>
        <w:tc>
          <w:tcPr>
            <w:tcW w:w="1634" w:type="dxa"/>
            <w:tcBorders>
              <w:top w:val="single" w:sz="12" w:space="0" w:color="auto"/>
              <w:left w:val="single" w:sz="12" w:space="0" w:color="auto"/>
              <w:bottom w:val="single" w:sz="12" w:space="0" w:color="auto"/>
              <w:right w:val="single" w:sz="12" w:space="0" w:color="auto"/>
            </w:tcBorders>
          </w:tcPr>
          <w:p w14:paraId="70F50027"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Pr.</w:t>
            </w:r>
          </w:p>
        </w:tc>
      </w:tr>
      <w:tr w:rsidR="00482812" w:rsidRPr="00482812" w14:paraId="3A9D44C9" w14:textId="77777777" w:rsidTr="005322D8">
        <w:trPr>
          <w:trHeight w:val="300"/>
        </w:trPr>
        <w:tc>
          <w:tcPr>
            <w:tcW w:w="2820" w:type="dxa"/>
            <w:tcBorders>
              <w:top w:val="single" w:sz="12" w:space="0" w:color="auto"/>
              <w:left w:val="single" w:sz="12" w:space="0" w:color="auto"/>
              <w:right w:val="single" w:sz="12" w:space="0" w:color="auto"/>
            </w:tcBorders>
          </w:tcPr>
          <w:p w14:paraId="4DBCADB4" w14:textId="77777777" w:rsidR="00482812" w:rsidRPr="00482812" w:rsidRDefault="00482812" w:rsidP="00482812">
            <w:pPr>
              <w:spacing w:after="0" w:line="240" w:lineRule="auto"/>
              <w:rPr>
                <w:sz w:val="22"/>
                <w:szCs w:val="22"/>
                <w:lang w:eastAsia="en-US"/>
              </w:rPr>
            </w:pPr>
            <w:r w:rsidRPr="00482812">
              <w:rPr>
                <w:sz w:val="22"/>
                <w:szCs w:val="22"/>
                <w:lang w:eastAsia="en-US"/>
              </w:rPr>
              <w:t>Bed Furniture</w:t>
            </w:r>
          </w:p>
        </w:tc>
        <w:tc>
          <w:tcPr>
            <w:tcW w:w="1560" w:type="dxa"/>
            <w:tcBorders>
              <w:top w:val="single" w:sz="12" w:space="0" w:color="auto"/>
              <w:left w:val="single" w:sz="12" w:space="0" w:color="auto"/>
              <w:right w:val="single" w:sz="12" w:space="0" w:color="auto"/>
            </w:tcBorders>
          </w:tcPr>
          <w:p w14:paraId="5A60BE7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55</w:t>
            </w:r>
          </w:p>
        </w:tc>
        <w:tc>
          <w:tcPr>
            <w:tcW w:w="1559" w:type="dxa"/>
            <w:tcBorders>
              <w:top w:val="single" w:sz="12" w:space="0" w:color="auto"/>
              <w:left w:val="single" w:sz="12" w:space="0" w:color="auto"/>
              <w:right w:val="single" w:sz="12" w:space="0" w:color="auto"/>
            </w:tcBorders>
          </w:tcPr>
          <w:p w14:paraId="4C76BCAF"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57</w:t>
            </w:r>
          </w:p>
        </w:tc>
        <w:tc>
          <w:tcPr>
            <w:tcW w:w="1559" w:type="dxa"/>
            <w:tcBorders>
              <w:top w:val="single" w:sz="12" w:space="0" w:color="auto"/>
              <w:left w:val="single" w:sz="12" w:space="0" w:color="auto"/>
              <w:right w:val="single" w:sz="12" w:space="0" w:color="auto"/>
            </w:tcBorders>
          </w:tcPr>
          <w:p w14:paraId="023151EE"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13</w:t>
            </w:r>
          </w:p>
        </w:tc>
        <w:tc>
          <w:tcPr>
            <w:tcW w:w="1634" w:type="dxa"/>
            <w:tcBorders>
              <w:top w:val="single" w:sz="12" w:space="0" w:color="auto"/>
              <w:left w:val="single" w:sz="12" w:space="0" w:color="auto"/>
              <w:right w:val="single" w:sz="12" w:space="0" w:color="auto"/>
            </w:tcBorders>
          </w:tcPr>
          <w:p w14:paraId="3920CE76"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7</w:t>
            </w:r>
          </w:p>
        </w:tc>
      </w:tr>
      <w:tr w:rsidR="00482812" w:rsidRPr="00482812" w14:paraId="2AC3DED5" w14:textId="77777777" w:rsidTr="005322D8">
        <w:trPr>
          <w:trHeight w:val="300"/>
        </w:trPr>
        <w:tc>
          <w:tcPr>
            <w:tcW w:w="2820" w:type="dxa"/>
            <w:tcBorders>
              <w:left w:val="single" w:sz="12" w:space="0" w:color="auto"/>
              <w:right w:val="single" w:sz="12" w:space="0" w:color="auto"/>
            </w:tcBorders>
          </w:tcPr>
          <w:p w14:paraId="3E649B2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w:t>
            </w:r>
            <w:proofErr w:type="spellStart"/>
            <w:r w:rsidRPr="00482812">
              <w:rPr>
                <w:b w:val="0"/>
                <w:bCs w:val="0"/>
                <w:sz w:val="22"/>
                <w:szCs w:val="22"/>
                <w:lang w:eastAsia="en-US"/>
              </w:rPr>
              <w:t>Bedstocks</w:t>
            </w:r>
            <w:proofErr w:type="spellEnd"/>
          </w:p>
        </w:tc>
        <w:tc>
          <w:tcPr>
            <w:tcW w:w="1560" w:type="dxa"/>
            <w:tcBorders>
              <w:left w:val="single" w:sz="12" w:space="0" w:color="auto"/>
              <w:right w:val="single" w:sz="12" w:space="0" w:color="auto"/>
            </w:tcBorders>
          </w:tcPr>
          <w:p w14:paraId="34A1E41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33</w:t>
            </w:r>
          </w:p>
        </w:tc>
        <w:tc>
          <w:tcPr>
            <w:tcW w:w="1559" w:type="dxa"/>
            <w:tcBorders>
              <w:left w:val="single" w:sz="12" w:space="0" w:color="auto"/>
              <w:right w:val="single" w:sz="12" w:space="0" w:color="auto"/>
            </w:tcBorders>
          </w:tcPr>
          <w:p w14:paraId="41B9136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31</w:t>
            </w:r>
          </w:p>
        </w:tc>
        <w:tc>
          <w:tcPr>
            <w:tcW w:w="1559" w:type="dxa"/>
            <w:tcBorders>
              <w:left w:val="single" w:sz="12" w:space="0" w:color="auto"/>
              <w:right w:val="single" w:sz="12" w:space="0" w:color="auto"/>
            </w:tcBorders>
          </w:tcPr>
          <w:p w14:paraId="742A8C0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w:t>
            </w:r>
          </w:p>
        </w:tc>
        <w:tc>
          <w:tcPr>
            <w:tcW w:w="1634" w:type="dxa"/>
            <w:tcBorders>
              <w:left w:val="single" w:sz="12" w:space="0" w:color="auto"/>
              <w:right w:val="single" w:sz="12" w:space="0" w:color="auto"/>
            </w:tcBorders>
          </w:tcPr>
          <w:p w14:paraId="1F4B673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r>
      <w:tr w:rsidR="00482812" w:rsidRPr="00482812" w14:paraId="69D92C93" w14:textId="77777777" w:rsidTr="005322D8">
        <w:trPr>
          <w:trHeight w:val="300"/>
        </w:trPr>
        <w:tc>
          <w:tcPr>
            <w:tcW w:w="2820" w:type="dxa"/>
            <w:tcBorders>
              <w:left w:val="single" w:sz="12" w:space="0" w:color="auto"/>
              <w:right w:val="single" w:sz="12" w:space="0" w:color="auto"/>
            </w:tcBorders>
          </w:tcPr>
          <w:p w14:paraId="37486526"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Bedstead</w:t>
            </w:r>
          </w:p>
        </w:tc>
        <w:tc>
          <w:tcPr>
            <w:tcW w:w="1560" w:type="dxa"/>
            <w:tcBorders>
              <w:left w:val="single" w:sz="12" w:space="0" w:color="auto"/>
              <w:right w:val="single" w:sz="12" w:space="0" w:color="auto"/>
            </w:tcBorders>
          </w:tcPr>
          <w:p w14:paraId="6F5D3F7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22</w:t>
            </w:r>
          </w:p>
        </w:tc>
        <w:tc>
          <w:tcPr>
            <w:tcW w:w="1559" w:type="dxa"/>
            <w:tcBorders>
              <w:left w:val="single" w:sz="12" w:space="0" w:color="auto"/>
              <w:right w:val="single" w:sz="12" w:space="0" w:color="auto"/>
            </w:tcBorders>
          </w:tcPr>
          <w:p w14:paraId="675992B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26</w:t>
            </w:r>
          </w:p>
        </w:tc>
        <w:tc>
          <w:tcPr>
            <w:tcW w:w="1559" w:type="dxa"/>
            <w:tcBorders>
              <w:left w:val="single" w:sz="12" w:space="0" w:color="auto"/>
              <w:right w:val="single" w:sz="12" w:space="0" w:color="auto"/>
            </w:tcBorders>
          </w:tcPr>
          <w:p w14:paraId="725DB34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w:t>
            </w:r>
          </w:p>
        </w:tc>
        <w:tc>
          <w:tcPr>
            <w:tcW w:w="1634" w:type="dxa"/>
            <w:tcBorders>
              <w:left w:val="single" w:sz="12" w:space="0" w:color="auto"/>
              <w:right w:val="single" w:sz="12" w:space="0" w:color="auto"/>
            </w:tcBorders>
          </w:tcPr>
          <w:p w14:paraId="0FB33A8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77677219" w14:textId="77777777" w:rsidTr="005322D8">
        <w:trPr>
          <w:trHeight w:val="300"/>
        </w:trPr>
        <w:tc>
          <w:tcPr>
            <w:tcW w:w="2820" w:type="dxa"/>
            <w:tcBorders>
              <w:left w:val="single" w:sz="12" w:space="0" w:color="auto"/>
              <w:right w:val="single" w:sz="12" w:space="0" w:color="auto"/>
            </w:tcBorders>
          </w:tcPr>
          <w:p w14:paraId="4B8FF3F2"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Standing</w:t>
            </w:r>
          </w:p>
          <w:p w14:paraId="6C8E5E02"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bed/bedstead</w:t>
            </w:r>
          </w:p>
        </w:tc>
        <w:tc>
          <w:tcPr>
            <w:tcW w:w="1560" w:type="dxa"/>
            <w:tcBorders>
              <w:left w:val="single" w:sz="12" w:space="0" w:color="auto"/>
              <w:right w:val="single" w:sz="12" w:space="0" w:color="auto"/>
            </w:tcBorders>
          </w:tcPr>
          <w:p w14:paraId="2CB95D6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59" w:type="dxa"/>
            <w:tcBorders>
              <w:left w:val="single" w:sz="12" w:space="0" w:color="auto"/>
              <w:right w:val="single" w:sz="12" w:space="0" w:color="auto"/>
            </w:tcBorders>
          </w:tcPr>
          <w:p w14:paraId="5E41EB3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w:t>
            </w:r>
          </w:p>
        </w:tc>
        <w:tc>
          <w:tcPr>
            <w:tcW w:w="1559" w:type="dxa"/>
            <w:tcBorders>
              <w:left w:val="single" w:sz="12" w:space="0" w:color="auto"/>
              <w:right w:val="single" w:sz="12" w:space="0" w:color="auto"/>
            </w:tcBorders>
          </w:tcPr>
          <w:p w14:paraId="21EAC91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34" w:type="dxa"/>
            <w:tcBorders>
              <w:left w:val="single" w:sz="12" w:space="0" w:color="auto"/>
              <w:right w:val="single" w:sz="12" w:space="0" w:color="auto"/>
            </w:tcBorders>
          </w:tcPr>
          <w:p w14:paraId="4732800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0C1D929A" w14:textId="77777777" w:rsidTr="005322D8">
        <w:trPr>
          <w:trHeight w:val="300"/>
        </w:trPr>
        <w:tc>
          <w:tcPr>
            <w:tcW w:w="2820" w:type="dxa"/>
            <w:tcBorders>
              <w:left w:val="single" w:sz="12" w:space="0" w:color="auto"/>
              <w:right w:val="single" w:sz="12" w:space="0" w:color="auto"/>
            </w:tcBorders>
          </w:tcPr>
          <w:p w14:paraId="5691213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Sealed                </w:t>
            </w:r>
          </w:p>
          <w:p w14:paraId="18B3353C"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bed/bedstead</w:t>
            </w:r>
          </w:p>
        </w:tc>
        <w:tc>
          <w:tcPr>
            <w:tcW w:w="1560" w:type="dxa"/>
            <w:tcBorders>
              <w:left w:val="single" w:sz="12" w:space="0" w:color="auto"/>
              <w:right w:val="single" w:sz="12" w:space="0" w:color="auto"/>
            </w:tcBorders>
          </w:tcPr>
          <w:p w14:paraId="2E0E0FD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59" w:type="dxa"/>
            <w:tcBorders>
              <w:left w:val="single" w:sz="12" w:space="0" w:color="auto"/>
              <w:right w:val="single" w:sz="12" w:space="0" w:color="auto"/>
            </w:tcBorders>
          </w:tcPr>
          <w:p w14:paraId="6C83A60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1559" w:type="dxa"/>
            <w:tcBorders>
              <w:left w:val="single" w:sz="12" w:space="0" w:color="auto"/>
              <w:right w:val="single" w:sz="12" w:space="0" w:color="auto"/>
            </w:tcBorders>
          </w:tcPr>
          <w:p w14:paraId="1184D6A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34" w:type="dxa"/>
            <w:tcBorders>
              <w:left w:val="single" w:sz="12" w:space="0" w:color="auto"/>
              <w:right w:val="single" w:sz="12" w:space="0" w:color="auto"/>
            </w:tcBorders>
          </w:tcPr>
          <w:p w14:paraId="302B671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73E3C1BB" w14:textId="77777777" w:rsidTr="005322D8">
        <w:trPr>
          <w:trHeight w:val="300"/>
        </w:trPr>
        <w:tc>
          <w:tcPr>
            <w:tcW w:w="2820" w:type="dxa"/>
            <w:tcBorders>
              <w:left w:val="single" w:sz="12" w:space="0" w:color="auto"/>
              <w:right w:val="single" w:sz="12" w:space="0" w:color="auto"/>
            </w:tcBorders>
          </w:tcPr>
          <w:p w14:paraId="658DE3D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Bed with colour       </w:t>
            </w:r>
          </w:p>
          <w:p w14:paraId="0F6B0E18"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description</w:t>
            </w:r>
          </w:p>
        </w:tc>
        <w:tc>
          <w:tcPr>
            <w:tcW w:w="1560" w:type="dxa"/>
            <w:tcBorders>
              <w:left w:val="single" w:sz="12" w:space="0" w:color="auto"/>
              <w:right w:val="single" w:sz="12" w:space="0" w:color="auto"/>
            </w:tcBorders>
          </w:tcPr>
          <w:p w14:paraId="190877C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59" w:type="dxa"/>
            <w:tcBorders>
              <w:left w:val="single" w:sz="12" w:space="0" w:color="auto"/>
              <w:right w:val="single" w:sz="12" w:space="0" w:color="auto"/>
            </w:tcBorders>
          </w:tcPr>
          <w:p w14:paraId="74E7C49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1559" w:type="dxa"/>
            <w:tcBorders>
              <w:left w:val="single" w:sz="12" w:space="0" w:color="auto"/>
              <w:right w:val="single" w:sz="12" w:space="0" w:color="auto"/>
            </w:tcBorders>
          </w:tcPr>
          <w:p w14:paraId="7A6DB0A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34" w:type="dxa"/>
            <w:tcBorders>
              <w:left w:val="single" w:sz="12" w:space="0" w:color="auto"/>
              <w:right w:val="single" w:sz="12" w:space="0" w:color="auto"/>
            </w:tcBorders>
          </w:tcPr>
          <w:p w14:paraId="5D1E710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01E19632" w14:textId="77777777" w:rsidTr="005322D8">
        <w:trPr>
          <w:trHeight w:val="300"/>
        </w:trPr>
        <w:tc>
          <w:tcPr>
            <w:tcW w:w="2820" w:type="dxa"/>
            <w:tcBorders>
              <w:left w:val="single" w:sz="12" w:space="0" w:color="auto"/>
              <w:right w:val="single" w:sz="12" w:space="0" w:color="auto"/>
            </w:tcBorders>
          </w:tcPr>
          <w:p w14:paraId="038C241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Wainscot bed</w:t>
            </w:r>
          </w:p>
        </w:tc>
        <w:tc>
          <w:tcPr>
            <w:tcW w:w="1560" w:type="dxa"/>
            <w:tcBorders>
              <w:left w:val="single" w:sz="12" w:space="0" w:color="auto"/>
              <w:right w:val="single" w:sz="12" w:space="0" w:color="auto"/>
            </w:tcBorders>
          </w:tcPr>
          <w:p w14:paraId="325225B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59" w:type="dxa"/>
            <w:tcBorders>
              <w:left w:val="single" w:sz="12" w:space="0" w:color="auto"/>
              <w:right w:val="single" w:sz="12" w:space="0" w:color="auto"/>
            </w:tcBorders>
          </w:tcPr>
          <w:p w14:paraId="147D5AF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59" w:type="dxa"/>
            <w:tcBorders>
              <w:left w:val="single" w:sz="12" w:space="0" w:color="auto"/>
              <w:right w:val="single" w:sz="12" w:space="0" w:color="auto"/>
            </w:tcBorders>
          </w:tcPr>
          <w:p w14:paraId="281655E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34" w:type="dxa"/>
            <w:tcBorders>
              <w:left w:val="single" w:sz="12" w:space="0" w:color="auto"/>
              <w:right w:val="single" w:sz="12" w:space="0" w:color="auto"/>
            </w:tcBorders>
          </w:tcPr>
          <w:p w14:paraId="7BEB031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7BA622B0" w14:textId="77777777" w:rsidTr="005322D8">
        <w:trPr>
          <w:trHeight w:val="300"/>
        </w:trPr>
        <w:tc>
          <w:tcPr>
            <w:tcW w:w="2820" w:type="dxa"/>
            <w:tcBorders>
              <w:left w:val="single" w:sz="12" w:space="0" w:color="auto"/>
              <w:right w:val="single" w:sz="12" w:space="0" w:color="auto"/>
            </w:tcBorders>
          </w:tcPr>
          <w:p w14:paraId="464BA8BF"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Truckle bed</w:t>
            </w:r>
          </w:p>
        </w:tc>
        <w:tc>
          <w:tcPr>
            <w:tcW w:w="1560" w:type="dxa"/>
            <w:tcBorders>
              <w:left w:val="single" w:sz="12" w:space="0" w:color="auto"/>
              <w:right w:val="single" w:sz="12" w:space="0" w:color="auto"/>
            </w:tcBorders>
          </w:tcPr>
          <w:p w14:paraId="5F95842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59" w:type="dxa"/>
            <w:tcBorders>
              <w:left w:val="single" w:sz="12" w:space="0" w:color="auto"/>
              <w:right w:val="single" w:sz="12" w:space="0" w:color="auto"/>
            </w:tcBorders>
          </w:tcPr>
          <w:p w14:paraId="05FB91B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w:t>
            </w:r>
          </w:p>
        </w:tc>
        <w:tc>
          <w:tcPr>
            <w:tcW w:w="1559" w:type="dxa"/>
            <w:tcBorders>
              <w:left w:val="single" w:sz="12" w:space="0" w:color="auto"/>
              <w:right w:val="single" w:sz="12" w:space="0" w:color="auto"/>
            </w:tcBorders>
          </w:tcPr>
          <w:p w14:paraId="1F116F7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34" w:type="dxa"/>
            <w:tcBorders>
              <w:left w:val="single" w:sz="12" w:space="0" w:color="auto"/>
              <w:right w:val="single" w:sz="12" w:space="0" w:color="auto"/>
            </w:tcBorders>
          </w:tcPr>
          <w:p w14:paraId="7AED461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72BE120D" w14:textId="77777777" w:rsidTr="005322D8">
        <w:trPr>
          <w:trHeight w:val="300"/>
        </w:trPr>
        <w:tc>
          <w:tcPr>
            <w:tcW w:w="2820" w:type="dxa"/>
            <w:tcBorders>
              <w:left w:val="single" w:sz="12" w:space="0" w:color="auto"/>
              <w:bottom w:val="single" w:sz="12" w:space="0" w:color="auto"/>
              <w:right w:val="single" w:sz="12" w:space="0" w:color="auto"/>
            </w:tcBorders>
          </w:tcPr>
          <w:p w14:paraId="2F8DA769"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Lower </w:t>
            </w:r>
          </w:p>
          <w:p w14:paraId="685C292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bed/bedstead</w:t>
            </w:r>
          </w:p>
        </w:tc>
        <w:tc>
          <w:tcPr>
            <w:tcW w:w="1560" w:type="dxa"/>
            <w:tcBorders>
              <w:left w:val="single" w:sz="12" w:space="0" w:color="auto"/>
              <w:bottom w:val="single" w:sz="12" w:space="0" w:color="auto"/>
              <w:right w:val="single" w:sz="12" w:space="0" w:color="auto"/>
            </w:tcBorders>
          </w:tcPr>
          <w:p w14:paraId="32A3BE5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59" w:type="dxa"/>
            <w:tcBorders>
              <w:left w:val="single" w:sz="12" w:space="0" w:color="auto"/>
              <w:bottom w:val="single" w:sz="12" w:space="0" w:color="auto"/>
              <w:right w:val="single" w:sz="12" w:space="0" w:color="auto"/>
            </w:tcBorders>
          </w:tcPr>
          <w:p w14:paraId="4ECA158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1559" w:type="dxa"/>
            <w:tcBorders>
              <w:left w:val="single" w:sz="12" w:space="0" w:color="auto"/>
              <w:bottom w:val="single" w:sz="12" w:space="0" w:color="auto"/>
              <w:right w:val="single" w:sz="12" w:space="0" w:color="auto"/>
            </w:tcBorders>
          </w:tcPr>
          <w:p w14:paraId="39A7C00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34" w:type="dxa"/>
            <w:tcBorders>
              <w:left w:val="single" w:sz="12" w:space="0" w:color="auto"/>
              <w:bottom w:val="single" w:sz="12" w:space="0" w:color="auto"/>
              <w:right w:val="single" w:sz="12" w:space="0" w:color="auto"/>
            </w:tcBorders>
          </w:tcPr>
          <w:p w14:paraId="737F391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428D3390" w14:textId="77777777" w:rsidTr="005322D8">
        <w:trPr>
          <w:trHeight w:val="300"/>
        </w:trPr>
        <w:tc>
          <w:tcPr>
            <w:tcW w:w="2820" w:type="dxa"/>
            <w:tcBorders>
              <w:top w:val="single" w:sz="12" w:space="0" w:color="auto"/>
              <w:left w:val="single" w:sz="12" w:space="0" w:color="auto"/>
              <w:right w:val="single" w:sz="12" w:space="0" w:color="auto"/>
            </w:tcBorders>
          </w:tcPr>
          <w:p w14:paraId="00C76FBE" w14:textId="77777777" w:rsidR="00482812" w:rsidRPr="00482812" w:rsidRDefault="00482812" w:rsidP="00482812">
            <w:pPr>
              <w:spacing w:after="0" w:line="240" w:lineRule="auto"/>
              <w:rPr>
                <w:sz w:val="22"/>
                <w:szCs w:val="22"/>
                <w:lang w:eastAsia="en-US"/>
              </w:rPr>
            </w:pPr>
            <w:r w:rsidRPr="00482812">
              <w:rPr>
                <w:sz w:val="22"/>
                <w:szCs w:val="22"/>
                <w:lang w:eastAsia="en-US"/>
              </w:rPr>
              <w:t>‘Bed’ (mattress only OR mattress + furniture)</w:t>
            </w:r>
          </w:p>
        </w:tc>
        <w:tc>
          <w:tcPr>
            <w:tcW w:w="1560" w:type="dxa"/>
            <w:tcBorders>
              <w:top w:val="single" w:sz="12" w:space="0" w:color="auto"/>
              <w:left w:val="single" w:sz="12" w:space="0" w:color="auto"/>
              <w:right w:val="single" w:sz="12" w:space="0" w:color="auto"/>
            </w:tcBorders>
          </w:tcPr>
          <w:p w14:paraId="7E16789A"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17</w:t>
            </w:r>
          </w:p>
        </w:tc>
        <w:tc>
          <w:tcPr>
            <w:tcW w:w="1559" w:type="dxa"/>
            <w:tcBorders>
              <w:top w:val="single" w:sz="12" w:space="0" w:color="auto"/>
              <w:left w:val="single" w:sz="12" w:space="0" w:color="auto"/>
              <w:right w:val="single" w:sz="12" w:space="0" w:color="auto"/>
            </w:tcBorders>
          </w:tcPr>
          <w:p w14:paraId="3F1DAF12"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54</w:t>
            </w:r>
          </w:p>
        </w:tc>
        <w:tc>
          <w:tcPr>
            <w:tcW w:w="1559" w:type="dxa"/>
            <w:tcBorders>
              <w:top w:val="single" w:sz="12" w:space="0" w:color="auto"/>
              <w:left w:val="single" w:sz="12" w:space="0" w:color="auto"/>
              <w:right w:val="single" w:sz="12" w:space="0" w:color="auto"/>
            </w:tcBorders>
          </w:tcPr>
          <w:p w14:paraId="70D225F8"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4</w:t>
            </w:r>
          </w:p>
        </w:tc>
        <w:tc>
          <w:tcPr>
            <w:tcW w:w="1634" w:type="dxa"/>
            <w:tcBorders>
              <w:top w:val="single" w:sz="12" w:space="0" w:color="auto"/>
              <w:left w:val="single" w:sz="12" w:space="0" w:color="auto"/>
              <w:right w:val="single" w:sz="12" w:space="0" w:color="auto"/>
            </w:tcBorders>
          </w:tcPr>
          <w:p w14:paraId="49079287"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21</w:t>
            </w:r>
          </w:p>
        </w:tc>
      </w:tr>
      <w:tr w:rsidR="00482812" w:rsidRPr="00482812" w14:paraId="2A7EB6D1" w14:textId="77777777" w:rsidTr="005322D8">
        <w:trPr>
          <w:trHeight w:val="300"/>
        </w:trPr>
        <w:tc>
          <w:tcPr>
            <w:tcW w:w="2820" w:type="dxa"/>
            <w:tcBorders>
              <w:left w:val="single" w:sz="12" w:space="0" w:color="auto"/>
              <w:right w:val="single" w:sz="12" w:space="0" w:color="auto"/>
            </w:tcBorders>
          </w:tcPr>
          <w:p w14:paraId="3DFFF214"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Unspecified</w:t>
            </w:r>
          </w:p>
        </w:tc>
        <w:tc>
          <w:tcPr>
            <w:tcW w:w="1560" w:type="dxa"/>
            <w:tcBorders>
              <w:left w:val="single" w:sz="12" w:space="0" w:color="auto"/>
              <w:right w:val="single" w:sz="12" w:space="0" w:color="auto"/>
            </w:tcBorders>
          </w:tcPr>
          <w:p w14:paraId="1EF6D02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w:t>
            </w:r>
          </w:p>
        </w:tc>
        <w:tc>
          <w:tcPr>
            <w:tcW w:w="1559" w:type="dxa"/>
            <w:tcBorders>
              <w:left w:val="single" w:sz="12" w:space="0" w:color="auto"/>
              <w:right w:val="single" w:sz="12" w:space="0" w:color="auto"/>
            </w:tcBorders>
          </w:tcPr>
          <w:p w14:paraId="7D9BDDF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41</w:t>
            </w:r>
          </w:p>
        </w:tc>
        <w:tc>
          <w:tcPr>
            <w:tcW w:w="1559" w:type="dxa"/>
            <w:tcBorders>
              <w:left w:val="single" w:sz="12" w:space="0" w:color="auto"/>
              <w:right w:val="single" w:sz="12" w:space="0" w:color="auto"/>
            </w:tcBorders>
          </w:tcPr>
          <w:p w14:paraId="5F9FA50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c>
          <w:tcPr>
            <w:tcW w:w="1634" w:type="dxa"/>
            <w:tcBorders>
              <w:left w:val="single" w:sz="12" w:space="0" w:color="auto"/>
              <w:right w:val="single" w:sz="12" w:space="0" w:color="auto"/>
            </w:tcBorders>
          </w:tcPr>
          <w:p w14:paraId="0A8BA67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19</w:t>
            </w:r>
          </w:p>
        </w:tc>
      </w:tr>
      <w:tr w:rsidR="00482812" w:rsidRPr="00482812" w14:paraId="600FDDA4" w14:textId="77777777" w:rsidTr="005322D8">
        <w:trPr>
          <w:trHeight w:val="300"/>
        </w:trPr>
        <w:tc>
          <w:tcPr>
            <w:tcW w:w="2820" w:type="dxa"/>
            <w:tcBorders>
              <w:left w:val="single" w:sz="12" w:space="0" w:color="auto"/>
              <w:right w:val="single" w:sz="12" w:space="0" w:color="auto"/>
            </w:tcBorders>
          </w:tcPr>
          <w:p w14:paraId="5A384C9C"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Feather bed</w:t>
            </w:r>
          </w:p>
        </w:tc>
        <w:tc>
          <w:tcPr>
            <w:tcW w:w="1560" w:type="dxa"/>
            <w:tcBorders>
              <w:left w:val="single" w:sz="12" w:space="0" w:color="auto"/>
              <w:right w:val="single" w:sz="12" w:space="0" w:color="auto"/>
            </w:tcBorders>
          </w:tcPr>
          <w:p w14:paraId="3CDFF0F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w:t>
            </w:r>
          </w:p>
        </w:tc>
        <w:tc>
          <w:tcPr>
            <w:tcW w:w="1559" w:type="dxa"/>
            <w:tcBorders>
              <w:left w:val="single" w:sz="12" w:space="0" w:color="auto"/>
              <w:right w:val="single" w:sz="12" w:space="0" w:color="auto"/>
            </w:tcBorders>
          </w:tcPr>
          <w:p w14:paraId="762BE39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26</w:t>
            </w:r>
          </w:p>
        </w:tc>
        <w:tc>
          <w:tcPr>
            <w:tcW w:w="1559" w:type="dxa"/>
            <w:tcBorders>
              <w:left w:val="single" w:sz="12" w:space="0" w:color="auto"/>
              <w:right w:val="single" w:sz="12" w:space="0" w:color="auto"/>
            </w:tcBorders>
          </w:tcPr>
          <w:p w14:paraId="0CC7B42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634" w:type="dxa"/>
            <w:tcBorders>
              <w:left w:val="single" w:sz="12" w:space="0" w:color="auto"/>
              <w:right w:val="single" w:sz="12" w:space="0" w:color="auto"/>
            </w:tcBorders>
          </w:tcPr>
          <w:p w14:paraId="64565BE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5</w:t>
            </w:r>
          </w:p>
        </w:tc>
      </w:tr>
      <w:tr w:rsidR="00482812" w:rsidRPr="00482812" w14:paraId="73C5B494" w14:textId="77777777" w:rsidTr="005322D8">
        <w:trPr>
          <w:trHeight w:val="300"/>
        </w:trPr>
        <w:tc>
          <w:tcPr>
            <w:tcW w:w="2820" w:type="dxa"/>
            <w:tcBorders>
              <w:left w:val="single" w:sz="12" w:space="0" w:color="auto"/>
              <w:right w:val="single" w:sz="12" w:space="0" w:color="auto"/>
            </w:tcBorders>
          </w:tcPr>
          <w:p w14:paraId="5BB6D609"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Chaffe bed</w:t>
            </w:r>
          </w:p>
        </w:tc>
        <w:tc>
          <w:tcPr>
            <w:tcW w:w="1560" w:type="dxa"/>
            <w:tcBorders>
              <w:left w:val="single" w:sz="12" w:space="0" w:color="auto"/>
              <w:right w:val="single" w:sz="12" w:space="0" w:color="auto"/>
            </w:tcBorders>
          </w:tcPr>
          <w:p w14:paraId="103E01F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1559" w:type="dxa"/>
            <w:tcBorders>
              <w:left w:val="single" w:sz="12" w:space="0" w:color="auto"/>
              <w:right w:val="single" w:sz="12" w:space="0" w:color="auto"/>
            </w:tcBorders>
          </w:tcPr>
          <w:p w14:paraId="35DE53B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22</w:t>
            </w:r>
          </w:p>
        </w:tc>
        <w:tc>
          <w:tcPr>
            <w:tcW w:w="1559" w:type="dxa"/>
            <w:tcBorders>
              <w:left w:val="single" w:sz="12" w:space="0" w:color="auto"/>
              <w:right w:val="single" w:sz="12" w:space="0" w:color="auto"/>
            </w:tcBorders>
          </w:tcPr>
          <w:p w14:paraId="2D3F994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34" w:type="dxa"/>
            <w:tcBorders>
              <w:left w:val="single" w:sz="12" w:space="0" w:color="auto"/>
              <w:right w:val="single" w:sz="12" w:space="0" w:color="auto"/>
            </w:tcBorders>
          </w:tcPr>
          <w:p w14:paraId="7BE74EC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37BBD195" w14:textId="77777777" w:rsidTr="005322D8">
        <w:trPr>
          <w:trHeight w:val="300"/>
        </w:trPr>
        <w:tc>
          <w:tcPr>
            <w:tcW w:w="2820" w:type="dxa"/>
            <w:tcBorders>
              <w:left w:val="single" w:sz="12" w:space="0" w:color="auto"/>
              <w:bottom w:val="single" w:sz="12" w:space="0" w:color="auto"/>
              <w:right w:val="single" w:sz="12" w:space="0" w:color="auto"/>
            </w:tcBorders>
          </w:tcPr>
          <w:p w14:paraId="02AD89E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‘Coarse’ bed</w:t>
            </w:r>
          </w:p>
        </w:tc>
        <w:tc>
          <w:tcPr>
            <w:tcW w:w="1560" w:type="dxa"/>
            <w:tcBorders>
              <w:left w:val="single" w:sz="12" w:space="0" w:color="auto"/>
              <w:bottom w:val="single" w:sz="12" w:space="0" w:color="auto"/>
              <w:right w:val="single" w:sz="12" w:space="0" w:color="auto"/>
            </w:tcBorders>
          </w:tcPr>
          <w:p w14:paraId="568F36C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59" w:type="dxa"/>
            <w:tcBorders>
              <w:left w:val="single" w:sz="12" w:space="0" w:color="auto"/>
              <w:bottom w:val="single" w:sz="12" w:space="0" w:color="auto"/>
              <w:right w:val="single" w:sz="12" w:space="0" w:color="auto"/>
            </w:tcBorders>
          </w:tcPr>
          <w:p w14:paraId="4F36744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1559" w:type="dxa"/>
            <w:tcBorders>
              <w:left w:val="single" w:sz="12" w:space="0" w:color="auto"/>
              <w:bottom w:val="single" w:sz="12" w:space="0" w:color="auto"/>
              <w:right w:val="single" w:sz="12" w:space="0" w:color="auto"/>
            </w:tcBorders>
          </w:tcPr>
          <w:p w14:paraId="7717807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34" w:type="dxa"/>
            <w:tcBorders>
              <w:left w:val="single" w:sz="12" w:space="0" w:color="auto"/>
              <w:bottom w:val="single" w:sz="12" w:space="0" w:color="auto"/>
              <w:right w:val="single" w:sz="12" w:space="0" w:color="auto"/>
            </w:tcBorders>
          </w:tcPr>
          <w:p w14:paraId="5BA72ED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65ED3305" w14:textId="77777777" w:rsidTr="005322D8">
        <w:trPr>
          <w:trHeight w:val="300"/>
        </w:trPr>
        <w:tc>
          <w:tcPr>
            <w:tcW w:w="2820" w:type="dxa"/>
            <w:tcBorders>
              <w:top w:val="single" w:sz="12" w:space="0" w:color="auto"/>
              <w:left w:val="single" w:sz="12" w:space="0" w:color="auto"/>
              <w:bottom w:val="single" w:sz="12" w:space="0" w:color="auto"/>
              <w:right w:val="single" w:sz="12" w:space="0" w:color="auto"/>
            </w:tcBorders>
          </w:tcPr>
          <w:p w14:paraId="3B6409CF" w14:textId="77777777" w:rsidR="00482812" w:rsidRPr="00482812" w:rsidRDefault="00482812" w:rsidP="00482812">
            <w:pPr>
              <w:spacing w:after="0" w:line="240" w:lineRule="auto"/>
              <w:rPr>
                <w:sz w:val="22"/>
                <w:szCs w:val="22"/>
                <w:lang w:eastAsia="en-US"/>
              </w:rPr>
            </w:pPr>
            <w:r w:rsidRPr="00482812">
              <w:rPr>
                <w:sz w:val="22"/>
                <w:szCs w:val="22"/>
                <w:lang w:eastAsia="en-US"/>
              </w:rPr>
              <w:t>Total</w:t>
            </w:r>
          </w:p>
        </w:tc>
        <w:tc>
          <w:tcPr>
            <w:tcW w:w="1560" w:type="dxa"/>
            <w:tcBorders>
              <w:top w:val="single" w:sz="12" w:space="0" w:color="auto"/>
              <w:left w:val="single" w:sz="12" w:space="0" w:color="auto"/>
              <w:bottom w:val="single" w:sz="12" w:space="0" w:color="auto"/>
              <w:right w:val="single" w:sz="12" w:space="0" w:color="auto"/>
            </w:tcBorders>
          </w:tcPr>
          <w:p w14:paraId="07D92B63"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62</w:t>
            </w:r>
          </w:p>
        </w:tc>
        <w:tc>
          <w:tcPr>
            <w:tcW w:w="1559" w:type="dxa"/>
            <w:tcBorders>
              <w:top w:val="single" w:sz="12" w:space="0" w:color="auto"/>
              <w:left w:val="single" w:sz="12" w:space="0" w:color="auto"/>
              <w:bottom w:val="single" w:sz="12" w:space="0" w:color="auto"/>
              <w:right w:val="single" w:sz="12" w:space="0" w:color="auto"/>
            </w:tcBorders>
          </w:tcPr>
          <w:p w14:paraId="316218A2"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85</w:t>
            </w:r>
          </w:p>
        </w:tc>
        <w:tc>
          <w:tcPr>
            <w:tcW w:w="1559" w:type="dxa"/>
            <w:tcBorders>
              <w:top w:val="single" w:sz="12" w:space="0" w:color="auto"/>
              <w:left w:val="single" w:sz="12" w:space="0" w:color="auto"/>
              <w:bottom w:val="single" w:sz="12" w:space="0" w:color="auto"/>
              <w:right w:val="single" w:sz="12" w:space="0" w:color="auto"/>
            </w:tcBorders>
          </w:tcPr>
          <w:p w14:paraId="1B57C403"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17</w:t>
            </w:r>
          </w:p>
        </w:tc>
        <w:tc>
          <w:tcPr>
            <w:tcW w:w="1634" w:type="dxa"/>
            <w:tcBorders>
              <w:top w:val="single" w:sz="12" w:space="0" w:color="auto"/>
              <w:left w:val="single" w:sz="12" w:space="0" w:color="auto"/>
              <w:bottom w:val="single" w:sz="12" w:space="0" w:color="auto"/>
              <w:right w:val="single" w:sz="12" w:space="0" w:color="auto"/>
            </w:tcBorders>
          </w:tcPr>
          <w:p w14:paraId="110773AB"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23</w:t>
            </w:r>
          </w:p>
        </w:tc>
      </w:tr>
    </w:tbl>
    <w:p w14:paraId="57CB4718" w14:textId="77777777" w:rsidR="00482812" w:rsidRPr="00482812" w:rsidRDefault="00482812" w:rsidP="00482812">
      <w:pPr>
        <w:jc w:val="center"/>
        <w:rPr>
          <w:rFonts w:cs="Calibri"/>
        </w:rPr>
      </w:pPr>
    </w:p>
    <w:p w14:paraId="2C733C5C" w14:textId="1B5D811C" w:rsidR="00482812" w:rsidRPr="00482812" w:rsidRDefault="00482812" w:rsidP="00482812">
      <w:pPr>
        <w:jc w:val="center"/>
        <w:rPr>
          <w:rFonts w:cs="Calibri"/>
        </w:rPr>
      </w:pPr>
      <w:r w:rsidRPr="00482812">
        <w:rPr>
          <w:rFonts w:cs="Calibri"/>
        </w:rPr>
        <w:t xml:space="preserve">Table 39 – </w:t>
      </w:r>
      <w:r w:rsidR="00B72A1A" w:rsidRPr="00B72A1A">
        <w:rPr>
          <w:rFonts w:cs="Calibri"/>
        </w:rPr>
        <w:t>Prevalence of</w:t>
      </w:r>
      <w:r w:rsidR="00B72A1A" w:rsidRPr="00482812">
        <w:rPr>
          <w:rFonts w:cs="Calibri"/>
        </w:rPr>
        <w:t xml:space="preserve"> different kinds of beds and mattresses </w:t>
      </w:r>
      <w:r w:rsidR="00B72A1A" w:rsidRPr="00B72A1A">
        <w:rPr>
          <w:rFonts w:cs="Calibri"/>
        </w:rPr>
        <w:t>in inventories within</w:t>
      </w:r>
      <w:r w:rsidR="00B72A1A" w:rsidRPr="00482812">
        <w:rPr>
          <w:rFonts w:cs="Calibri"/>
        </w:rPr>
        <w:t xml:space="preserve"> the Bolton-le-Sands and Prestbury wider survey</w:t>
      </w:r>
      <w:r w:rsidRPr="00482812">
        <w:rPr>
          <w:rFonts w:cs="Calibri"/>
        </w:rPr>
        <w:t>.</w:t>
      </w:r>
    </w:p>
    <w:p w14:paraId="5BDF6AB0" w14:textId="77777777" w:rsidR="00482812" w:rsidRPr="00482812" w:rsidRDefault="00482812" w:rsidP="00482812">
      <w:pPr>
        <w:rPr>
          <w:rFonts w:cs="Calibri"/>
          <w:b/>
          <w:bCs/>
        </w:rPr>
      </w:pPr>
      <w:r w:rsidRPr="00482812">
        <w:rPr>
          <w:rFonts w:cs="Calibri"/>
        </w:rPr>
        <w:t xml:space="preserve">(‘Bed’ may refer to the mattress alone or solely the wooden furniture </w:t>
      </w:r>
      <w:proofErr w:type="gramStart"/>
      <w:r w:rsidRPr="00482812">
        <w:rPr>
          <w:rFonts w:cs="Calibri"/>
        </w:rPr>
        <w:t>elements, and</w:t>
      </w:r>
      <w:proofErr w:type="gramEnd"/>
      <w:r w:rsidRPr="00482812">
        <w:rPr>
          <w:rFonts w:cs="Calibri"/>
        </w:rPr>
        <w:t xml:space="preserve"> appears to be used differently by different appraisers: ‘beds and their furniture’ recurs in multiple documents, but ‘bed’ is used consistently by testators in Prestbury parish seemingly to refer to both the furniture and the mattress. </w:t>
      </w:r>
      <w:proofErr w:type="spellStart"/>
      <w:r w:rsidRPr="00482812">
        <w:rPr>
          <w:rFonts w:cs="Calibri"/>
        </w:rPr>
        <w:t>Bedstocks</w:t>
      </w:r>
      <w:proofErr w:type="spellEnd"/>
      <w:r w:rsidRPr="00482812">
        <w:rPr>
          <w:rFonts w:cs="Calibri"/>
        </w:rPr>
        <w:t xml:space="preserve"> and bedsteads do not appear to be different terminology for the same object in all cases as previously assumed – some testators are described as having both </w:t>
      </w:r>
      <w:proofErr w:type="spellStart"/>
      <w:r w:rsidRPr="00482812">
        <w:rPr>
          <w:rFonts w:cs="Calibri"/>
        </w:rPr>
        <w:t>bedstocks</w:t>
      </w:r>
      <w:proofErr w:type="spellEnd"/>
      <w:r w:rsidRPr="00482812">
        <w:rPr>
          <w:rFonts w:cs="Calibri"/>
        </w:rPr>
        <w:t xml:space="preserve"> and bedsteads in Prestbury, although this is not the case in Bolton-le-Sands where the two are used as alternative terms. Truckle and lower beds were lower quality beds stored beneath another bed (often on castors or pulleys) to be pulled out when required.)</w:t>
      </w:r>
    </w:p>
    <w:p w14:paraId="250CD6E7" w14:textId="77777777" w:rsidR="00482812" w:rsidRPr="00482812" w:rsidRDefault="00482812" w:rsidP="00482812">
      <w:pPr>
        <w:rPr>
          <w:rFonts w:cs="Calibri"/>
          <w:b/>
          <w:bCs/>
        </w:rPr>
      </w:pPr>
      <w:r w:rsidRPr="00482812">
        <w:rPr>
          <w:rFonts w:cs="Calibri"/>
          <w:b/>
          <w:bCs/>
        </w:rPr>
        <w:br w:type="page"/>
      </w:r>
    </w:p>
    <w:p w14:paraId="789D2425" w14:textId="77777777" w:rsidR="00482812" w:rsidRPr="00482812" w:rsidRDefault="00482812" w:rsidP="00482812">
      <w:pPr>
        <w:rPr>
          <w:rFonts w:cs="Calibri"/>
          <w:b/>
          <w:bCs/>
          <w:sz w:val="22"/>
          <w:szCs w:val="22"/>
        </w:rPr>
      </w:pPr>
    </w:p>
    <w:tbl>
      <w:tblPr>
        <w:tblStyle w:val="TableGrid16"/>
        <w:tblW w:w="0" w:type="auto"/>
        <w:tblLayout w:type="fixed"/>
        <w:tblLook w:val="06A0" w:firstRow="1" w:lastRow="0" w:firstColumn="1" w:lastColumn="0" w:noHBand="1" w:noVBand="1"/>
      </w:tblPr>
      <w:tblGrid>
        <w:gridCol w:w="2580"/>
        <w:gridCol w:w="1635"/>
        <w:gridCol w:w="1575"/>
        <w:gridCol w:w="1605"/>
        <w:gridCol w:w="1620"/>
      </w:tblGrid>
      <w:tr w:rsidR="00482812" w:rsidRPr="00482812" w14:paraId="7B2EF641" w14:textId="77777777" w:rsidTr="005322D8">
        <w:trPr>
          <w:trHeight w:val="300"/>
        </w:trPr>
        <w:tc>
          <w:tcPr>
            <w:tcW w:w="2580" w:type="dxa"/>
            <w:vMerge w:val="restart"/>
            <w:tcBorders>
              <w:top w:val="single" w:sz="12" w:space="0" w:color="auto"/>
              <w:left w:val="single" w:sz="12" w:space="0" w:color="auto"/>
              <w:right w:val="single" w:sz="12" w:space="0" w:color="auto"/>
            </w:tcBorders>
          </w:tcPr>
          <w:p w14:paraId="3F80A38A" w14:textId="77777777" w:rsidR="00482812" w:rsidRPr="00482812" w:rsidRDefault="00482812" w:rsidP="00482812">
            <w:pPr>
              <w:spacing w:after="0" w:line="240" w:lineRule="auto"/>
              <w:rPr>
                <w:sz w:val="22"/>
                <w:szCs w:val="22"/>
                <w:lang w:eastAsia="en-US"/>
              </w:rPr>
            </w:pPr>
          </w:p>
        </w:tc>
        <w:tc>
          <w:tcPr>
            <w:tcW w:w="3210" w:type="dxa"/>
            <w:gridSpan w:val="2"/>
            <w:tcBorders>
              <w:top w:val="single" w:sz="12" w:space="0" w:color="auto"/>
              <w:left w:val="single" w:sz="12" w:space="0" w:color="auto"/>
              <w:bottom w:val="single" w:sz="12" w:space="0" w:color="auto"/>
              <w:right w:val="single" w:sz="12" w:space="0" w:color="auto"/>
            </w:tcBorders>
          </w:tcPr>
          <w:p w14:paraId="450EC7F7"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Bolton-le-Sands</w:t>
            </w:r>
          </w:p>
        </w:tc>
        <w:tc>
          <w:tcPr>
            <w:tcW w:w="3225" w:type="dxa"/>
            <w:gridSpan w:val="2"/>
            <w:tcBorders>
              <w:top w:val="single" w:sz="12" w:space="0" w:color="auto"/>
              <w:left w:val="single" w:sz="12" w:space="0" w:color="auto"/>
              <w:bottom w:val="single" w:sz="12" w:space="0" w:color="auto"/>
              <w:right w:val="single" w:sz="12" w:space="0" w:color="auto"/>
            </w:tcBorders>
          </w:tcPr>
          <w:p w14:paraId="631A189C"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Prestbury</w:t>
            </w:r>
          </w:p>
        </w:tc>
      </w:tr>
      <w:tr w:rsidR="00482812" w:rsidRPr="00482812" w14:paraId="448FAEC3" w14:textId="77777777" w:rsidTr="005322D8">
        <w:trPr>
          <w:trHeight w:val="300"/>
        </w:trPr>
        <w:tc>
          <w:tcPr>
            <w:tcW w:w="2580" w:type="dxa"/>
            <w:vMerge/>
            <w:tcBorders>
              <w:left w:val="single" w:sz="12" w:space="0" w:color="auto"/>
              <w:bottom w:val="single" w:sz="12" w:space="0" w:color="auto"/>
              <w:right w:val="single" w:sz="12" w:space="0" w:color="auto"/>
            </w:tcBorders>
          </w:tcPr>
          <w:p w14:paraId="53AA16CB" w14:textId="77777777" w:rsidR="00482812" w:rsidRPr="00482812" w:rsidRDefault="00482812" w:rsidP="00482812">
            <w:pPr>
              <w:spacing w:after="0" w:line="240" w:lineRule="auto"/>
              <w:rPr>
                <w:sz w:val="22"/>
                <w:szCs w:val="22"/>
                <w:lang w:eastAsia="en-US"/>
              </w:rPr>
            </w:pPr>
          </w:p>
        </w:tc>
        <w:tc>
          <w:tcPr>
            <w:tcW w:w="1635" w:type="dxa"/>
            <w:tcBorders>
              <w:top w:val="single" w:sz="12" w:space="0" w:color="auto"/>
              <w:left w:val="single" w:sz="12" w:space="0" w:color="auto"/>
              <w:bottom w:val="single" w:sz="12" w:space="0" w:color="auto"/>
            </w:tcBorders>
          </w:tcPr>
          <w:p w14:paraId="3F395B43"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Inventories</w:t>
            </w:r>
          </w:p>
        </w:tc>
        <w:tc>
          <w:tcPr>
            <w:tcW w:w="1575" w:type="dxa"/>
            <w:tcBorders>
              <w:top w:val="single" w:sz="12" w:space="0" w:color="auto"/>
              <w:bottom w:val="single" w:sz="12" w:space="0" w:color="auto"/>
              <w:right w:val="single" w:sz="12" w:space="0" w:color="auto"/>
            </w:tcBorders>
          </w:tcPr>
          <w:p w14:paraId="166EFA4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Wills</w:t>
            </w:r>
          </w:p>
        </w:tc>
        <w:tc>
          <w:tcPr>
            <w:tcW w:w="1605" w:type="dxa"/>
            <w:tcBorders>
              <w:top w:val="single" w:sz="12" w:space="0" w:color="auto"/>
              <w:left w:val="single" w:sz="12" w:space="0" w:color="auto"/>
              <w:bottom w:val="single" w:sz="12" w:space="0" w:color="auto"/>
            </w:tcBorders>
          </w:tcPr>
          <w:p w14:paraId="3A851119"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Inventories</w:t>
            </w:r>
          </w:p>
        </w:tc>
        <w:tc>
          <w:tcPr>
            <w:tcW w:w="1620" w:type="dxa"/>
            <w:tcBorders>
              <w:top w:val="single" w:sz="12" w:space="0" w:color="auto"/>
              <w:bottom w:val="single" w:sz="12" w:space="0" w:color="auto"/>
              <w:right w:val="single" w:sz="12" w:space="0" w:color="auto"/>
            </w:tcBorders>
          </w:tcPr>
          <w:p w14:paraId="1DEDBD9B"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Wills</w:t>
            </w:r>
          </w:p>
        </w:tc>
      </w:tr>
      <w:tr w:rsidR="00482812" w:rsidRPr="00482812" w14:paraId="64B9434C" w14:textId="77777777" w:rsidTr="005322D8">
        <w:trPr>
          <w:trHeight w:val="300"/>
        </w:trPr>
        <w:tc>
          <w:tcPr>
            <w:tcW w:w="2580" w:type="dxa"/>
            <w:tcBorders>
              <w:top w:val="single" w:sz="12" w:space="0" w:color="auto"/>
              <w:left w:val="single" w:sz="12" w:space="0" w:color="auto"/>
              <w:right w:val="single" w:sz="12" w:space="0" w:color="auto"/>
            </w:tcBorders>
          </w:tcPr>
          <w:p w14:paraId="5730454E" w14:textId="77777777" w:rsidR="00482812" w:rsidRPr="00482812" w:rsidRDefault="00482812" w:rsidP="00482812">
            <w:pPr>
              <w:spacing w:after="0" w:line="240" w:lineRule="auto"/>
              <w:rPr>
                <w:sz w:val="22"/>
                <w:szCs w:val="22"/>
                <w:lang w:eastAsia="en-US"/>
              </w:rPr>
            </w:pPr>
            <w:r w:rsidRPr="00482812">
              <w:rPr>
                <w:sz w:val="22"/>
                <w:szCs w:val="22"/>
                <w:lang w:eastAsia="en-US"/>
              </w:rPr>
              <w:t>Collective Terms</w:t>
            </w:r>
          </w:p>
        </w:tc>
        <w:tc>
          <w:tcPr>
            <w:tcW w:w="1635" w:type="dxa"/>
            <w:tcBorders>
              <w:top w:val="single" w:sz="12" w:space="0" w:color="auto"/>
              <w:left w:val="single" w:sz="12" w:space="0" w:color="auto"/>
            </w:tcBorders>
          </w:tcPr>
          <w:p w14:paraId="71DFB2B3"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64</w:t>
            </w:r>
          </w:p>
        </w:tc>
        <w:tc>
          <w:tcPr>
            <w:tcW w:w="1575" w:type="dxa"/>
            <w:tcBorders>
              <w:top w:val="single" w:sz="12" w:space="0" w:color="auto"/>
              <w:right w:val="single" w:sz="12" w:space="0" w:color="auto"/>
            </w:tcBorders>
          </w:tcPr>
          <w:p w14:paraId="2DD7766A"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4</w:t>
            </w:r>
          </w:p>
        </w:tc>
        <w:tc>
          <w:tcPr>
            <w:tcW w:w="1605" w:type="dxa"/>
            <w:tcBorders>
              <w:top w:val="single" w:sz="12" w:space="0" w:color="auto"/>
              <w:left w:val="single" w:sz="12" w:space="0" w:color="auto"/>
            </w:tcBorders>
          </w:tcPr>
          <w:p w14:paraId="3DE67DE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56</w:t>
            </w:r>
          </w:p>
        </w:tc>
        <w:tc>
          <w:tcPr>
            <w:tcW w:w="1620" w:type="dxa"/>
            <w:tcBorders>
              <w:top w:val="single" w:sz="12" w:space="0" w:color="auto"/>
              <w:right w:val="single" w:sz="12" w:space="0" w:color="auto"/>
            </w:tcBorders>
          </w:tcPr>
          <w:p w14:paraId="4E77CB26"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14</w:t>
            </w:r>
          </w:p>
        </w:tc>
      </w:tr>
      <w:tr w:rsidR="00482812" w:rsidRPr="00482812" w14:paraId="3458D339" w14:textId="77777777" w:rsidTr="005322D8">
        <w:trPr>
          <w:trHeight w:val="300"/>
        </w:trPr>
        <w:tc>
          <w:tcPr>
            <w:tcW w:w="2580" w:type="dxa"/>
            <w:tcBorders>
              <w:left w:val="single" w:sz="12" w:space="0" w:color="auto"/>
              <w:right w:val="single" w:sz="12" w:space="0" w:color="auto"/>
            </w:tcBorders>
          </w:tcPr>
          <w:p w14:paraId="3257BA4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‘Bedding’</w:t>
            </w:r>
          </w:p>
        </w:tc>
        <w:tc>
          <w:tcPr>
            <w:tcW w:w="1635" w:type="dxa"/>
            <w:tcBorders>
              <w:left w:val="single" w:sz="12" w:space="0" w:color="auto"/>
            </w:tcBorders>
          </w:tcPr>
          <w:p w14:paraId="6A92702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59</w:t>
            </w:r>
          </w:p>
        </w:tc>
        <w:tc>
          <w:tcPr>
            <w:tcW w:w="1575" w:type="dxa"/>
            <w:tcBorders>
              <w:right w:val="single" w:sz="12" w:space="0" w:color="auto"/>
            </w:tcBorders>
          </w:tcPr>
          <w:p w14:paraId="0EE4E4F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c>
          <w:tcPr>
            <w:tcW w:w="1605" w:type="dxa"/>
            <w:tcBorders>
              <w:left w:val="single" w:sz="12" w:space="0" w:color="auto"/>
            </w:tcBorders>
          </w:tcPr>
          <w:p w14:paraId="7E30303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41</w:t>
            </w:r>
          </w:p>
        </w:tc>
        <w:tc>
          <w:tcPr>
            <w:tcW w:w="1620" w:type="dxa"/>
            <w:tcBorders>
              <w:right w:val="single" w:sz="12" w:space="0" w:color="auto"/>
            </w:tcBorders>
          </w:tcPr>
          <w:p w14:paraId="19B79EE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w:t>
            </w:r>
          </w:p>
        </w:tc>
      </w:tr>
      <w:tr w:rsidR="00482812" w:rsidRPr="00482812" w14:paraId="07EA4A32" w14:textId="77777777" w:rsidTr="005322D8">
        <w:trPr>
          <w:trHeight w:val="300"/>
        </w:trPr>
        <w:tc>
          <w:tcPr>
            <w:tcW w:w="2580" w:type="dxa"/>
            <w:tcBorders>
              <w:left w:val="single" w:sz="12" w:space="0" w:color="auto"/>
              <w:right w:val="single" w:sz="12" w:space="0" w:color="auto"/>
            </w:tcBorders>
          </w:tcPr>
          <w:p w14:paraId="4EAC057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‘Bedclothes’</w:t>
            </w:r>
          </w:p>
        </w:tc>
        <w:tc>
          <w:tcPr>
            <w:tcW w:w="1635" w:type="dxa"/>
            <w:tcBorders>
              <w:left w:val="single" w:sz="12" w:space="0" w:color="auto"/>
            </w:tcBorders>
          </w:tcPr>
          <w:p w14:paraId="385AF60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1575" w:type="dxa"/>
            <w:tcBorders>
              <w:right w:val="single" w:sz="12" w:space="0" w:color="auto"/>
            </w:tcBorders>
          </w:tcPr>
          <w:p w14:paraId="149C78A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605" w:type="dxa"/>
            <w:tcBorders>
              <w:left w:val="single" w:sz="12" w:space="0" w:color="auto"/>
            </w:tcBorders>
          </w:tcPr>
          <w:p w14:paraId="51CD74E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620" w:type="dxa"/>
            <w:tcBorders>
              <w:right w:val="single" w:sz="12" w:space="0" w:color="auto"/>
            </w:tcBorders>
          </w:tcPr>
          <w:p w14:paraId="520AEB1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4FB827E3" w14:textId="77777777" w:rsidTr="005322D8">
        <w:trPr>
          <w:trHeight w:val="300"/>
        </w:trPr>
        <w:tc>
          <w:tcPr>
            <w:tcW w:w="2580" w:type="dxa"/>
            <w:tcBorders>
              <w:left w:val="single" w:sz="12" w:space="0" w:color="auto"/>
              <w:bottom w:val="single" w:sz="12" w:space="0" w:color="auto"/>
              <w:right w:val="single" w:sz="12" w:space="0" w:color="auto"/>
            </w:tcBorders>
          </w:tcPr>
          <w:p w14:paraId="422D1C68"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‘Linen’/’linens’</w:t>
            </w:r>
          </w:p>
        </w:tc>
        <w:tc>
          <w:tcPr>
            <w:tcW w:w="1635" w:type="dxa"/>
            <w:tcBorders>
              <w:left w:val="single" w:sz="12" w:space="0" w:color="auto"/>
              <w:bottom w:val="single" w:sz="12" w:space="0" w:color="auto"/>
            </w:tcBorders>
          </w:tcPr>
          <w:p w14:paraId="57A79D1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23</w:t>
            </w:r>
          </w:p>
        </w:tc>
        <w:tc>
          <w:tcPr>
            <w:tcW w:w="1575" w:type="dxa"/>
            <w:tcBorders>
              <w:bottom w:val="single" w:sz="12" w:space="0" w:color="auto"/>
              <w:right w:val="single" w:sz="12" w:space="0" w:color="auto"/>
            </w:tcBorders>
          </w:tcPr>
          <w:p w14:paraId="544371D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bottom w:val="single" w:sz="12" w:space="0" w:color="auto"/>
            </w:tcBorders>
          </w:tcPr>
          <w:p w14:paraId="3A73658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33</w:t>
            </w:r>
          </w:p>
        </w:tc>
        <w:tc>
          <w:tcPr>
            <w:tcW w:w="1620" w:type="dxa"/>
            <w:tcBorders>
              <w:bottom w:val="single" w:sz="12" w:space="0" w:color="auto"/>
              <w:right w:val="single" w:sz="12" w:space="0" w:color="auto"/>
            </w:tcBorders>
          </w:tcPr>
          <w:p w14:paraId="780AC1C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w:t>
            </w:r>
          </w:p>
        </w:tc>
      </w:tr>
      <w:tr w:rsidR="00482812" w:rsidRPr="00482812" w14:paraId="50EB4314" w14:textId="77777777" w:rsidTr="005322D8">
        <w:trPr>
          <w:trHeight w:val="300"/>
        </w:trPr>
        <w:tc>
          <w:tcPr>
            <w:tcW w:w="2580" w:type="dxa"/>
            <w:tcBorders>
              <w:top w:val="single" w:sz="12" w:space="0" w:color="auto"/>
              <w:left w:val="single" w:sz="12" w:space="0" w:color="auto"/>
              <w:right w:val="single" w:sz="12" w:space="0" w:color="auto"/>
            </w:tcBorders>
          </w:tcPr>
          <w:p w14:paraId="66DF0568" w14:textId="77777777" w:rsidR="00482812" w:rsidRPr="00482812" w:rsidRDefault="00482812" w:rsidP="00482812">
            <w:pPr>
              <w:spacing w:after="0" w:line="240" w:lineRule="auto"/>
              <w:rPr>
                <w:sz w:val="22"/>
                <w:szCs w:val="22"/>
                <w:lang w:eastAsia="en-US"/>
              </w:rPr>
            </w:pPr>
            <w:r w:rsidRPr="00482812">
              <w:rPr>
                <w:sz w:val="22"/>
                <w:szCs w:val="22"/>
                <w:lang w:eastAsia="en-US"/>
              </w:rPr>
              <w:t>Sheets</w:t>
            </w:r>
          </w:p>
        </w:tc>
        <w:tc>
          <w:tcPr>
            <w:tcW w:w="1635" w:type="dxa"/>
            <w:tcBorders>
              <w:top w:val="single" w:sz="12" w:space="0" w:color="auto"/>
              <w:left w:val="single" w:sz="12" w:space="0" w:color="auto"/>
            </w:tcBorders>
          </w:tcPr>
          <w:p w14:paraId="14DF4DBC"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21</w:t>
            </w:r>
          </w:p>
        </w:tc>
        <w:tc>
          <w:tcPr>
            <w:tcW w:w="1575" w:type="dxa"/>
            <w:tcBorders>
              <w:top w:val="single" w:sz="12" w:space="0" w:color="auto"/>
              <w:right w:val="single" w:sz="12" w:space="0" w:color="auto"/>
            </w:tcBorders>
          </w:tcPr>
          <w:p w14:paraId="55B5EEC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w:t>
            </w:r>
          </w:p>
        </w:tc>
        <w:tc>
          <w:tcPr>
            <w:tcW w:w="1605" w:type="dxa"/>
            <w:tcBorders>
              <w:top w:val="single" w:sz="12" w:space="0" w:color="auto"/>
              <w:left w:val="single" w:sz="12" w:space="0" w:color="auto"/>
            </w:tcBorders>
          </w:tcPr>
          <w:p w14:paraId="3F970F94"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20</w:t>
            </w:r>
          </w:p>
        </w:tc>
        <w:tc>
          <w:tcPr>
            <w:tcW w:w="1620" w:type="dxa"/>
            <w:tcBorders>
              <w:top w:val="single" w:sz="12" w:space="0" w:color="auto"/>
              <w:right w:val="single" w:sz="12" w:space="0" w:color="auto"/>
            </w:tcBorders>
          </w:tcPr>
          <w:p w14:paraId="213D8A31"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4</w:t>
            </w:r>
          </w:p>
        </w:tc>
      </w:tr>
      <w:tr w:rsidR="00482812" w:rsidRPr="00482812" w14:paraId="2A0D9121" w14:textId="77777777" w:rsidTr="005322D8">
        <w:trPr>
          <w:trHeight w:val="300"/>
        </w:trPr>
        <w:tc>
          <w:tcPr>
            <w:tcW w:w="2580" w:type="dxa"/>
            <w:tcBorders>
              <w:left w:val="single" w:sz="12" w:space="0" w:color="auto"/>
              <w:right w:val="single" w:sz="12" w:space="0" w:color="auto"/>
            </w:tcBorders>
          </w:tcPr>
          <w:p w14:paraId="6C7948D4"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Unspecified material</w:t>
            </w:r>
          </w:p>
        </w:tc>
        <w:tc>
          <w:tcPr>
            <w:tcW w:w="1635" w:type="dxa"/>
            <w:tcBorders>
              <w:left w:val="single" w:sz="12" w:space="0" w:color="auto"/>
            </w:tcBorders>
          </w:tcPr>
          <w:p w14:paraId="03EBE2C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20</w:t>
            </w:r>
          </w:p>
        </w:tc>
        <w:tc>
          <w:tcPr>
            <w:tcW w:w="1575" w:type="dxa"/>
            <w:tcBorders>
              <w:right w:val="single" w:sz="12" w:space="0" w:color="auto"/>
            </w:tcBorders>
          </w:tcPr>
          <w:p w14:paraId="0B68C0F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605" w:type="dxa"/>
            <w:tcBorders>
              <w:left w:val="single" w:sz="12" w:space="0" w:color="auto"/>
            </w:tcBorders>
          </w:tcPr>
          <w:p w14:paraId="4CC0A70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20</w:t>
            </w:r>
          </w:p>
        </w:tc>
        <w:tc>
          <w:tcPr>
            <w:tcW w:w="1620" w:type="dxa"/>
            <w:tcBorders>
              <w:right w:val="single" w:sz="12" w:space="0" w:color="auto"/>
            </w:tcBorders>
          </w:tcPr>
          <w:p w14:paraId="15D5118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02F26B08" w14:textId="77777777" w:rsidTr="005322D8">
        <w:trPr>
          <w:trHeight w:val="300"/>
        </w:trPr>
        <w:tc>
          <w:tcPr>
            <w:tcW w:w="2580" w:type="dxa"/>
            <w:tcBorders>
              <w:left w:val="single" w:sz="12" w:space="0" w:color="auto"/>
              <w:right w:val="single" w:sz="12" w:space="0" w:color="auto"/>
            </w:tcBorders>
          </w:tcPr>
          <w:p w14:paraId="65855DD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Linen</w:t>
            </w:r>
          </w:p>
        </w:tc>
        <w:tc>
          <w:tcPr>
            <w:tcW w:w="1635" w:type="dxa"/>
            <w:tcBorders>
              <w:left w:val="single" w:sz="12" w:space="0" w:color="auto"/>
            </w:tcBorders>
          </w:tcPr>
          <w:p w14:paraId="486E5D3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575" w:type="dxa"/>
            <w:tcBorders>
              <w:right w:val="single" w:sz="12" w:space="0" w:color="auto"/>
            </w:tcBorders>
          </w:tcPr>
          <w:p w14:paraId="4CFC06B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1605" w:type="dxa"/>
            <w:tcBorders>
              <w:left w:val="single" w:sz="12" w:space="0" w:color="auto"/>
            </w:tcBorders>
          </w:tcPr>
          <w:p w14:paraId="7B996EB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20" w:type="dxa"/>
            <w:tcBorders>
              <w:right w:val="single" w:sz="12" w:space="0" w:color="auto"/>
            </w:tcBorders>
          </w:tcPr>
          <w:p w14:paraId="483A62F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0F9C5A2F" w14:textId="77777777" w:rsidTr="005322D8">
        <w:trPr>
          <w:trHeight w:val="300"/>
        </w:trPr>
        <w:tc>
          <w:tcPr>
            <w:tcW w:w="2580" w:type="dxa"/>
            <w:tcBorders>
              <w:left w:val="single" w:sz="12" w:space="0" w:color="auto"/>
              <w:right w:val="single" w:sz="12" w:space="0" w:color="auto"/>
            </w:tcBorders>
          </w:tcPr>
          <w:p w14:paraId="2900BD3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Flax</w:t>
            </w:r>
          </w:p>
        </w:tc>
        <w:tc>
          <w:tcPr>
            <w:tcW w:w="1635" w:type="dxa"/>
            <w:tcBorders>
              <w:left w:val="single" w:sz="12" w:space="0" w:color="auto"/>
            </w:tcBorders>
          </w:tcPr>
          <w:p w14:paraId="1C67C06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75" w:type="dxa"/>
            <w:tcBorders>
              <w:right w:val="single" w:sz="12" w:space="0" w:color="auto"/>
            </w:tcBorders>
          </w:tcPr>
          <w:p w14:paraId="534BE1B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tcBorders>
          </w:tcPr>
          <w:p w14:paraId="211FF8B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1620" w:type="dxa"/>
            <w:tcBorders>
              <w:right w:val="single" w:sz="12" w:space="0" w:color="auto"/>
            </w:tcBorders>
          </w:tcPr>
          <w:p w14:paraId="62952AE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35E3774A" w14:textId="77777777" w:rsidTr="005322D8">
        <w:trPr>
          <w:trHeight w:val="300"/>
        </w:trPr>
        <w:tc>
          <w:tcPr>
            <w:tcW w:w="2580" w:type="dxa"/>
            <w:tcBorders>
              <w:left w:val="single" w:sz="12" w:space="0" w:color="auto"/>
              <w:right w:val="single" w:sz="12" w:space="0" w:color="auto"/>
            </w:tcBorders>
          </w:tcPr>
          <w:p w14:paraId="7C3C6442"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Hemp</w:t>
            </w:r>
          </w:p>
        </w:tc>
        <w:tc>
          <w:tcPr>
            <w:tcW w:w="1635" w:type="dxa"/>
            <w:tcBorders>
              <w:left w:val="single" w:sz="12" w:space="0" w:color="auto"/>
            </w:tcBorders>
          </w:tcPr>
          <w:p w14:paraId="33DF381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75" w:type="dxa"/>
            <w:tcBorders>
              <w:right w:val="single" w:sz="12" w:space="0" w:color="auto"/>
            </w:tcBorders>
          </w:tcPr>
          <w:p w14:paraId="15782EA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tcBorders>
          </w:tcPr>
          <w:p w14:paraId="3EA2F4D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620" w:type="dxa"/>
            <w:tcBorders>
              <w:right w:val="single" w:sz="12" w:space="0" w:color="auto"/>
            </w:tcBorders>
          </w:tcPr>
          <w:p w14:paraId="0C97C81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69F1E020" w14:textId="77777777" w:rsidTr="005322D8">
        <w:trPr>
          <w:trHeight w:val="300"/>
        </w:trPr>
        <w:tc>
          <w:tcPr>
            <w:tcW w:w="2580" w:type="dxa"/>
            <w:tcBorders>
              <w:left w:val="single" w:sz="12" w:space="0" w:color="auto"/>
              <w:bottom w:val="single" w:sz="12" w:space="0" w:color="auto"/>
              <w:right w:val="single" w:sz="12" w:space="0" w:color="auto"/>
            </w:tcBorders>
          </w:tcPr>
          <w:p w14:paraId="72642B6B"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Round</w:t>
            </w:r>
          </w:p>
        </w:tc>
        <w:tc>
          <w:tcPr>
            <w:tcW w:w="1635" w:type="dxa"/>
            <w:tcBorders>
              <w:left w:val="single" w:sz="12" w:space="0" w:color="auto"/>
              <w:bottom w:val="single" w:sz="12" w:space="0" w:color="auto"/>
            </w:tcBorders>
          </w:tcPr>
          <w:p w14:paraId="07E2AA6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75" w:type="dxa"/>
            <w:tcBorders>
              <w:bottom w:val="single" w:sz="12" w:space="0" w:color="auto"/>
              <w:right w:val="single" w:sz="12" w:space="0" w:color="auto"/>
            </w:tcBorders>
          </w:tcPr>
          <w:p w14:paraId="1DAFCEB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bottom w:val="single" w:sz="12" w:space="0" w:color="auto"/>
            </w:tcBorders>
          </w:tcPr>
          <w:p w14:paraId="7C9A1D2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1620" w:type="dxa"/>
            <w:tcBorders>
              <w:bottom w:val="single" w:sz="12" w:space="0" w:color="auto"/>
              <w:right w:val="single" w:sz="12" w:space="0" w:color="auto"/>
            </w:tcBorders>
          </w:tcPr>
          <w:p w14:paraId="3F5CE60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12031E2C" w14:textId="77777777" w:rsidTr="005322D8">
        <w:trPr>
          <w:trHeight w:val="300"/>
        </w:trPr>
        <w:tc>
          <w:tcPr>
            <w:tcW w:w="2580" w:type="dxa"/>
            <w:tcBorders>
              <w:top w:val="single" w:sz="12" w:space="0" w:color="auto"/>
              <w:left w:val="single" w:sz="12" w:space="0" w:color="auto"/>
              <w:right w:val="single" w:sz="12" w:space="0" w:color="auto"/>
            </w:tcBorders>
          </w:tcPr>
          <w:p w14:paraId="7F302B4D" w14:textId="77777777" w:rsidR="00482812" w:rsidRPr="00482812" w:rsidRDefault="00482812" w:rsidP="00482812">
            <w:pPr>
              <w:spacing w:after="0" w:line="240" w:lineRule="auto"/>
              <w:rPr>
                <w:sz w:val="22"/>
                <w:szCs w:val="22"/>
                <w:lang w:eastAsia="en-US"/>
              </w:rPr>
            </w:pPr>
            <w:r w:rsidRPr="00482812">
              <w:rPr>
                <w:sz w:val="22"/>
                <w:szCs w:val="22"/>
                <w:lang w:eastAsia="en-US"/>
              </w:rPr>
              <w:t>Coverings</w:t>
            </w:r>
          </w:p>
        </w:tc>
        <w:tc>
          <w:tcPr>
            <w:tcW w:w="1635" w:type="dxa"/>
            <w:tcBorders>
              <w:top w:val="single" w:sz="12" w:space="0" w:color="auto"/>
              <w:left w:val="single" w:sz="12" w:space="0" w:color="auto"/>
            </w:tcBorders>
          </w:tcPr>
          <w:p w14:paraId="75FA1697"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16</w:t>
            </w:r>
          </w:p>
        </w:tc>
        <w:tc>
          <w:tcPr>
            <w:tcW w:w="1575" w:type="dxa"/>
            <w:tcBorders>
              <w:top w:val="single" w:sz="12" w:space="0" w:color="auto"/>
              <w:right w:val="single" w:sz="12" w:space="0" w:color="auto"/>
            </w:tcBorders>
          </w:tcPr>
          <w:p w14:paraId="1641952C"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0</w:t>
            </w:r>
          </w:p>
        </w:tc>
        <w:tc>
          <w:tcPr>
            <w:tcW w:w="1605" w:type="dxa"/>
            <w:tcBorders>
              <w:top w:val="single" w:sz="12" w:space="0" w:color="auto"/>
              <w:left w:val="single" w:sz="12" w:space="0" w:color="auto"/>
            </w:tcBorders>
          </w:tcPr>
          <w:p w14:paraId="6D046544"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32</w:t>
            </w:r>
          </w:p>
        </w:tc>
        <w:tc>
          <w:tcPr>
            <w:tcW w:w="1620" w:type="dxa"/>
            <w:tcBorders>
              <w:top w:val="single" w:sz="12" w:space="0" w:color="auto"/>
              <w:right w:val="single" w:sz="12" w:space="0" w:color="auto"/>
            </w:tcBorders>
          </w:tcPr>
          <w:p w14:paraId="5CADC8F4"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5</w:t>
            </w:r>
          </w:p>
        </w:tc>
      </w:tr>
      <w:tr w:rsidR="00482812" w:rsidRPr="00482812" w14:paraId="0BAFDE5B" w14:textId="77777777" w:rsidTr="005322D8">
        <w:trPr>
          <w:trHeight w:val="300"/>
        </w:trPr>
        <w:tc>
          <w:tcPr>
            <w:tcW w:w="2580" w:type="dxa"/>
            <w:tcBorders>
              <w:left w:val="single" w:sz="12" w:space="0" w:color="auto"/>
              <w:right w:val="single" w:sz="12" w:space="0" w:color="auto"/>
            </w:tcBorders>
          </w:tcPr>
          <w:p w14:paraId="1CA9362F"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Blanket</w:t>
            </w:r>
          </w:p>
        </w:tc>
        <w:tc>
          <w:tcPr>
            <w:tcW w:w="1635" w:type="dxa"/>
            <w:tcBorders>
              <w:left w:val="single" w:sz="12" w:space="0" w:color="auto"/>
            </w:tcBorders>
          </w:tcPr>
          <w:p w14:paraId="2290656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w:t>
            </w:r>
          </w:p>
        </w:tc>
        <w:tc>
          <w:tcPr>
            <w:tcW w:w="1575" w:type="dxa"/>
            <w:tcBorders>
              <w:right w:val="single" w:sz="12" w:space="0" w:color="auto"/>
            </w:tcBorders>
          </w:tcPr>
          <w:p w14:paraId="188E8FA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tcBorders>
          </w:tcPr>
          <w:p w14:paraId="30291FA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28</w:t>
            </w:r>
          </w:p>
        </w:tc>
        <w:tc>
          <w:tcPr>
            <w:tcW w:w="1620" w:type="dxa"/>
            <w:tcBorders>
              <w:right w:val="single" w:sz="12" w:space="0" w:color="auto"/>
            </w:tcBorders>
          </w:tcPr>
          <w:p w14:paraId="34B12A4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5</w:t>
            </w:r>
          </w:p>
        </w:tc>
      </w:tr>
      <w:tr w:rsidR="00482812" w:rsidRPr="00482812" w14:paraId="65626EAB" w14:textId="77777777" w:rsidTr="005322D8">
        <w:trPr>
          <w:trHeight w:val="300"/>
        </w:trPr>
        <w:tc>
          <w:tcPr>
            <w:tcW w:w="2580" w:type="dxa"/>
            <w:tcBorders>
              <w:left w:val="single" w:sz="12" w:space="0" w:color="auto"/>
              <w:right w:val="single" w:sz="12" w:space="0" w:color="auto"/>
            </w:tcBorders>
          </w:tcPr>
          <w:p w14:paraId="74F2067F"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Coverlet</w:t>
            </w:r>
          </w:p>
        </w:tc>
        <w:tc>
          <w:tcPr>
            <w:tcW w:w="1635" w:type="dxa"/>
            <w:tcBorders>
              <w:left w:val="single" w:sz="12" w:space="0" w:color="auto"/>
            </w:tcBorders>
          </w:tcPr>
          <w:p w14:paraId="03F0343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13</w:t>
            </w:r>
          </w:p>
        </w:tc>
        <w:tc>
          <w:tcPr>
            <w:tcW w:w="1575" w:type="dxa"/>
            <w:tcBorders>
              <w:right w:val="single" w:sz="12" w:space="0" w:color="auto"/>
            </w:tcBorders>
          </w:tcPr>
          <w:p w14:paraId="3110FCF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tcBorders>
          </w:tcPr>
          <w:p w14:paraId="73C5BD1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12</w:t>
            </w:r>
          </w:p>
        </w:tc>
        <w:tc>
          <w:tcPr>
            <w:tcW w:w="1620" w:type="dxa"/>
            <w:tcBorders>
              <w:right w:val="single" w:sz="12" w:space="0" w:color="auto"/>
            </w:tcBorders>
          </w:tcPr>
          <w:p w14:paraId="03F4E78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47B8F9FA" w14:textId="77777777" w:rsidTr="005322D8">
        <w:trPr>
          <w:trHeight w:val="300"/>
        </w:trPr>
        <w:tc>
          <w:tcPr>
            <w:tcW w:w="2580" w:type="dxa"/>
            <w:tcBorders>
              <w:left w:val="single" w:sz="12" w:space="0" w:color="auto"/>
              <w:right w:val="single" w:sz="12" w:space="0" w:color="auto"/>
            </w:tcBorders>
          </w:tcPr>
          <w:p w14:paraId="0C3C8D69"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Rug</w:t>
            </w:r>
          </w:p>
        </w:tc>
        <w:tc>
          <w:tcPr>
            <w:tcW w:w="1635" w:type="dxa"/>
            <w:tcBorders>
              <w:left w:val="single" w:sz="12" w:space="0" w:color="auto"/>
            </w:tcBorders>
          </w:tcPr>
          <w:p w14:paraId="0A09AF3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75" w:type="dxa"/>
            <w:tcBorders>
              <w:right w:val="single" w:sz="12" w:space="0" w:color="auto"/>
            </w:tcBorders>
          </w:tcPr>
          <w:p w14:paraId="3093A20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tcBorders>
          </w:tcPr>
          <w:p w14:paraId="2ABCBB1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8</w:t>
            </w:r>
          </w:p>
        </w:tc>
        <w:tc>
          <w:tcPr>
            <w:tcW w:w="1620" w:type="dxa"/>
            <w:tcBorders>
              <w:right w:val="single" w:sz="12" w:space="0" w:color="auto"/>
            </w:tcBorders>
          </w:tcPr>
          <w:p w14:paraId="2562508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66B6F997" w14:textId="77777777" w:rsidTr="005322D8">
        <w:trPr>
          <w:trHeight w:val="300"/>
        </w:trPr>
        <w:tc>
          <w:tcPr>
            <w:tcW w:w="2580" w:type="dxa"/>
            <w:tcBorders>
              <w:left w:val="single" w:sz="12" w:space="0" w:color="auto"/>
              <w:right w:val="single" w:sz="12" w:space="0" w:color="auto"/>
            </w:tcBorders>
          </w:tcPr>
          <w:p w14:paraId="1E5AD3F9"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w:t>
            </w:r>
            <w:proofErr w:type="spellStart"/>
            <w:r w:rsidRPr="00482812">
              <w:rPr>
                <w:b w:val="0"/>
                <w:bCs w:val="0"/>
                <w:sz w:val="22"/>
                <w:szCs w:val="22"/>
                <w:lang w:eastAsia="en-US"/>
              </w:rPr>
              <w:t>Bedhilling</w:t>
            </w:r>
            <w:proofErr w:type="spellEnd"/>
          </w:p>
        </w:tc>
        <w:tc>
          <w:tcPr>
            <w:tcW w:w="1635" w:type="dxa"/>
            <w:tcBorders>
              <w:left w:val="single" w:sz="12" w:space="0" w:color="auto"/>
            </w:tcBorders>
          </w:tcPr>
          <w:p w14:paraId="1D82BD5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75" w:type="dxa"/>
            <w:tcBorders>
              <w:right w:val="single" w:sz="12" w:space="0" w:color="auto"/>
            </w:tcBorders>
          </w:tcPr>
          <w:p w14:paraId="3BA784A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tcBorders>
          </w:tcPr>
          <w:p w14:paraId="2499F6A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1620" w:type="dxa"/>
            <w:tcBorders>
              <w:right w:val="single" w:sz="12" w:space="0" w:color="auto"/>
            </w:tcBorders>
          </w:tcPr>
          <w:p w14:paraId="41975C2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01BEAB40" w14:textId="77777777" w:rsidTr="005322D8">
        <w:trPr>
          <w:trHeight w:val="300"/>
        </w:trPr>
        <w:tc>
          <w:tcPr>
            <w:tcW w:w="2580" w:type="dxa"/>
            <w:tcBorders>
              <w:left w:val="single" w:sz="12" w:space="0" w:color="auto"/>
              <w:right w:val="single" w:sz="12" w:space="0" w:color="auto"/>
            </w:tcBorders>
          </w:tcPr>
          <w:p w14:paraId="1492034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Bedcover/bedcovering</w:t>
            </w:r>
          </w:p>
        </w:tc>
        <w:tc>
          <w:tcPr>
            <w:tcW w:w="1635" w:type="dxa"/>
            <w:tcBorders>
              <w:left w:val="single" w:sz="12" w:space="0" w:color="auto"/>
            </w:tcBorders>
          </w:tcPr>
          <w:p w14:paraId="40938F9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75" w:type="dxa"/>
            <w:tcBorders>
              <w:right w:val="single" w:sz="12" w:space="0" w:color="auto"/>
            </w:tcBorders>
          </w:tcPr>
          <w:p w14:paraId="77F81F1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tcBorders>
          </w:tcPr>
          <w:p w14:paraId="04CDBF0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1620" w:type="dxa"/>
            <w:tcBorders>
              <w:right w:val="single" w:sz="12" w:space="0" w:color="auto"/>
            </w:tcBorders>
          </w:tcPr>
          <w:p w14:paraId="6425306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1467731B" w14:textId="77777777" w:rsidTr="005322D8">
        <w:trPr>
          <w:trHeight w:val="300"/>
        </w:trPr>
        <w:tc>
          <w:tcPr>
            <w:tcW w:w="2580" w:type="dxa"/>
            <w:tcBorders>
              <w:left w:val="single" w:sz="12" w:space="0" w:color="auto"/>
              <w:right w:val="single" w:sz="12" w:space="0" w:color="auto"/>
            </w:tcBorders>
          </w:tcPr>
          <w:p w14:paraId="0ABC62D6"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Throw</w:t>
            </w:r>
          </w:p>
        </w:tc>
        <w:tc>
          <w:tcPr>
            <w:tcW w:w="1635" w:type="dxa"/>
            <w:tcBorders>
              <w:left w:val="single" w:sz="12" w:space="0" w:color="auto"/>
            </w:tcBorders>
          </w:tcPr>
          <w:p w14:paraId="7828622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75" w:type="dxa"/>
            <w:tcBorders>
              <w:right w:val="single" w:sz="12" w:space="0" w:color="auto"/>
            </w:tcBorders>
          </w:tcPr>
          <w:p w14:paraId="4049EAF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tcBorders>
          </w:tcPr>
          <w:p w14:paraId="6EC7E60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620" w:type="dxa"/>
            <w:tcBorders>
              <w:right w:val="single" w:sz="12" w:space="0" w:color="auto"/>
            </w:tcBorders>
          </w:tcPr>
          <w:p w14:paraId="05CFEA9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5558C1DB" w14:textId="77777777" w:rsidTr="005322D8">
        <w:trPr>
          <w:trHeight w:val="300"/>
        </w:trPr>
        <w:tc>
          <w:tcPr>
            <w:tcW w:w="2580" w:type="dxa"/>
            <w:tcBorders>
              <w:left w:val="single" w:sz="12" w:space="0" w:color="auto"/>
              <w:bottom w:val="single" w:sz="12" w:space="0" w:color="auto"/>
              <w:right w:val="single" w:sz="12" w:space="0" w:color="auto"/>
            </w:tcBorders>
          </w:tcPr>
          <w:p w14:paraId="5FB79AE3"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Quilt</w:t>
            </w:r>
          </w:p>
        </w:tc>
        <w:tc>
          <w:tcPr>
            <w:tcW w:w="1635" w:type="dxa"/>
            <w:tcBorders>
              <w:left w:val="single" w:sz="12" w:space="0" w:color="auto"/>
              <w:bottom w:val="single" w:sz="12" w:space="0" w:color="auto"/>
            </w:tcBorders>
          </w:tcPr>
          <w:p w14:paraId="21BDECA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75" w:type="dxa"/>
            <w:tcBorders>
              <w:bottom w:val="single" w:sz="12" w:space="0" w:color="auto"/>
              <w:right w:val="single" w:sz="12" w:space="0" w:color="auto"/>
            </w:tcBorders>
          </w:tcPr>
          <w:p w14:paraId="0E2BA12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bottom w:val="single" w:sz="12" w:space="0" w:color="auto"/>
            </w:tcBorders>
          </w:tcPr>
          <w:p w14:paraId="3AD10AC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620" w:type="dxa"/>
            <w:tcBorders>
              <w:bottom w:val="single" w:sz="12" w:space="0" w:color="auto"/>
              <w:right w:val="single" w:sz="12" w:space="0" w:color="auto"/>
            </w:tcBorders>
          </w:tcPr>
          <w:p w14:paraId="0097A9C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2879E89C" w14:textId="77777777" w:rsidTr="005322D8">
        <w:trPr>
          <w:trHeight w:val="300"/>
        </w:trPr>
        <w:tc>
          <w:tcPr>
            <w:tcW w:w="2580" w:type="dxa"/>
            <w:tcBorders>
              <w:top w:val="single" w:sz="12" w:space="0" w:color="auto"/>
              <w:left w:val="single" w:sz="12" w:space="0" w:color="auto"/>
              <w:right w:val="single" w:sz="12" w:space="0" w:color="auto"/>
            </w:tcBorders>
          </w:tcPr>
          <w:p w14:paraId="4911DFDA" w14:textId="77777777" w:rsidR="00482812" w:rsidRPr="00482812" w:rsidRDefault="00482812" w:rsidP="00482812">
            <w:pPr>
              <w:spacing w:after="0" w:line="240" w:lineRule="auto"/>
              <w:rPr>
                <w:sz w:val="22"/>
                <w:szCs w:val="22"/>
                <w:lang w:eastAsia="en-US"/>
              </w:rPr>
            </w:pPr>
            <w:r w:rsidRPr="00482812">
              <w:rPr>
                <w:sz w:val="22"/>
                <w:szCs w:val="22"/>
                <w:lang w:eastAsia="en-US"/>
              </w:rPr>
              <w:t>Head Support</w:t>
            </w:r>
          </w:p>
        </w:tc>
        <w:tc>
          <w:tcPr>
            <w:tcW w:w="1635" w:type="dxa"/>
            <w:tcBorders>
              <w:top w:val="single" w:sz="12" w:space="0" w:color="auto"/>
              <w:left w:val="single" w:sz="12" w:space="0" w:color="auto"/>
            </w:tcBorders>
          </w:tcPr>
          <w:p w14:paraId="4DC585B6"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10</w:t>
            </w:r>
          </w:p>
        </w:tc>
        <w:tc>
          <w:tcPr>
            <w:tcW w:w="1575" w:type="dxa"/>
            <w:tcBorders>
              <w:top w:val="single" w:sz="12" w:space="0" w:color="auto"/>
              <w:right w:val="single" w:sz="12" w:space="0" w:color="auto"/>
            </w:tcBorders>
          </w:tcPr>
          <w:p w14:paraId="2DA776F4"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2</w:t>
            </w:r>
          </w:p>
        </w:tc>
        <w:tc>
          <w:tcPr>
            <w:tcW w:w="1605" w:type="dxa"/>
            <w:tcBorders>
              <w:top w:val="single" w:sz="12" w:space="0" w:color="auto"/>
              <w:left w:val="single" w:sz="12" w:space="0" w:color="auto"/>
            </w:tcBorders>
          </w:tcPr>
          <w:p w14:paraId="0C8B2E55"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38</w:t>
            </w:r>
          </w:p>
        </w:tc>
        <w:tc>
          <w:tcPr>
            <w:tcW w:w="1620" w:type="dxa"/>
            <w:tcBorders>
              <w:top w:val="single" w:sz="12" w:space="0" w:color="auto"/>
              <w:right w:val="single" w:sz="12" w:space="0" w:color="auto"/>
            </w:tcBorders>
          </w:tcPr>
          <w:p w14:paraId="527D357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w:t>
            </w:r>
          </w:p>
        </w:tc>
      </w:tr>
      <w:tr w:rsidR="00482812" w:rsidRPr="00482812" w14:paraId="37E8DA6A" w14:textId="77777777" w:rsidTr="005322D8">
        <w:trPr>
          <w:trHeight w:val="300"/>
        </w:trPr>
        <w:tc>
          <w:tcPr>
            <w:tcW w:w="2580" w:type="dxa"/>
            <w:tcBorders>
              <w:left w:val="single" w:sz="12" w:space="0" w:color="auto"/>
              <w:right w:val="single" w:sz="12" w:space="0" w:color="auto"/>
            </w:tcBorders>
          </w:tcPr>
          <w:p w14:paraId="67DD673C"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Bolsters</w:t>
            </w:r>
          </w:p>
        </w:tc>
        <w:tc>
          <w:tcPr>
            <w:tcW w:w="1635" w:type="dxa"/>
            <w:tcBorders>
              <w:left w:val="single" w:sz="12" w:space="0" w:color="auto"/>
            </w:tcBorders>
          </w:tcPr>
          <w:p w14:paraId="33CE5C5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w:t>
            </w:r>
          </w:p>
        </w:tc>
        <w:tc>
          <w:tcPr>
            <w:tcW w:w="1575" w:type="dxa"/>
            <w:tcBorders>
              <w:right w:val="single" w:sz="12" w:space="0" w:color="auto"/>
            </w:tcBorders>
          </w:tcPr>
          <w:p w14:paraId="0EB92C8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1605" w:type="dxa"/>
            <w:tcBorders>
              <w:left w:val="single" w:sz="12" w:space="0" w:color="auto"/>
            </w:tcBorders>
          </w:tcPr>
          <w:p w14:paraId="70EE165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28</w:t>
            </w:r>
          </w:p>
        </w:tc>
        <w:tc>
          <w:tcPr>
            <w:tcW w:w="1620" w:type="dxa"/>
            <w:tcBorders>
              <w:right w:val="single" w:sz="12" w:space="0" w:color="auto"/>
            </w:tcBorders>
          </w:tcPr>
          <w:p w14:paraId="78DC565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4B253D44" w14:textId="77777777" w:rsidTr="005322D8">
        <w:trPr>
          <w:trHeight w:val="300"/>
        </w:trPr>
        <w:tc>
          <w:tcPr>
            <w:tcW w:w="2580" w:type="dxa"/>
            <w:tcBorders>
              <w:left w:val="single" w:sz="12" w:space="0" w:color="auto"/>
              <w:right w:val="single" w:sz="12" w:space="0" w:color="auto"/>
            </w:tcBorders>
          </w:tcPr>
          <w:p w14:paraId="7B0FDEC2"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Pillows</w:t>
            </w:r>
          </w:p>
        </w:tc>
        <w:tc>
          <w:tcPr>
            <w:tcW w:w="1635" w:type="dxa"/>
            <w:tcBorders>
              <w:left w:val="single" w:sz="12" w:space="0" w:color="auto"/>
            </w:tcBorders>
          </w:tcPr>
          <w:p w14:paraId="2AE1B8E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1575" w:type="dxa"/>
            <w:tcBorders>
              <w:right w:val="single" w:sz="12" w:space="0" w:color="auto"/>
            </w:tcBorders>
          </w:tcPr>
          <w:p w14:paraId="307F5CA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tcBorders>
          </w:tcPr>
          <w:p w14:paraId="211200E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21</w:t>
            </w:r>
          </w:p>
        </w:tc>
        <w:tc>
          <w:tcPr>
            <w:tcW w:w="1620" w:type="dxa"/>
            <w:tcBorders>
              <w:right w:val="single" w:sz="12" w:space="0" w:color="auto"/>
            </w:tcBorders>
          </w:tcPr>
          <w:p w14:paraId="4AB98B6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02BF78A8" w14:textId="77777777" w:rsidTr="005322D8">
        <w:trPr>
          <w:trHeight w:val="300"/>
        </w:trPr>
        <w:tc>
          <w:tcPr>
            <w:tcW w:w="2580" w:type="dxa"/>
            <w:tcBorders>
              <w:left w:val="single" w:sz="12" w:space="0" w:color="auto"/>
              <w:bottom w:val="single" w:sz="12" w:space="0" w:color="auto"/>
              <w:right w:val="single" w:sz="12" w:space="0" w:color="auto"/>
            </w:tcBorders>
          </w:tcPr>
          <w:p w14:paraId="6EAC2D8C"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Pillowcases</w:t>
            </w:r>
          </w:p>
        </w:tc>
        <w:tc>
          <w:tcPr>
            <w:tcW w:w="1635" w:type="dxa"/>
            <w:tcBorders>
              <w:left w:val="single" w:sz="12" w:space="0" w:color="auto"/>
              <w:bottom w:val="single" w:sz="12" w:space="0" w:color="auto"/>
            </w:tcBorders>
          </w:tcPr>
          <w:p w14:paraId="5E5C378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1575" w:type="dxa"/>
            <w:tcBorders>
              <w:bottom w:val="single" w:sz="12" w:space="0" w:color="auto"/>
              <w:right w:val="single" w:sz="12" w:space="0" w:color="auto"/>
            </w:tcBorders>
          </w:tcPr>
          <w:p w14:paraId="12CA8CE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bottom w:val="single" w:sz="12" w:space="0" w:color="auto"/>
            </w:tcBorders>
          </w:tcPr>
          <w:p w14:paraId="7F8C84D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13</w:t>
            </w:r>
          </w:p>
        </w:tc>
        <w:tc>
          <w:tcPr>
            <w:tcW w:w="1620" w:type="dxa"/>
            <w:tcBorders>
              <w:bottom w:val="single" w:sz="12" w:space="0" w:color="auto"/>
              <w:right w:val="single" w:sz="12" w:space="0" w:color="auto"/>
            </w:tcBorders>
          </w:tcPr>
          <w:p w14:paraId="4CD0D67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2B15986F" w14:textId="77777777" w:rsidTr="005322D8">
        <w:trPr>
          <w:trHeight w:val="300"/>
        </w:trPr>
        <w:tc>
          <w:tcPr>
            <w:tcW w:w="2580" w:type="dxa"/>
            <w:tcBorders>
              <w:top w:val="single" w:sz="12" w:space="0" w:color="auto"/>
              <w:left w:val="single" w:sz="12" w:space="0" w:color="auto"/>
              <w:right w:val="single" w:sz="12" w:space="0" w:color="auto"/>
            </w:tcBorders>
          </w:tcPr>
          <w:p w14:paraId="06848313" w14:textId="77777777" w:rsidR="00482812" w:rsidRPr="00482812" w:rsidRDefault="00482812" w:rsidP="00482812">
            <w:pPr>
              <w:spacing w:after="0" w:line="240" w:lineRule="auto"/>
              <w:rPr>
                <w:sz w:val="22"/>
                <w:szCs w:val="22"/>
                <w:lang w:eastAsia="en-US"/>
              </w:rPr>
            </w:pPr>
            <w:r w:rsidRPr="00482812">
              <w:rPr>
                <w:sz w:val="22"/>
                <w:szCs w:val="22"/>
                <w:lang w:eastAsia="en-US"/>
              </w:rPr>
              <w:t>Additional Textiles</w:t>
            </w:r>
          </w:p>
        </w:tc>
        <w:tc>
          <w:tcPr>
            <w:tcW w:w="1635" w:type="dxa"/>
            <w:tcBorders>
              <w:top w:val="single" w:sz="12" w:space="0" w:color="auto"/>
              <w:left w:val="single" w:sz="12" w:space="0" w:color="auto"/>
            </w:tcBorders>
          </w:tcPr>
          <w:p w14:paraId="24A532AB"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0</w:t>
            </w:r>
          </w:p>
        </w:tc>
        <w:tc>
          <w:tcPr>
            <w:tcW w:w="1575" w:type="dxa"/>
            <w:tcBorders>
              <w:top w:val="single" w:sz="12" w:space="0" w:color="auto"/>
              <w:right w:val="single" w:sz="12" w:space="0" w:color="auto"/>
            </w:tcBorders>
          </w:tcPr>
          <w:p w14:paraId="70958E85"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0</w:t>
            </w:r>
          </w:p>
        </w:tc>
        <w:tc>
          <w:tcPr>
            <w:tcW w:w="1605" w:type="dxa"/>
            <w:tcBorders>
              <w:top w:val="single" w:sz="12" w:space="0" w:color="auto"/>
              <w:left w:val="single" w:sz="12" w:space="0" w:color="auto"/>
            </w:tcBorders>
          </w:tcPr>
          <w:p w14:paraId="34896F0E"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9</w:t>
            </w:r>
          </w:p>
        </w:tc>
        <w:tc>
          <w:tcPr>
            <w:tcW w:w="1620" w:type="dxa"/>
            <w:tcBorders>
              <w:top w:val="single" w:sz="12" w:space="0" w:color="auto"/>
              <w:right w:val="single" w:sz="12" w:space="0" w:color="auto"/>
            </w:tcBorders>
          </w:tcPr>
          <w:p w14:paraId="17762928"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w:t>
            </w:r>
          </w:p>
        </w:tc>
      </w:tr>
      <w:tr w:rsidR="00482812" w:rsidRPr="00482812" w14:paraId="74C5544F" w14:textId="77777777" w:rsidTr="005322D8">
        <w:trPr>
          <w:trHeight w:val="300"/>
        </w:trPr>
        <w:tc>
          <w:tcPr>
            <w:tcW w:w="2580" w:type="dxa"/>
            <w:tcBorders>
              <w:left w:val="single" w:sz="12" w:space="0" w:color="auto"/>
              <w:right w:val="single" w:sz="12" w:space="0" w:color="auto"/>
            </w:tcBorders>
          </w:tcPr>
          <w:p w14:paraId="768596F0"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Bed hangings / bed</w:t>
            </w:r>
          </w:p>
          <w:p w14:paraId="7DFC735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curtains</w:t>
            </w:r>
          </w:p>
        </w:tc>
        <w:tc>
          <w:tcPr>
            <w:tcW w:w="1635" w:type="dxa"/>
            <w:tcBorders>
              <w:left w:val="single" w:sz="12" w:space="0" w:color="auto"/>
            </w:tcBorders>
          </w:tcPr>
          <w:p w14:paraId="58E2B27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75" w:type="dxa"/>
            <w:tcBorders>
              <w:right w:val="single" w:sz="12" w:space="0" w:color="auto"/>
            </w:tcBorders>
          </w:tcPr>
          <w:p w14:paraId="0BE6616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tcBorders>
          </w:tcPr>
          <w:p w14:paraId="203410F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8</w:t>
            </w:r>
          </w:p>
        </w:tc>
        <w:tc>
          <w:tcPr>
            <w:tcW w:w="1620" w:type="dxa"/>
            <w:tcBorders>
              <w:right w:val="single" w:sz="12" w:space="0" w:color="auto"/>
            </w:tcBorders>
          </w:tcPr>
          <w:p w14:paraId="087B144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00FE5E17" w14:textId="77777777" w:rsidTr="005322D8">
        <w:trPr>
          <w:trHeight w:val="300"/>
        </w:trPr>
        <w:tc>
          <w:tcPr>
            <w:tcW w:w="2580" w:type="dxa"/>
            <w:tcBorders>
              <w:left w:val="single" w:sz="12" w:space="0" w:color="auto"/>
              <w:right w:val="single" w:sz="12" w:space="0" w:color="auto"/>
            </w:tcBorders>
          </w:tcPr>
          <w:p w14:paraId="51405236"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Valance</w:t>
            </w:r>
          </w:p>
        </w:tc>
        <w:tc>
          <w:tcPr>
            <w:tcW w:w="1635" w:type="dxa"/>
            <w:tcBorders>
              <w:left w:val="single" w:sz="12" w:space="0" w:color="auto"/>
            </w:tcBorders>
          </w:tcPr>
          <w:p w14:paraId="2B9EB0A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75" w:type="dxa"/>
            <w:tcBorders>
              <w:right w:val="single" w:sz="12" w:space="0" w:color="auto"/>
            </w:tcBorders>
          </w:tcPr>
          <w:p w14:paraId="01EC5BC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05" w:type="dxa"/>
            <w:tcBorders>
              <w:left w:val="single" w:sz="12" w:space="0" w:color="auto"/>
            </w:tcBorders>
          </w:tcPr>
          <w:p w14:paraId="638A8C7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6</w:t>
            </w:r>
          </w:p>
        </w:tc>
        <w:tc>
          <w:tcPr>
            <w:tcW w:w="1620" w:type="dxa"/>
            <w:tcBorders>
              <w:right w:val="single" w:sz="12" w:space="0" w:color="auto"/>
            </w:tcBorders>
          </w:tcPr>
          <w:p w14:paraId="553C2FB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62C28A61" w14:textId="77777777" w:rsidTr="005322D8">
        <w:trPr>
          <w:trHeight w:val="300"/>
        </w:trPr>
        <w:tc>
          <w:tcPr>
            <w:tcW w:w="2580" w:type="dxa"/>
            <w:tcBorders>
              <w:left w:val="single" w:sz="12" w:space="0" w:color="auto"/>
              <w:bottom w:val="single" w:sz="12" w:space="0" w:color="auto"/>
              <w:right w:val="single" w:sz="12" w:space="0" w:color="auto"/>
            </w:tcBorders>
          </w:tcPr>
          <w:p w14:paraId="396C4217"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Tester</w:t>
            </w:r>
          </w:p>
        </w:tc>
        <w:tc>
          <w:tcPr>
            <w:tcW w:w="1635" w:type="dxa"/>
            <w:tcBorders>
              <w:left w:val="single" w:sz="12" w:space="0" w:color="auto"/>
              <w:bottom w:val="single" w:sz="12" w:space="0" w:color="auto"/>
            </w:tcBorders>
          </w:tcPr>
          <w:p w14:paraId="09304CD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575" w:type="dxa"/>
            <w:tcBorders>
              <w:bottom w:val="single" w:sz="12" w:space="0" w:color="auto"/>
              <w:right w:val="single" w:sz="12" w:space="0" w:color="auto"/>
            </w:tcBorders>
          </w:tcPr>
          <w:p w14:paraId="1D019DC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1605" w:type="dxa"/>
            <w:tcBorders>
              <w:left w:val="single" w:sz="12" w:space="0" w:color="auto"/>
              <w:bottom w:val="single" w:sz="12" w:space="0" w:color="auto"/>
            </w:tcBorders>
          </w:tcPr>
          <w:p w14:paraId="620F309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1620" w:type="dxa"/>
            <w:tcBorders>
              <w:bottom w:val="single" w:sz="12" w:space="0" w:color="auto"/>
              <w:right w:val="single" w:sz="12" w:space="0" w:color="auto"/>
            </w:tcBorders>
          </w:tcPr>
          <w:p w14:paraId="7BC8D5E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375EF489" w14:textId="77777777" w:rsidTr="005322D8">
        <w:trPr>
          <w:trHeight w:val="300"/>
        </w:trPr>
        <w:tc>
          <w:tcPr>
            <w:tcW w:w="2580" w:type="dxa"/>
            <w:tcBorders>
              <w:top w:val="single" w:sz="12" w:space="0" w:color="auto"/>
              <w:left w:val="single" w:sz="12" w:space="0" w:color="auto"/>
              <w:bottom w:val="single" w:sz="12" w:space="0" w:color="auto"/>
              <w:right w:val="single" w:sz="12" w:space="0" w:color="auto"/>
            </w:tcBorders>
          </w:tcPr>
          <w:p w14:paraId="5C43A37F" w14:textId="77777777" w:rsidR="00482812" w:rsidRPr="00482812" w:rsidRDefault="00482812" w:rsidP="00482812">
            <w:pPr>
              <w:spacing w:after="0" w:line="240" w:lineRule="auto"/>
              <w:rPr>
                <w:sz w:val="22"/>
                <w:szCs w:val="22"/>
                <w:lang w:eastAsia="en-US"/>
              </w:rPr>
            </w:pPr>
            <w:r w:rsidRPr="00482812">
              <w:rPr>
                <w:sz w:val="22"/>
                <w:szCs w:val="22"/>
                <w:lang w:eastAsia="en-US"/>
              </w:rPr>
              <w:t>Total</w:t>
            </w:r>
          </w:p>
        </w:tc>
        <w:tc>
          <w:tcPr>
            <w:tcW w:w="1635" w:type="dxa"/>
            <w:tcBorders>
              <w:top w:val="single" w:sz="12" w:space="0" w:color="auto"/>
              <w:left w:val="single" w:sz="12" w:space="0" w:color="auto"/>
              <w:bottom w:val="single" w:sz="12" w:space="0" w:color="auto"/>
            </w:tcBorders>
          </w:tcPr>
          <w:p w14:paraId="29E42D6F"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71</w:t>
            </w:r>
          </w:p>
        </w:tc>
        <w:tc>
          <w:tcPr>
            <w:tcW w:w="1575" w:type="dxa"/>
            <w:tcBorders>
              <w:top w:val="single" w:sz="12" w:space="0" w:color="auto"/>
              <w:bottom w:val="single" w:sz="12" w:space="0" w:color="auto"/>
              <w:right w:val="single" w:sz="12" w:space="0" w:color="auto"/>
            </w:tcBorders>
          </w:tcPr>
          <w:p w14:paraId="31AFBD3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8</w:t>
            </w:r>
          </w:p>
        </w:tc>
        <w:tc>
          <w:tcPr>
            <w:tcW w:w="1605" w:type="dxa"/>
            <w:tcBorders>
              <w:top w:val="single" w:sz="12" w:space="0" w:color="auto"/>
              <w:left w:val="single" w:sz="12" w:space="0" w:color="auto"/>
              <w:bottom w:val="single" w:sz="12" w:space="0" w:color="auto"/>
            </w:tcBorders>
          </w:tcPr>
          <w:p w14:paraId="3DF9A75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78</w:t>
            </w:r>
          </w:p>
        </w:tc>
        <w:tc>
          <w:tcPr>
            <w:tcW w:w="1620" w:type="dxa"/>
            <w:tcBorders>
              <w:top w:val="single" w:sz="12" w:space="0" w:color="auto"/>
              <w:bottom w:val="single" w:sz="12" w:space="0" w:color="auto"/>
              <w:right w:val="single" w:sz="12" w:space="0" w:color="auto"/>
            </w:tcBorders>
          </w:tcPr>
          <w:p w14:paraId="2D948FD7"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18</w:t>
            </w:r>
          </w:p>
        </w:tc>
      </w:tr>
    </w:tbl>
    <w:p w14:paraId="576EAD57" w14:textId="77777777" w:rsidR="0092584D" w:rsidRDefault="0092584D" w:rsidP="0092584D">
      <w:pPr>
        <w:jc w:val="center"/>
        <w:rPr>
          <w:rFonts w:cs="Calibri"/>
        </w:rPr>
      </w:pPr>
    </w:p>
    <w:p w14:paraId="50D805E8" w14:textId="5BC0FDE2" w:rsidR="00482812" w:rsidRPr="00482812" w:rsidRDefault="00482812" w:rsidP="0092584D">
      <w:pPr>
        <w:jc w:val="center"/>
        <w:rPr>
          <w:rFonts w:cs="Calibri"/>
        </w:rPr>
      </w:pPr>
      <w:r w:rsidRPr="00482812">
        <w:rPr>
          <w:rFonts w:cs="Calibri"/>
        </w:rPr>
        <w:t xml:space="preserve">Table 40 – </w:t>
      </w:r>
      <w:r w:rsidR="007A0DF5" w:rsidRPr="007A0DF5">
        <w:rPr>
          <w:rFonts w:cs="Calibri"/>
        </w:rPr>
        <w:t>Prevalence of</w:t>
      </w:r>
      <w:r w:rsidR="007A0DF5" w:rsidRPr="00482812">
        <w:rPr>
          <w:rFonts w:cs="Calibri"/>
        </w:rPr>
        <w:t xml:space="preserve"> different bedding textiles </w:t>
      </w:r>
      <w:r w:rsidR="007A0DF5" w:rsidRPr="007A0DF5">
        <w:rPr>
          <w:rFonts w:cs="Calibri"/>
        </w:rPr>
        <w:t>in wills and inventories with</w:t>
      </w:r>
      <w:r w:rsidR="007A0DF5" w:rsidRPr="00482812">
        <w:rPr>
          <w:rFonts w:cs="Calibri"/>
        </w:rPr>
        <w:t>in the Bolton-le-Sands and Prestbury wider survey</w:t>
      </w:r>
      <w:r w:rsidRPr="00482812">
        <w:rPr>
          <w:rFonts w:cs="Calibri"/>
        </w:rPr>
        <w:t>.</w:t>
      </w:r>
    </w:p>
    <w:p w14:paraId="0A6782D4" w14:textId="77777777" w:rsidR="00482812" w:rsidRPr="00482812" w:rsidRDefault="00482812" w:rsidP="0092584D">
      <w:pPr>
        <w:rPr>
          <w:rFonts w:cs="Calibri"/>
        </w:rPr>
      </w:pPr>
      <w:r w:rsidRPr="00482812">
        <w:rPr>
          <w:rFonts w:cs="Calibri"/>
        </w:rPr>
        <w:t>(Flax and linen were derived from the same plant, but where appraisers differentiated between them this distinction has been maintained.)</w:t>
      </w:r>
    </w:p>
    <w:p w14:paraId="4012C7EC" w14:textId="77777777" w:rsidR="00482812" w:rsidRPr="00482812" w:rsidRDefault="00482812" w:rsidP="00482812">
      <w:pPr>
        <w:rPr>
          <w:rFonts w:cs="Calibri"/>
          <w:b/>
          <w:bCs/>
          <w:sz w:val="22"/>
          <w:szCs w:val="22"/>
        </w:rPr>
      </w:pPr>
      <w:r w:rsidRPr="00482812">
        <w:rPr>
          <w:rFonts w:cs="Calibri"/>
          <w:b/>
          <w:bCs/>
          <w:sz w:val="22"/>
          <w:szCs w:val="22"/>
        </w:rPr>
        <w:br w:type="page"/>
      </w:r>
    </w:p>
    <w:tbl>
      <w:tblPr>
        <w:tblStyle w:val="TableGrid16"/>
        <w:tblW w:w="0" w:type="auto"/>
        <w:tblLayout w:type="fixed"/>
        <w:tblLook w:val="06A0" w:firstRow="1" w:lastRow="0" w:firstColumn="1" w:lastColumn="0" w:noHBand="1" w:noVBand="1"/>
      </w:tblPr>
      <w:tblGrid>
        <w:gridCol w:w="3005"/>
        <w:gridCol w:w="3005"/>
        <w:gridCol w:w="3005"/>
      </w:tblGrid>
      <w:tr w:rsidR="00482812" w:rsidRPr="00482812" w14:paraId="3BD95519" w14:textId="77777777" w:rsidTr="005322D8">
        <w:trPr>
          <w:trHeight w:val="300"/>
        </w:trPr>
        <w:tc>
          <w:tcPr>
            <w:tcW w:w="3005" w:type="dxa"/>
            <w:tcBorders>
              <w:top w:val="single" w:sz="12" w:space="0" w:color="auto"/>
              <w:left w:val="single" w:sz="12" w:space="0" w:color="auto"/>
              <w:bottom w:val="single" w:sz="12" w:space="0" w:color="auto"/>
              <w:right w:val="single" w:sz="12" w:space="0" w:color="auto"/>
            </w:tcBorders>
          </w:tcPr>
          <w:p w14:paraId="2B8C7876" w14:textId="77777777" w:rsidR="00482812" w:rsidRPr="00482812" w:rsidRDefault="00482812" w:rsidP="00482812">
            <w:pPr>
              <w:spacing w:after="0" w:line="240" w:lineRule="auto"/>
              <w:rPr>
                <w:sz w:val="22"/>
                <w:szCs w:val="22"/>
                <w:lang w:eastAsia="en-US"/>
              </w:rPr>
            </w:pPr>
          </w:p>
        </w:tc>
        <w:tc>
          <w:tcPr>
            <w:tcW w:w="3005" w:type="dxa"/>
            <w:tcBorders>
              <w:top w:val="single" w:sz="12" w:space="0" w:color="auto"/>
              <w:left w:val="single" w:sz="12" w:space="0" w:color="auto"/>
              <w:bottom w:val="single" w:sz="12" w:space="0" w:color="auto"/>
              <w:right w:val="single" w:sz="12" w:space="0" w:color="auto"/>
            </w:tcBorders>
          </w:tcPr>
          <w:p w14:paraId="46F60488"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Bolton-le-Sands</w:t>
            </w:r>
          </w:p>
        </w:tc>
        <w:tc>
          <w:tcPr>
            <w:tcW w:w="3005" w:type="dxa"/>
            <w:tcBorders>
              <w:top w:val="single" w:sz="12" w:space="0" w:color="auto"/>
              <w:left w:val="single" w:sz="12" w:space="0" w:color="auto"/>
              <w:bottom w:val="single" w:sz="12" w:space="0" w:color="auto"/>
              <w:right w:val="single" w:sz="12" w:space="0" w:color="auto"/>
            </w:tcBorders>
          </w:tcPr>
          <w:p w14:paraId="6718C20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Prestbury</w:t>
            </w:r>
          </w:p>
        </w:tc>
      </w:tr>
      <w:tr w:rsidR="00482812" w:rsidRPr="00482812" w14:paraId="07FE0FD9" w14:textId="77777777" w:rsidTr="005322D8">
        <w:trPr>
          <w:trHeight w:val="300"/>
        </w:trPr>
        <w:tc>
          <w:tcPr>
            <w:tcW w:w="3005" w:type="dxa"/>
            <w:tcBorders>
              <w:top w:val="single" w:sz="12" w:space="0" w:color="auto"/>
              <w:left w:val="single" w:sz="12" w:space="0" w:color="auto"/>
              <w:right w:val="single" w:sz="12" w:space="0" w:color="auto"/>
            </w:tcBorders>
          </w:tcPr>
          <w:p w14:paraId="1BA27AE6" w14:textId="77777777" w:rsidR="00482812" w:rsidRPr="00482812" w:rsidRDefault="00482812" w:rsidP="00482812">
            <w:pPr>
              <w:spacing w:after="0" w:line="240" w:lineRule="auto"/>
              <w:rPr>
                <w:sz w:val="22"/>
                <w:szCs w:val="22"/>
                <w:lang w:eastAsia="en-US"/>
              </w:rPr>
            </w:pPr>
            <w:r w:rsidRPr="00482812">
              <w:rPr>
                <w:sz w:val="22"/>
                <w:szCs w:val="22"/>
                <w:lang w:eastAsia="en-US"/>
              </w:rPr>
              <w:t>Food Service</w:t>
            </w:r>
          </w:p>
        </w:tc>
        <w:tc>
          <w:tcPr>
            <w:tcW w:w="3005" w:type="dxa"/>
            <w:tcBorders>
              <w:top w:val="single" w:sz="12" w:space="0" w:color="auto"/>
              <w:left w:val="single" w:sz="12" w:space="0" w:color="auto"/>
              <w:right w:val="single" w:sz="12" w:space="0" w:color="auto"/>
            </w:tcBorders>
          </w:tcPr>
          <w:p w14:paraId="435182BA"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5</w:t>
            </w:r>
          </w:p>
        </w:tc>
        <w:tc>
          <w:tcPr>
            <w:tcW w:w="3005" w:type="dxa"/>
            <w:tcBorders>
              <w:top w:val="single" w:sz="12" w:space="0" w:color="auto"/>
              <w:left w:val="single" w:sz="12" w:space="0" w:color="auto"/>
              <w:right w:val="single" w:sz="12" w:space="0" w:color="auto"/>
            </w:tcBorders>
          </w:tcPr>
          <w:p w14:paraId="2910E3C0"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13</w:t>
            </w:r>
          </w:p>
        </w:tc>
      </w:tr>
      <w:tr w:rsidR="00482812" w:rsidRPr="00482812" w14:paraId="53AFC9C4" w14:textId="77777777" w:rsidTr="005322D8">
        <w:trPr>
          <w:trHeight w:val="300"/>
        </w:trPr>
        <w:tc>
          <w:tcPr>
            <w:tcW w:w="3005" w:type="dxa"/>
            <w:tcBorders>
              <w:left w:val="single" w:sz="12" w:space="0" w:color="auto"/>
              <w:right w:val="single" w:sz="12" w:space="0" w:color="auto"/>
            </w:tcBorders>
          </w:tcPr>
          <w:p w14:paraId="38B2BC2B"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Doublers</w:t>
            </w:r>
          </w:p>
        </w:tc>
        <w:tc>
          <w:tcPr>
            <w:tcW w:w="3005" w:type="dxa"/>
            <w:tcBorders>
              <w:left w:val="single" w:sz="12" w:space="0" w:color="auto"/>
              <w:right w:val="single" w:sz="12" w:space="0" w:color="auto"/>
            </w:tcBorders>
          </w:tcPr>
          <w:p w14:paraId="3BE98A4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c>
          <w:tcPr>
            <w:tcW w:w="3005" w:type="dxa"/>
            <w:tcBorders>
              <w:left w:val="single" w:sz="12" w:space="0" w:color="auto"/>
              <w:right w:val="single" w:sz="12" w:space="0" w:color="auto"/>
            </w:tcBorders>
          </w:tcPr>
          <w:p w14:paraId="096A724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6ABC9795" w14:textId="77777777" w:rsidTr="005322D8">
        <w:trPr>
          <w:trHeight w:val="300"/>
        </w:trPr>
        <w:tc>
          <w:tcPr>
            <w:tcW w:w="3005" w:type="dxa"/>
            <w:tcBorders>
              <w:left w:val="single" w:sz="12" w:space="0" w:color="auto"/>
              <w:right w:val="single" w:sz="12" w:space="0" w:color="auto"/>
            </w:tcBorders>
          </w:tcPr>
          <w:p w14:paraId="19DC3D38"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Trenchers</w:t>
            </w:r>
          </w:p>
        </w:tc>
        <w:tc>
          <w:tcPr>
            <w:tcW w:w="3005" w:type="dxa"/>
            <w:tcBorders>
              <w:left w:val="single" w:sz="12" w:space="0" w:color="auto"/>
              <w:right w:val="single" w:sz="12" w:space="0" w:color="auto"/>
            </w:tcBorders>
          </w:tcPr>
          <w:p w14:paraId="31255F1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3005" w:type="dxa"/>
            <w:tcBorders>
              <w:left w:val="single" w:sz="12" w:space="0" w:color="auto"/>
              <w:right w:val="single" w:sz="12" w:space="0" w:color="auto"/>
            </w:tcBorders>
          </w:tcPr>
          <w:p w14:paraId="01BDD5B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9</w:t>
            </w:r>
          </w:p>
        </w:tc>
      </w:tr>
      <w:tr w:rsidR="00482812" w:rsidRPr="00482812" w14:paraId="3D6B3797" w14:textId="77777777" w:rsidTr="005322D8">
        <w:trPr>
          <w:trHeight w:val="300"/>
        </w:trPr>
        <w:tc>
          <w:tcPr>
            <w:tcW w:w="3005" w:type="dxa"/>
            <w:tcBorders>
              <w:left w:val="single" w:sz="12" w:space="0" w:color="auto"/>
              <w:right w:val="single" w:sz="12" w:space="0" w:color="auto"/>
            </w:tcBorders>
          </w:tcPr>
          <w:p w14:paraId="6010219F"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Porringers</w:t>
            </w:r>
          </w:p>
        </w:tc>
        <w:tc>
          <w:tcPr>
            <w:tcW w:w="3005" w:type="dxa"/>
            <w:tcBorders>
              <w:left w:val="single" w:sz="12" w:space="0" w:color="auto"/>
              <w:right w:val="single" w:sz="12" w:space="0" w:color="auto"/>
            </w:tcBorders>
          </w:tcPr>
          <w:p w14:paraId="65E6B03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3005" w:type="dxa"/>
            <w:tcBorders>
              <w:left w:val="single" w:sz="12" w:space="0" w:color="auto"/>
              <w:right w:val="single" w:sz="12" w:space="0" w:color="auto"/>
            </w:tcBorders>
          </w:tcPr>
          <w:p w14:paraId="5E033DE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730D1CDE" w14:textId="77777777" w:rsidTr="005322D8">
        <w:trPr>
          <w:trHeight w:val="300"/>
        </w:trPr>
        <w:tc>
          <w:tcPr>
            <w:tcW w:w="3005" w:type="dxa"/>
            <w:tcBorders>
              <w:left w:val="single" w:sz="12" w:space="0" w:color="auto"/>
              <w:right w:val="single" w:sz="12" w:space="0" w:color="auto"/>
            </w:tcBorders>
          </w:tcPr>
          <w:p w14:paraId="55405FD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Salvers</w:t>
            </w:r>
          </w:p>
        </w:tc>
        <w:tc>
          <w:tcPr>
            <w:tcW w:w="3005" w:type="dxa"/>
            <w:tcBorders>
              <w:left w:val="single" w:sz="12" w:space="0" w:color="auto"/>
              <w:right w:val="single" w:sz="12" w:space="0" w:color="auto"/>
            </w:tcBorders>
          </w:tcPr>
          <w:p w14:paraId="21A8A51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right w:val="single" w:sz="12" w:space="0" w:color="auto"/>
            </w:tcBorders>
          </w:tcPr>
          <w:p w14:paraId="5DD2978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67F0EF5A" w14:textId="77777777" w:rsidTr="005322D8">
        <w:trPr>
          <w:trHeight w:val="300"/>
        </w:trPr>
        <w:tc>
          <w:tcPr>
            <w:tcW w:w="3005" w:type="dxa"/>
            <w:tcBorders>
              <w:left w:val="single" w:sz="12" w:space="0" w:color="auto"/>
              <w:right w:val="single" w:sz="12" w:space="0" w:color="auto"/>
            </w:tcBorders>
          </w:tcPr>
          <w:p w14:paraId="59195B45"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Posset pots</w:t>
            </w:r>
          </w:p>
        </w:tc>
        <w:tc>
          <w:tcPr>
            <w:tcW w:w="3005" w:type="dxa"/>
            <w:tcBorders>
              <w:left w:val="single" w:sz="12" w:space="0" w:color="auto"/>
              <w:right w:val="single" w:sz="12" w:space="0" w:color="auto"/>
            </w:tcBorders>
          </w:tcPr>
          <w:p w14:paraId="3CCF523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right w:val="single" w:sz="12" w:space="0" w:color="auto"/>
            </w:tcBorders>
          </w:tcPr>
          <w:p w14:paraId="7890D96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66983BCA" w14:textId="77777777" w:rsidTr="005322D8">
        <w:trPr>
          <w:trHeight w:val="300"/>
        </w:trPr>
        <w:tc>
          <w:tcPr>
            <w:tcW w:w="3005" w:type="dxa"/>
            <w:tcBorders>
              <w:left w:val="single" w:sz="12" w:space="0" w:color="auto"/>
              <w:bottom w:val="single" w:sz="12" w:space="0" w:color="auto"/>
              <w:right w:val="single" w:sz="12" w:space="0" w:color="auto"/>
            </w:tcBorders>
          </w:tcPr>
          <w:p w14:paraId="211B2CAF"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Platters</w:t>
            </w:r>
          </w:p>
        </w:tc>
        <w:tc>
          <w:tcPr>
            <w:tcW w:w="3005" w:type="dxa"/>
            <w:tcBorders>
              <w:left w:val="single" w:sz="12" w:space="0" w:color="auto"/>
              <w:bottom w:val="single" w:sz="12" w:space="0" w:color="auto"/>
              <w:right w:val="single" w:sz="12" w:space="0" w:color="auto"/>
            </w:tcBorders>
          </w:tcPr>
          <w:p w14:paraId="2A8DF90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bottom w:val="single" w:sz="12" w:space="0" w:color="auto"/>
              <w:right w:val="single" w:sz="12" w:space="0" w:color="auto"/>
            </w:tcBorders>
          </w:tcPr>
          <w:p w14:paraId="2396ADD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790E3B69" w14:textId="77777777" w:rsidTr="005322D8">
        <w:trPr>
          <w:trHeight w:val="300"/>
        </w:trPr>
        <w:tc>
          <w:tcPr>
            <w:tcW w:w="3005" w:type="dxa"/>
            <w:tcBorders>
              <w:top w:val="single" w:sz="12" w:space="0" w:color="auto"/>
              <w:left w:val="single" w:sz="12" w:space="0" w:color="auto"/>
              <w:right w:val="single" w:sz="12" w:space="0" w:color="auto"/>
            </w:tcBorders>
          </w:tcPr>
          <w:p w14:paraId="793AAC0A" w14:textId="77777777" w:rsidR="00482812" w:rsidRPr="00482812" w:rsidRDefault="00482812" w:rsidP="00482812">
            <w:pPr>
              <w:spacing w:after="0" w:line="240" w:lineRule="auto"/>
              <w:rPr>
                <w:sz w:val="22"/>
                <w:szCs w:val="22"/>
                <w:lang w:eastAsia="en-US"/>
              </w:rPr>
            </w:pPr>
            <w:r w:rsidRPr="00482812">
              <w:rPr>
                <w:sz w:val="22"/>
                <w:szCs w:val="22"/>
                <w:lang w:eastAsia="en-US"/>
              </w:rPr>
              <w:t>Dining Wares</w:t>
            </w:r>
          </w:p>
        </w:tc>
        <w:tc>
          <w:tcPr>
            <w:tcW w:w="3005" w:type="dxa"/>
            <w:tcBorders>
              <w:top w:val="single" w:sz="12" w:space="0" w:color="auto"/>
              <w:left w:val="single" w:sz="12" w:space="0" w:color="auto"/>
              <w:right w:val="single" w:sz="12" w:space="0" w:color="auto"/>
            </w:tcBorders>
          </w:tcPr>
          <w:p w14:paraId="5AE6FEE8"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2</w:t>
            </w:r>
          </w:p>
        </w:tc>
        <w:tc>
          <w:tcPr>
            <w:tcW w:w="3005" w:type="dxa"/>
            <w:tcBorders>
              <w:top w:val="single" w:sz="12" w:space="0" w:color="auto"/>
              <w:left w:val="single" w:sz="12" w:space="0" w:color="auto"/>
              <w:right w:val="single" w:sz="12" w:space="0" w:color="auto"/>
            </w:tcBorders>
          </w:tcPr>
          <w:p w14:paraId="6ACDED1C"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19</w:t>
            </w:r>
          </w:p>
        </w:tc>
      </w:tr>
      <w:tr w:rsidR="00482812" w:rsidRPr="00482812" w14:paraId="425F50C6" w14:textId="77777777" w:rsidTr="005322D8">
        <w:trPr>
          <w:trHeight w:val="300"/>
        </w:trPr>
        <w:tc>
          <w:tcPr>
            <w:tcW w:w="3005" w:type="dxa"/>
            <w:tcBorders>
              <w:left w:val="single" w:sz="12" w:space="0" w:color="auto"/>
              <w:right w:val="single" w:sz="12" w:space="0" w:color="auto"/>
            </w:tcBorders>
          </w:tcPr>
          <w:p w14:paraId="320A2F3F"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Dishes</w:t>
            </w:r>
          </w:p>
        </w:tc>
        <w:tc>
          <w:tcPr>
            <w:tcW w:w="3005" w:type="dxa"/>
            <w:tcBorders>
              <w:left w:val="single" w:sz="12" w:space="0" w:color="auto"/>
              <w:right w:val="single" w:sz="12" w:space="0" w:color="auto"/>
            </w:tcBorders>
          </w:tcPr>
          <w:p w14:paraId="4BC3405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c>
          <w:tcPr>
            <w:tcW w:w="3005" w:type="dxa"/>
            <w:tcBorders>
              <w:left w:val="single" w:sz="12" w:space="0" w:color="auto"/>
              <w:right w:val="single" w:sz="12" w:space="0" w:color="auto"/>
            </w:tcBorders>
          </w:tcPr>
          <w:p w14:paraId="1C88ACF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17</w:t>
            </w:r>
          </w:p>
        </w:tc>
      </w:tr>
      <w:tr w:rsidR="00482812" w:rsidRPr="00482812" w14:paraId="3FEA1303" w14:textId="77777777" w:rsidTr="005322D8">
        <w:trPr>
          <w:trHeight w:val="300"/>
        </w:trPr>
        <w:tc>
          <w:tcPr>
            <w:tcW w:w="3005" w:type="dxa"/>
            <w:tcBorders>
              <w:left w:val="single" w:sz="12" w:space="0" w:color="auto"/>
              <w:right w:val="single" w:sz="12" w:space="0" w:color="auto"/>
            </w:tcBorders>
          </w:tcPr>
          <w:p w14:paraId="5DAA90BF"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Plates</w:t>
            </w:r>
          </w:p>
        </w:tc>
        <w:tc>
          <w:tcPr>
            <w:tcW w:w="3005" w:type="dxa"/>
            <w:tcBorders>
              <w:left w:val="single" w:sz="12" w:space="0" w:color="auto"/>
              <w:right w:val="single" w:sz="12" w:space="0" w:color="auto"/>
            </w:tcBorders>
          </w:tcPr>
          <w:p w14:paraId="737FE0E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right w:val="single" w:sz="12" w:space="0" w:color="auto"/>
            </w:tcBorders>
          </w:tcPr>
          <w:p w14:paraId="0BE3DEE1"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w:t>
            </w:r>
          </w:p>
        </w:tc>
      </w:tr>
      <w:tr w:rsidR="00482812" w:rsidRPr="00482812" w14:paraId="04CDAE76" w14:textId="77777777" w:rsidTr="005322D8">
        <w:trPr>
          <w:trHeight w:val="300"/>
        </w:trPr>
        <w:tc>
          <w:tcPr>
            <w:tcW w:w="3005" w:type="dxa"/>
            <w:tcBorders>
              <w:left w:val="single" w:sz="12" w:space="0" w:color="auto"/>
              <w:bottom w:val="single" w:sz="12" w:space="0" w:color="auto"/>
              <w:right w:val="single" w:sz="12" w:space="0" w:color="auto"/>
            </w:tcBorders>
          </w:tcPr>
          <w:p w14:paraId="11E8398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Bowls</w:t>
            </w:r>
          </w:p>
        </w:tc>
        <w:tc>
          <w:tcPr>
            <w:tcW w:w="3005" w:type="dxa"/>
            <w:tcBorders>
              <w:left w:val="single" w:sz="12" w:space="0" w:color="auto"/>
              <w:bottom w:val="single" w:sz="12" w:space="0" w:color="auto"/>
              <w:right w:val="single" w:sz="12" w:space="0" w:color="auto"/>
            </w:tcBorders>
          </w:tcPr>
          <w:p w14:paraId="14F4997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bottom w:val="single" w:sz="12" w:space="0" w:color="auto"/>
              <w:right w:val="single" w:sz="12" w:space="0" w:color="auto"/>
            </w:tcBorders>
          </w:tcPr>
          <w:p w14:paraId="06AF0E8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0C9A8B2A" w14:textId="77777777" w:rsidTr="005322D8">
        <w:trPr>
          <w:trHeight w:val="300"/>
        </w:trPr>
        <w:tc>
          <w:tcPr>
            <w:tcW w:w="3005" w:type="dxa"/>
            <w:tcBorders>
              <w:top w:val="single" w:sz="12" w:space="0" w:color="auto"/>
              <w:left w:val="single" w:sz="12" w:space="0" w:color="auto"/>
              <w:right w:val="single" w:sz="12" w:space="0" w:color="auto"/>
            </w:tcBorders>
          </w:tcPr>
          <w:p w14:paraId="61AA8EAD" w14:textId="77777777" w:rsidR="00482812" w:rsidRPr="00482812" w:rsidRDefault="00482812" w:rsidP="00482812">
            <w:pPr>
              <w:spacing w:after="0" w:line="240" w:lineRule="auto"/>
              <w:rPr>
                <w:sz w:val="22"/>
                <w:szCs w:val="22"/>
                <w:lang w:eastAsia="en-US"/>
              </w:rPr>
            </w:pPr>
            <w:r w:rsidRPr="00482812">
              <w:rPr>
                <w:sz w:val="22"/>
                <w:szCs w:val="22"/>
                <w:lang w:eastAsia="en-US"/>
              </w:rPr>
              <w:t>Drink Service</w:t>
            </w:r>
          </w:p>
        </w:tc>
        <w:tc>
          <w:tcPr>
            <w:tcW w:w="3005" w:type="dxa"/>
            <w:tcBorders>
              <w:top w:val="single" w:sz="12" w:space="0" w:color="auto"/>
              <w:left w:val="single" w:sz="12" w:space="0" w:color="auto"/>
              <w:right w:val="single" w:sz="12" w:space="0" w:color="auto"/>
            </w:tcBorders>
          </w:tcPr>
          <w:p w14:paraId="67306A52"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12</w:t>
            </w:r>
          </w:p>
        </w:tc>
        <w:tc>
          <w:tcPr>
            <w:tcW w:w="3005" w:type="dxa"/>
            <w:tcBorders>
              <w:top w:val="single" w:sz="12" w:space="0" w:color="auto"/>
              <w:left w:val="single" w:sz="12" w:space="0" w:color="auto"/>
              <w:right w:val="single" w:sz="12" w:space="0" w:color="auto"/>
            </w:tcBorders>
          </w:tcPr>
          <w:p w14:paraId="476BC612"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13</w:t>
            </w:r>
          </w:p>
        </w:tc>
      </w:tr>
      <w:tr w:rsidR="00482812" w:rsidRPr="00482812" w14:paraId="730BB18B" w14:textId="77777777" w:rsidTr="005322D8">
        <w:trPr>
          <w:trHeight w:val="300"/>
        </w:trPr>
        <w:tc>
          <w:tcPr>
            <w:tcW w:w="3005" w:type="dxa"/>
            <w:tcBorders>
              <w:left w:val="single" w:sz="12" w:space="0" w:color="auto"/>
              <w:right w:val="single" w:sz="12" w:space="0" w:color="auto"/>
            </w:tcBorders>
          </w:tcPr>
          <w:p w14:paraId="1FD98FF2"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Bottles</w:t>
            </w:r>
          </w:p>
        </w:tc>
        <w:tc>
          <w:tcPr>
            <w:tcW w:w="3005" w:type="dxa"/>
            <w:tcBorders>
              <w:left w:val="single" w:sz="12" w:space="0" w:color="auto"/>
              <w:right w:val="single" w:sz="12" w:space="0" w:color="auto"/>
            </w:tcBorders>
          </w:tcPr>
          <w:p w14:paraId="7873E78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12</w:t>
            </w:r>
          </w:p>
        </w:tc>
        <w:tc>
          <w:tcPr>
            <w:tcW w:w="3005" w:type="dxa"/>
            <w:tcBorders>
              <w:left w:val="single" w:sz="12" w:space="0" w:color="auto"/>
              <w:right w:val="single" w:sz="12" w:space="0" w:color="auto"/>
            </w:tcBorders>
          </w:tcPr>
          <w:p w14:paraId="118694E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10</w:t>
            </w:r>
          </w:p>
        </w:tc>
      </w:tr>
      <w:tr w:rsidR="00482812" w:rsidRPr="00482812" w14:paraId="2B027A13" w14:textId="77777777" w:rsidTr="005322D8">
        <w:trPr>
          <w:trHeight w:val="300"/>
        </w:trPr>
        <w:tc>
          <w:tcPr>
            <w:tcW w:w="3005" w:type="dxa"/>
            <w:tcBorders>
              <w:left w:val="single" w:sz="12" w:space="0" w:color="auto"/>
              <w:right w:val="single" w:sz="12" w:space="0" w:color="auto"/>
            </w:tcBorders>
          </w:tcPr>
          <w:p w14:paraId="22A707D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Flagons</w:t>
            </w:r>
          </w:p>
        </w:tc>
        <w:tc>
          <w:tcPr>
            <w:tcW w:w="3005" w:type="dxa"/>
            <w:tcBorders>
              <w:left w:val="single" w:sz="12" w:space="0" w:color="auto"/>
              <w:right w:val="single" w:sz="12" w:space="0" w:color="auto"/>
            </w:tcBorders>
          </w:tcPr>
          <w:p w14:paraId="7CE4EE7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3005" w:type="dxa"/>
            <w:tcBorders>
              <w:left w:val="single" w:sz="12" w:space="0" w:color="auto"/>
              <w:right w:val="single" w:sz="12" w:space="0" w:color="auto"/>
            </w:tcBorders>
          </w:tcPr>
          <w:p w14:paraId="759D34E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2823A2DF" w14:textId="77777777" w:rsidTr="005322D8">
        <w:trPr>
          <w:trHeight w:val="300"/>
        </w:trPr>
        <w:tc>
          <w:tcPr>
            <w:tcW w:w="3005" w:type="dxa"/>
            <w:tcBorders>
              <w:left w:val="single" w:sz="12" w:space="0" w:color="auto"/>
              <w:bottom w:val="single" w:sz="12" w:space="0" w:color="auto"/>
              <w:right w:val="single" w:sz="12" w:space="0" w:color="auto"/>
            </w:tcBorders>
          </w:tcPr>
          <w:p w14:paraId="1911F8C1"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Jugs</w:t>
            </w:r>
          </w:p>
        </w:tc>
        <w:tc>
          <w:tcPr>
            <w:tcW w:w="3005" w:type="dxa"/>
            <w:tcBorders>
              <w:left w:val="single" w:sz="12" w:space="0" w:color="auto"/>
              <w:bottom w:val="single" w:sz="12" w:space="0" w:color="auto"/>
              <w:right w:val="single" w:sz="12" w:space="0" w:color="auto"/>
            </w:tcBorders>
          </w:tcPr>
          <w:p w14:paraId="6180D36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bottom w:val="single" w:sz="12" w:space="0" w:color="auto"/>
              <w:right w:val="single" w:sz="12" w:space="0" w:color="auto"/>
            </w:tcBorders>
          </w:tcPr>
          <w:p w14:paraId="263A5D8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5B1ADF09" w14:textId="77777777" w:rsidTr="005322D8">
        <w:trPr>
          <w:trHeight w:val="300"/>
        </w:trPr>
        <w:tc>
          <w:tcPr>
            <w:tcW w:w="3005" w:type="dxa"/>
            <w:tcBorders>
              <w:top w:val="single" w:sz="12" w:space="0" w:color="auto"/>
              <w:left w:val="single" w:sz="12" w:space="0" w:color="auto"/>
              <w:right w:val="single" w:sz="12" w:space="0" w:color="auto"/>
            </w:tcBorders>
          </w:tcPr>
          <w:p w14:paraId="7A2C04C6" w14:textId="77777777" w:rsidR="00482812" w:rsidRPr="00482812" w:rsidRDefault="00482812" w:rsidP="00482812">
            <w:pPr>
              <w:spacing w:after="0" w:line="240" w:lineRule="auto"/>
              <w:rPr>
                <w:sz w:val="22"/>
                <w:szCs w:val="22"/>
                <w:lang w:eastAsia="en-US"/>
              </w:rPr>
            </w:pPr>
            <w:r w:rsidRPr="00482812">
              <w:rPr>
                <w:sz w:val="22"/>
                <w:szCs w:val="22"/>
                <w:lang w:eastAsia="en-US"/>
              </w:rPr>
              <w:t>Drinking Vessels</w:t>
            </w:r>
          </w:p>
        </w:tc>
        <w:tc>
          <w:tcPr>
            <w:tcW w:w="3005" w:type="dxa"/>
            <w:tcBorders>
              <w:top w:val="single" w:sz="12" w:space="0" w:color="auto"/>
              <w:left w:val="single" w:sz="12" w:space="0" w:color="auto"/>
              <w:right w:val="single" w:sz="12" w:space="0" w:color="auto"/>
            </w:tcBorders>
          </w:tcPr>
          <w:p w14:paraId="05C00FE0" w14:textId="77777777" w:rsidR="00482812" w:rsidRPr="00482812" w:rsidRDefault="00482812" w:rsidP="00482812">
            <w:pPr>
              <w:spacing w:after="0" w:line="240" w:lineRule="auto"/>
              <w:jc w:val="center"/>
              <w:rPr>
                <w:color w:val="00B0F0"/>
                <w:sz w:val="22"/>
                <w:szCs w:val="22"/>
                <w:lang w:eastAsia="en-US"/>
              </w:rPr>
            </w:pPr>
            <w:r w:rsidRPr="00482812">
              <w:rPr>
                <w:sz w:val="22"/>
                <w:szCs w:val="22"/>
                <w:lang w:eastAsia="en-US"/>
              </w:rPr>
              <w:t>9</w:t>
            </w:r>
          </w:p>
        </w:tc>
        <w:tc>
          <w:tcPr>
            <w:tcW w:w="3005" w:type="dxa"/>
            <w:tcBorders>
              <w:top w:val="single" w:sz="12" w:space="0" w:color="auto"/>
              <w:left w:val="single" w:sz="12" w:space="0" w:color="auto"/>
              <w:right w:val="single" w:sz="12" w:space="0" w:color="auto"/>
            </w:tcBorders>
          </w:tcPr>
          <w:p w14:paraId="342DC63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20</w:t>
            </w:r>
          </w:p>
        </w:tc>
      </w:tr>
      <w:tr w:rsidR="00482812" w:rsidRPr="00482812" w14:paraId="5B916FDC" w14:textId="77777777" w:rsidTr="005322D8">
        <w:trPr>
          <w:trHeight w:val="300"/>
        </w:trPr>
        <w:tc>
          <w:tcPr>
            <w:tcW w:w="3005" w:type="dxa"/>
            <w:tcBorders>
              <w:left w:val="single" w:sz="12" w:space="0" w:color="auto"/>
              <w:right w:val="single" w:sz="12" w:space="0" w:color="auto"/>
            </w:tcBorders>
          </w:tcPr>
          <w:p w14:paraId="30EB440C"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‘Drinking pots’</w:t>
            </w:r>
          </w:p>
        </w:tc>
        <w:tc>
          <w:tcPr>
            <w:tcW w:w="3005" w:type="dxa"/>
            <w:tcBorders>
              <w:left w:val="single" w:sz="12" w:space="0" w:color="auto"/>
              <w:right w:val="single" w:sz="12" w:space="0" w:color="auto"/>
            </w:tcBorders>
          </w:tcPr>
          <w:p w14:paraId="4C9E49C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c>
          <w:tcPr>
            <w:tcW w:w="3005" w:type="dxa"/>
            <w:tcBorders>
              <w:left w:val="single" w:sz="12" w:space="0" w:color="auto"/>
              <w:right w:val="single" w:sz="12" w:space="0" w:color="auto"/>
            </w:tcBorders>
          </w:tcPr>
          <w:p w14:paraId="6F81A48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r>
      <w:tr w:rsidR="00482812" w:rsidRPr="00482812" w14:paraId="0CF0458D" w14:textId="77777777" w:rsidTr="005322D8">
        <w:trPr>
          <w:trHeight w:val="300"/>
        </w:trPr>
        <w:tc>
          <w:tcPr>
            <w:tcW w:w="3005" w:type="dxa"/>
            <w:tcBorders>
              <w:left w:val="single" w:sz="12" w:space="0" w:color="auto"/>
              <w:right w:val="single" w:sz="12" w:space="0" w:color="auto"/>
            </w:tcBorders>
          </w:tcPr>
          <w:p w14:paraId="757D3A56"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Unspecified pots</w:t>
            </w:r>
          </w:p>
        </w:tc>
        <w:tc>
          <w:tcPr>
            <w:tcW w:w="3005" w:type="dxa"/>
            <w:tcBorders>
              <w:left w:val="single" w:sz="12" w:space="0" w:color="auto"/>
              <w:right w:val="single" w:sz="12" w:space="0" w:color="auto"/>
            </w:tcBorders>
          </w:tcPr>
          <w:p w14:paraId="6033F94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8</w:t>
            </w:r>
          </w:p>
        </w:tc>
        <w:tc>
          <w:tcPr>
            <w:tcW w:w="3005" w:type="dxa"/>
            <w:tcBorders>
              <w:left w:val="single" w:sz="12" w:space="0" w:color="auto"/>
              <w:right w:val="single" w:sz="12" w:space="0" w:color="auto"/>
            </w:tcBorders>
          </w:tcPr>
          <w:p w14:paraId="44EE81A4"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7</w:t>
            </w:r>
          </w:p>
        </w:tc>
      </w:tr>
      <w:tr w:rsidR="00482812" w:rsidRPr="00482812" w14:paraId="3A7B6E12" w14:textId="77777777" w:rsidTr="005322D8">
        <w:trPr>
          <w:trHeight w:val="300"/>
        </w:trPr>
        <w:tc>
          <w:tcPr>
            <w:tcW w:w="3005" w:type="dxa"/>
            <w:tcBorders>
              <w:left w:val="single" w:sz="12" w:space="0" w:color="auto"/>
              <w:right w:val="single" w:sz="12" w:space="0" w:color="auto"/>
            </w:tcBorders>
          </w:tcPr>
          <w:p w14:paraId="78A8E4F2"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Mugs</w:t>
            </w:r>
          </w:p>
        </w:tc>
        <w:tc>
          <w:tcPr>
            <w:tcW w:w="3005" w:type="dxa"/>
            <w:tcBorders>
              <w:left w:val="single" w:sz="12" w:space="0" w:color="auto"/>
              <w:right w:val="single" w:sz="12" w:space="0" w:color="auto"/>
            </w:tcBorders>
          </w:tcPr>
          <w:p w14:paraId="026416FF"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right w:val="single" w:sz="12" w:space="0" w:color="auto"/>
            </w:tcBorders>
          </w:tcPr>
          <w:p w14:paraId="54D2EA8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5</w:t>
            </w:r>
          </w:p>
        </w:tc>
      </w:tr>
      <w:tr w:rsidR="00482812" w:rsidRPr="00482812" w14:paraId="6914AF1B" w14:textId="77777777" w:rsidTr="005322D8">
        <w:trPr>
          <w:trHeight w:val="300"/>
        </w:trPr>
        <w:tc>
          <w:tcPr>
            <w:tcW w:w="3005" w:type="dxa"/>
            <w:tcBorders>
              <w:left w:val="single" w:sz="12" w:space="0" w:color="auto"/>
              <w:right w:val="single" w:sz="12" w:space="0" w:color="auto"/>
            </w:tcBorders>
          </w:tcPr>
          <w:p w14:paraId="2C3A8826"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Cups</w:t>
            </w:r>
          </w:p>
        </w:tc>
        <w:tc>
          <w:tcPr>
            <w:tcW w:w="3005" w:type="dxa"/>
            <w:tcBorders>
              <w:left w:val="single" w:sz="12" w:space="0" w:color="auto"/>
              <w:right w:val="single" w:sz="12" w:space="0" w:color="auto"/>
            </w:tcBorders>
          </w:tcPr>
          <w:p w14:paraId="5C85EAF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right w:val="single" w:sz="12" w:space="0" w:color="auto"/>
            </w:tcBorders>
          </w:tcPr>
          <w:p w14:paraId="1893619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562FD171" w14:textId="77777777" w:rsidTr="005322D8">
        <w:trPr>
          <w:trHeight w:val="300"/>
        </w:trPr>
        <w:tc>
          <w:tcPr>
            <w:tcW w:w="3005" w:type="dxa"/>
            <w:tcBorders>
              <w:left w:val="single" w:sz="12" w:space="0" w:color="auto"/>
              <w:right w:val="single" w:sz="12" w:space="0" w:color="auto"/>
            </w:tcBorders>
          </w:tcPr>
          <w:p w14:paraId="598E8E4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Goblets</w:t>
            </w:r>
          </w:p>
        </w:tc>
        <w:tc>
          <w:tcPr>
            <w:tcW w:w="3005" w:type="dxa"/>
            <w:tcBorders>
              <w:left w:val="single" w:sz="12" w:space="0" w:color="auto"/>
              <w:right w:val="single" w:sz="12" w:space="0" w:color="auto"/>
            </w:tcBorders>
          </w:tcPr>
          <w:p w14:paraId="4CF6049A"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right w:val="single" w:sz="12" w:space="0" w:color="auto"/>
            </w:tcBorders>
          </w:tcPr>
          <w:p w14:paraId="151B5F9D"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w:t>
            </w:r>
          </w:p>
        </w:tc>
      </w:tr>
      <w:tr w:rsidR="00482812" w:rsidRPr="00482812" w14:paraId="4F8D83CD" w14:textId="77777777" w:rsidTr="005322D8">
        <w:trPr>
          <w:trHeight w:val="300"/>
        </w:trPr>
        <w:tc>
          <w:tcPr>
            <w:tcW w:w="3005" w:type="dxa"/>
            <w:tcBorders>
              <w:left w:val="single" w:sz="12" w:space="0" w:color="auto"/>
              <w:right w:val="single" w:sz="12" w:space="0" w:color="auto"/>
            </w:tcBorders>
          </w:tcPr>
          <w:p w14:paraId="0382B9D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Pints</w:t>
            </w:r>
          </w:p>
        </w:tc>
        <w:tc>
          <w:tcPr>
            <w:tcW w:w="3005" w:type="dxa"/>
            <w:tcBorders>
              <w:left w:val="single" w:sz="12" w:space="0" w:color="auto"/>
              <w:right w:val="single" w:sz="12" w:space="0" w:color="auto"/>
            </w:tcBorders>
          </w:tcPr>
          <w:p w14:paraId="492116A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right w:val="single" w:sz="12" w:space="0" w:color="auto"/>
            </w:tcBorders>
          </w:tcPr>
          <w:p w14:paraId="156E9D19"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2</w:t>
            </w:r>
          </w:p>
        </w:tc>
      </w:tr>
      <w:tr w:rsidR="00482812" w:rsidRPr="00482812" w14:paraId="7A095908" w14:textId="77777777" w:rsidTr="005322D8">
        <w:trPr>
          <w:trHeight w:val="300"/>
        </w:trPr>
        <w:tc>
          <w:tcPr>
            <w:tcW w:w="3005" w:type="dxa"/>
            <w:tcBorders>
              <w:left w:val="single" w:sz="12" w:space="0" w:color="auto"/>
              <w:right w:val="single" w:sz="12" w:space="0" w:color="auto"/>
            </w:tcBorders>
          </w:tcPr>
          <w:p w14:paraId="03062066"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Quarts</w:t>
            </w:r>
          </w:p>
        </w:tc>
        <w:tc>
          <w:tcPr>
            <w:tcW w:w="3005" w:type="dxa"/>
            <w:tcBorders>
              <w:left w:val="single" w:sz="12" w:space="0" w:color="auto"/>
              <w:right w:val="single" w:sz="12" w:space="0" w:color="auto"/>
            </w:tcBorders>
          </w:tcPr>
          <w:p w14:paraId="1D15A32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right w:val="single" w:sz="12" w:space="0" w:color="auto"/>
            </w:tcBorders>
          </w:tcPr>
          <w:p w14:paraId="621FD3B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75108F4A" w14:textId="77777777" w:rsidTr="005322D8">
        <w:trPr>
          <w:trHeight w:val="300"/>
        </w:trPr>
        <w:tc>
          <w:tcPr>
            <w:tcW w:w="3005" w:type="dxa"/>
            <w:tcBorders>
              <w:left w:val="single" w:sz="12" w:space="0" w:color="auto"/>
              <w:right w:val="single" w:sz="12" w:space="0" w:color="auto"/>
            </w:tcBorders>
          </w:tcPr>
          <w:p w14:paraId="53A99465"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Noggins</w:t>
            </w:r>
          </w:p>
        </w:tc>
        <w:tc>
          <w:tcPr>
            <w:tcW w:w="3005" w:type="dxa"/>
            <w:tcBorders>
              <w:left w:val="single" w:sz="12" w:space="0" w:color="auto"/>
              <w:right w:val="single" w:sz="12" w:space="0" w:color="auto"/>
            </w:tcBorders>
          </w:tcPr>
          <w:p w14:paraId="2BAED6B6"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right w:val="single" w:sz="12" w:space="0" w:color="auto"/>
            </w:tcBorders>
          </w:tcPr>
          <w:p w14:paraId="6D6FCCC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148B3D58" w14:textId="77777777" w:rsidTr="005322D8">
        <w:trPr>
          <w:trHeight w:val="300"/>
        </w:trPr>
        <w:tc>
          <w:tcPr>
            <w:tcW w:w="3005" w:type="dxa"/>
            <w:tcBorders>
              <w:left w:val="single" w:sz="12" w:space="0" w:color="auto"/>
              <w:bottom w:val="single" w:sz="12" w:space="0" w:color="auto"/>
              <w:right w:val="single" w:sz="12" w:space="0" w:color="auto"/>
            </w:tcBorders>
          </w:tcPr>
          <w:p w14:paraId="1755FA5A"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 xml:space="preserve">     Tankards</w:t>
            </w:r>
          </w:p>
        </w:tc>
        <w:tc>
          <w:tcPr>
            <w:tcW w:w="3005" w:type="dxa"/>
            <w:tcBorders>
              <w:left w:val="single" w:sz="12" w:space="0" w:color="auto"/>
              <w:bottom w:val="single" w:sz="12" w:space="0" w:color="auto"/>
              <w:right w:val="single" w:sz="12" w:space="0" w:color="auto"/>
            </w:tcBorders>
          </w:tcPr>
          <w:p w14:paraId="58721AE5"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bottom w:val="single" w:sz="12" w:space="0" w:color="auto"/>
              <w:right w:val="single" w:sz="12" w:space="0" w:color="auto"/>
            </w:tcBorders>
          </w:tcPr>
          <w:p w14:paraId="2C7EB8FB"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4A54B183" w14:textId="77777777" w:rsidTr="005322D8">
        <w:trPr>
          <w:trHeight w:val="300"/>
        </w:trPr>
        <w:tc>
          <w:tcPr>
            <w:tcW w:w="3005" w:type="dxa"/>
            <w:tcBorders>
              <w:top w:val="single" w:sz="12" w:space="0" w:color="auto"/>
              <w:left w:val="single" w:sz="12" w:space="0" w:color="auto"/>
              <w:bottom w:val="single" w:sz="12" w:space="0" w:color="auto"/>
              <w:right w:val="single" w:sz="12" w:space="0" w:color="auto"/>
            </w:tcBorders>
          </w:tcPr>
          <w:p w14:paraId="3CBD095F" w14:textId="77777777" w:rsidR="00482812" w:rsidRPr="00482812" w:rsidRDefault="00482812" w:rsidP="00482812">
            <w:pPr>
              <w:spacing w:after="0" w:line="240" w:lineRule="auto"/>
              <w:rPr>
                <w:sz w:val="22"/>
                <w:szCs w:val="22"/>
                <w:lang w:eastAsia="en-US"/>
              </w:rPr>
            </w:pPr>
            <w:r w:rsidRPr="00482812">
              <w:rPr>
                <w:sz w:val="22"/>
                <w:szCs w:val="22"/>
                <w:lang w:eastAsia="en-US"/>
              </w:rPr>
              <w:t>Total</w:t>
            </w:r>
          </w:p>
        </w:tc>
        <w:tc>
          <w:tcPr>
            <w:tcW w:w="3005" w:type="dxa"/>
            <w:tcBorders>
              <w:top w:val="single" w:sz="12" w:space="0" w:color="auto"/>
              <w:left w:val="single" w:sz="12" w:space="0" w:color="auto"/>
              <w:bottom w:val="single" w:sz="12" w:space="0" w:color="auto"/>
              <w:right w:val="single" w:sz="12" w:space="0" w:color="auto"/>
            </w:tcBorders>
          </w:tcPr>
          <w:p w14:paraId="3B1D6864"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19</w:t>
            </w:r>
          </w:p>
        </w:tc>
        <w:tc>
          <w:tcPr>
            <w:tcW w:w="3005" w:type="dxa"/>
            <w:tcBorders>
              <w:top w:val="single" w:sz="12" w:space="0" w:color="auto"/>
              <w:left w:val="single" w:sz="12" w:space="0" w:color="auto"/>
              <w:bottom w:val="single" w:sz="12" w:space="0" w:color="auto"/>
              <w:right w:val="single" w:sz="12" w:space="0" w:color="auto"/>
            </w:tcBorders>
          </w:tcPr>
          <w:p w14:paraId="723A86D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31</w:t>
            </w:r>
          </w:p>
        </w:tc>
      </w:tr>
    </w:tbl>
    <w:p w14:paraId="2E2AD7B7" w14:textId="77777777" w:rsidR="00482812" w:rsidRPr="00482812" w:rsidRDefault="00482812" w:rsidP="00482812">
      <w:pPr>
        <w:jc w:val="center"/>
        <w:rPr>
          <w:rFonts w:cs="Calibri"/>
        </w:rPr>
      </w:pPr>
    </w:p>
    <w:p w14:paraId="3CA25B40" w14:textId="640CEDFD" w:rsidR="00482812" w:rsidRPr="00482812" w:rsidRDefault="00482812" w:rsidP="00482812">
      <w:pPr>
        <w:jc w:val="center"/>
        <w:rPr>
          <w:rFonts w:cs="Calibri"/>
        </w:rPr>
      </w:pPr>
      <w:r w:rsidRPr="00482812">
        <w:rPr>
          <w:rFonts w:cs="Calibri"/>
        </w:rPr>
        <w:t xml:space="preserve">Table 41 – </w:t>
      </w:r>
      <w:r w:rsidR="00B56F31" w:rsidRPr="00B56F31">
        <w:rPr>
          <w:rFonts w:cs="Calibri"/>
        </w:rPr>
        <w:t>Prevalence of</w:t>
      </w:r>
      <w:r w:rsidR="00B56F31" w:rsidRPr="00482812">
        <w:rPr>
          <w:rFonts w:cs="Calibri"/>
        </w:rPr>
        <w:t xml:space="preserve"> different types of tableware </w:t>
      </w:r>
      <w:r w:rsidR="00B56F31" w:rsidRPr="00B56F31">
        <w:rPr>
          <w:rFonts w:cs="Calibri"/>
        </w:rPr>
        <w:t>in inventories with</w:t>
      </w:r>
      <w:r w:rsidR="00B56F31" w:rsidRPr="00482812">
        <w:rPr>
          <w:rFonts w:cs="Calibri"/>
        </w:rPr>
        <w:t>in the Bolton-le-Sands and Prestbury wider survey</w:t>
      </w:r>
      <w:r w:rsidRPr="00482812">
        <w:rPr>
          <w:rFonts w:cs="Calibri"/>
        </w:rPr>
        <w:t>.</w:t>
      </w:r>
    </w:p>
    <w:p w14:paraId="3B9382F0" w14:textId="77777777" w:rsidR="00482812" w:rsidRPr="00482812" w:rsidRDefault="00482812" w:rsidP="00482812">
      <w:pPr>
        <w:rPr>
          <w:rFonts w:cs="Calibri"/>
        </w:rPr>
      </w:pPr>
      <w:r w:rsidRPr="00482812">
        <w:rPr>
          <w:rFonts w:cs="Calibri"/>
        </w:rPr>
        <w:br w:type="page"/>
      </w:r>
    </w:p>
    <w:p w14:paraId="2512FF1D" w14:textId="77777777" w:rsidR="00482812" w:rsidRPr="00482812" w:rsidRDefault="00482812" w:rsidP="00482812">
      <w:pPr>
        <w:rPr>
          <w:rFonts w:cs="Calibri"/>
          <w:b/>
          <w:bCs/>
          <w:sz w:val="22"/>
          <w:szCs w:val="22"/>
        </w:rPr>
      </w:pPr>
    </w:p>
    <w:p w14:paraId="64D1D1C7" w14:textId="77777777" w:rsidR="00482812" w:rsidRPr="00482812" w:rsidRDefault="00482812" w:rsidP="00482812">
      <w:pPr>
        <w:rPr>
          <w:rFonts w:cs="Calibri"/>
          <w:b/>
          <w:bCs/>
          <w:sz w:val="22"/>
          <w:szCs w:val="22"/>
        </w:rPr>
      </w:pPr>
    </w:p>
    <w:tbl>
      <w:tblPr>
        <w:tblStyle w:val="TableGrid16"/>
        <w:tblW w:w="0" w:type="auto"/>
        <w:tblLayout w:type="fixed"/>
        <w:tblLook w:val="06A0" w:firstRow="1" w:lastRow="0" w:firstColumn="1" w:lastColumn="0" w:noHBand="1" w:noVBand="1"/>
      </w:tblPr>
      <w:tblGrid>
        <w:gridCol w:w="3005"/>
        <w:gridCol w:w="3005"/>
        <w:gridCol w:w="3005"/>
      </w:tblGrid>
      <w:tr w:rsidR="00482812" w:rsidRPr="00482812" w14:paraId="7A54C05C" w14:textId="77777777" w:rsidTr="005322D8">
        <w:trPr>
          <w:trHeight w:val="300"/>
        </w:trPr>
        <w:tc>
          <w:tcPr>
            <w:tcW w:w="3005" w:type="dxa"/>
            <w:tcBorders>
              <w:top w:val="single" w:sz="12" w:space="0" w:color="auto"/>
              <w:left w:val="single" w:sz="12" w:space="0" w:color="auto"/>
              <w:bottom w:val="single" w:sz="12" w:space="0" w:color="auto"/>
              <w:right w:val="single" w:sz="12" w:space="0" w:color="auto"/>
            </w:tcBorders>
          </w:tcPr>
          <w:p w14:paraId="60699BC1" w14:textId="77777777" w:rsidR="00482812" w:rsidRPr="00482812" w:rsidRDefault="00482812" w:rsidP="00482812">
            <w:pPr>
              <w:spacing w:after="0" w:line="240" w:lineRule="auto"/>
              <w:rPr>
                <w:sz w:val="22"/>
                <w:szCs w:val="22"/>
                <w:lang w:eastAsia="en-US"/>
              </w:rPr>
            </w:pPr>
          </w:p>
        </w:tc>
        <w:tc>
          <w:tcPr>
            <w:tcW w:w="3005" w:type="dxa"/>
            <w:tcBorders>
              <w:top w:val="single" w:sz="12" w:space="0" w:color="auto"/>
              <w:left w:val="single" w:sz="12" w:space="0" w:color="auto"/>
              <w:bottom w:val="single" w:sz="12" w:space="0" w:color="auto"/>
              <w:right w:val="single" w:sz="12" w:space="0" w:color="auto"/>
            </w:tcBorders>
          </w:tcPr>
          <w:p w14:paraId="4E891A7F"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Bolton-le-Sands</w:t>
            </w:r>
          </w:p>
        </w:tc>
        <w:tc>
          <w:tcPr>
            <w:tcW w:w="3005" w:type="dxa"/>
            <w:tcBorders>
              <w:top w:val="single" w:sz="12" w:space="0" w:color="auto"/>
              <w:left w:val="single" w:sz="12" w:space="0" w:color="auto"/>
              <w:bottom w:val="single" w:sz="12" w:space="0" w:color="auto"/>
              <w:right w:val="single" w:sz="12" w:space="0" w:color="auto"/>
            </w:tcBorders>
          </w:tcPr>
          <w:p w14:paraId="7CCA5CBD"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Prestbury</w:t>
            </w:r>
          </w:p>
        </w:tc>
      </w:tr>
      <w:tr w:rsidR="00482812" w:rsidRPr="00482812" w14:paraId="1092999A" w14:textId="77777777" w:rsidTr="005322D8">
        <w:trPr>
          <w:trHeight w:val="300"/>
        </w:trPr>
        <w:tc>
          <w:tcPr>
            <w:tcW w:w="3005" w:type="dxa"/>
            <w:tcBorders>
              <w:top w:val="single" w:sz="12" w:space="0" w:color="auto"/>
              <w:left w:val="single" w:sz="12" w:space="0" w:color="auto"/>
              <w:right w:val="single" w:sz="12" w:space="0" w:color="auto"/>
            </w:tcBorders>
          </w:tcPr>
          <w:p w14:paraId="20647373"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‘Earthen’ Products</w:t>
            </w:r>
          </w:p>
        </w:tc>
        <w:tc>
          <w:tcPr>
            <w:tcW w:w="3005" w:type="dxa"/>
            <w:tcBorders>
              <w:top w:val="single" w:sz="12" w:space="0" w:color="auto"/>
              <w:left w:val="single" w:sz="12" w:space="0" w:color="auto"/>
              <w:right w:val="single" w:sz="12" w:space="0" w:color="auto"/>
            </w:tcBorders>
          </w:tcPr>
          <w:p w14:paraId="48ADB727"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31</w:t>
            </w:r>
          </w:p>
        </w:tc>
        <w:tc>
          <w:tcPr>
            <w:tcW w:w="3005" w:type="dxa"/>
            <w:tcBorders>
              <w:top w:val="single" w:sz="12" w:space="0" w:color="auto"/>
              <w:left w:val="single" w:sz="12" w:space="0" w:color="auto"/>
              <w:right w:val="single" w:sz="12" w:space="0" w:color="auto"/>
            </w:tcBorders>
          </w:tcPr>
          <w:p w14:paraId="4B582BBC"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17</w:t>
            </w:r>
          </w:p>
        </w:tc>
      </w:tr>
      <w:tr w:rsidR="00482812" w:rsidRPr="00482812" w14:paraId="299CA673" w14:textId="77777777" w:rsidTr="005322D8">
        <w:trPr>
          <w:trHeight w:val="300"/>
        </w:trPr>
        <w:tc>
          <w:tcPr>
            <w:tcW w:w="3005" w:type="dxa"/>
            <w:tcBorders>
              <w:left w:val="single" w:sz="12" w:space="0" w:color="auto"/>
              <w:right w:val="single" w:sz="12" w:space="0" w:color="auto"/>
            </w:tcBorders>
          </w:tcPr>
          <w:p w14:paraId="631B554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w:t>
            </w:r>
            <w:proofErr w:type="spellStart"/>
            <w:r w:rsidRPr="00482812">
              <w:rPr>
                <w:b w:val="0"/>
                <w:bCs w:val="0"/>
                <w:sz w:val="22"/>
                <w:szCs w:val="22"/>
                <w:lang w:eastAsia="en-US"/>
              </w:rPr>
              <w:t>Ticknall</w:t>
            </w:r>
            <w:proofErr w:type="spellEnd"/>
            <w:r w:rsidRPr="00482812">
              <w:rPr>
                <w:b w:val="0"/>
                <w:bCs w:val="0"/>
                <w:sz w:val="22"/>
                <w:szCs w:val="22"/>
                <w:lang w:eastAsia="en-US"/>
              </w:rPr>
              <w:t xml:space="preserve"> Ware’</w:t>
            </w:r>
          </w:p>
        </w:tc>
        <w:tc>
          <w:tcPr>
            <w:tcW w:w="3005" w:type="dxa"/>
            <w:tcBorders>
              <w:left w:val="single" w:sz="12" w:space="0" w:color="auto"/>
              <w:right w:val="single" w:sz="12" w:space="0" w:color="auto"/>
            </w:tcBorders>
          </w:tcPr>
          <w:p w14:paraId="2AA4593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right w:val="single" w:sz="12" w:space="0" w:color="auto"/>
            </w:tcBorders>
          </w:tcPr>
          <w:p w14:paraId="7DFE8E0E"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11</w:t>
            </w:r>
          </w:p>
        </w:tc>
      </w:tr>
      <w:tr w:rsidR="00482812" w:rsidRPr="00482812" w14:paraId="172F3AC7" w14:textId="77777777" w:rsidTr="005322D8">
        <w:trPr>
          <w:trHeight w:val="300"/>
        </w:trPr>
        <w:tc>
          <w:tcPr>
            <w:tcW w:w="3005" w:type="dxa"/>
            <w:tcBorders>
              <w:left w:val="single" w:sz="12" w:space="0" w:color="auto"/>
              <w:right w:val="single" w:sz="12" w:space="0" w:color="auto"/>
            </w:tcBorders>
          </w:tcPr>
          <w:p w14:paraId="79AA4AE3"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‘White Ware’</w:t>
            </w:r>
          </w:p>
        </w:tc>
        <w:tc>
          <w:tcPr>
            <w:tcW w:w="3005" w:type="dxa"/>
            <w:tcBorders>
              <w:left w:val="single" w:sz="12" w:space="0" w:color="auto"/>
              <w:right w:val="single" w:sz="12" w:space="0" w:color="auto"/>
            </w:tcBorders>
          </w:tcPr>
          <w:p w14:paraId="1507E0C0"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right w:val="single" w:sz="12" w:space="0" w:color="auto"/>
            </w:tcBorders>
          </w:tcPr>
          <w:p w14:paraId="6A45EA02"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4</w:t>
            </w:r>
          </w:p>
        </w:tc>
      </w:tr>
      <w:tr w:rsidR="00482812" w:rsidRPr="00482812" w14:paraId="447332BE" w14:textId="77777777" w:rsidTr="005322D8">
        <w:trPr>
          <w:trHeight w:val="300"/>
        </w:trPr>
        <w:tc>
          <w:tcPr>
            <w:tcW w:w="3005" w:type="dxa"/>
            <w:tcBorders>
              <w:left w:val="single" w:sz="12" w:space="0" w:color="auto"/>
              <w:bottom w:val="single" w:sz="12" w:space="0" w:color="auto"/>
              <w:right w:val="single" w:sz="12" w:space="0" w:color="auto"/>
            </w:tcBorders>
          </w:tcPr>
          <w:p w14:paraId="09EE94ED" w14:textId="77777777" w:rsidR="00482812" w:rsidRPr="00482812" w:rsidRDefault="00482812" w:rsidP="00482812">
            <w:pPr>
              <w:spacing w:after="0" w:line="240" w:lineRule="auto"/>
              <w:rPr>
                <w:b w:val="0"/>
                <w:bCs w:val="0"/>
                <w:sz w:val="22"/>
                <w:szCs w:val="22"/>
                <w:lang w:eastAsia="en-US"/>
              </w:rPr>
            </w:pPr>
            <w:r w:rsidRPr="00482812">
              <w:rPr>
                <w:b w:val="0"/>
                <w:bCs w:val="0"/>
                <w:sz w:val="22"/>
                <w:szCs w:val="22"/>
                <w:lang w:eastAsia="en-US"/>
              </w:rPr>
              <w:t>‘</w:t>
            </w:r>
            <w:proofErr w:type="spellStart"/>
            <w:r w:rsidRPr="00482812">
              <w:rPr>
                <w:b w:val="0"/>
                <w:bCs w:val="0"/>
                <w:sz w:val="22"/>
                <w:szCs w:val="22"/>
                <w:lang w:eastAsia="en-US"/>
              </w:rPr>
              <w:t>Burslem</w:t>
            </w:r>
            <w:proofErr w:type="spellEnd"/>
            <w:r w:rsidRPr="00482812">
              <w:rPr>
                <w:b w:val="0"/>
                <w:bCs w:val="0"/>
                <w:sz w:val="22"/>
                <w:szCs w:val="22"/>
                <w:lang w:eastAsia="en-US"/>
              </w:rPr>
              <w:t xml:space="preserve"> Ware’</w:t>
            </w:r>
          </w:p>
        </w:tc>
        <w:tc>
          <w:tcPr>
            <w:tcW w:w="3005" w:type="dxa"/>
            <w:tcBorders>
              <w:left w:val="single" w:sz="12" w:space="0" w:color="auto"/>
              <w:bottom w:val="single" w:sz="12" w:space="0" w:color="auto"/>
              <w:right w:val="single" w:sz="12" w:space="0" w:color="auto"/>
            </w:tcBorders>
          </w:tcPr>
          <w:p w14:paraId="20D3F728"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0</w:t>
            </w:r>
          </w:p>
        </w:tc>
        <w:tc>
          <w:tcPr>
            <w:tcW w:w="3005" w:type="dxa"/>
            <w:tcBorders>
              <w:left w:val="single" w:sz="12" w:space="0" w:color="auto"/>
              <w:bottom w:val="single" w:sz="12" w:space="0" w:color="auto"/>
              <w:right w:val="single" w:sz="12" w:space="0" w:color="auto"/>
            </w:tcBorders>
          </w:tcPr>
          <w:p w14:paraId="7EBD6FB3" w14:textId="77777777" w:rsidR="00482812" w:rsidRPr="00482812" w:rsidRDefault="00482812" w:rsidP="00482812">
            <w:pPr>
              <w:spacing w:after="0" w:line="240" w:lineRule="auto"/>
              <w:jc w:val="center"/>
              <w:rPr>
                <w:b w:val="0"/>
                <w:bCs w:val="0"/>
                <w:sz w:val="22"/>
                <w:szCs w:val="22"/>
                <w:lang w:eastAsia="en-US"/>
              </w:rPr>
            </w:pPr>
            <w:r w:rsidRPr="00482812">
              <w:rPr>
                <w:b w:val="0"/>
                <w:bCs w:val="0"/>
                <w:sz w:val="22"/>
                <w:szCs w:val="22"/>
                <w:lang w:eastAsia="en-US"/>
              </w:rPr>
              <w:t>1</w:t>
            </w:r>
          </w:p>
        </w:tc>
      </w:tr>
      <w:tr w:rsidR="00482812" w:rsidRPr="00482812" w14:paraId="1D1D60E5" w14:textId="77777777" w:rsidTr="005322D8">
        <w:trPr>
          <w:trHeight w:val="300"/>
        </w:trPr>
        <w:tc>
          <w:tcPr>
            <w:tcW w:w="3005" w:type="dxa"/>
            <w:tcBorders>
              <w:top w:val="single" w:sz="12" w:space="0" w:color="auto"/>
              <w:left w:val="single" w:sz="12" w:space="0" w:color="auto"/>
              <w:bottom w:val="single" w:sz="12" w:space="0" w:color="auto"/>
              <w:right w:val="single" w:sz="12" w:space="0" w:color="auto"/>
            </w:tcBorders>
          </w:tcPr>
          <w:p w14:paraId="126E81A9" w14:textId="77777777" w:rsidR="00482812" w:rsidRPr="00482812" w:rsidRDefault="00482812" w:rsidP="00482812">
            <w:pPr>
              <w:spacing w:after="0" w:line="240" w:lineRule="auto"/>
              <w:rPr>
                <w:sz w:val="22"/>
                <w:szCs w:val="22"/>
                <w:lang w:eastAsia="en-US"/>
              </w:rPr>
            </w:pPr>
            <w:r w:rsidRPr="00482812">
              <w:rPr>
                <w:sz w:val="22"/>
                <w:szCs w:val="22"/>
                <w:lang w:eastAsia="en-US"/>
              </w:rPr>
              <w:t>Total</w:t>
            </w:r>
          </w:p>
        </w:tc>
        <w:tc>
          <w:tcPr>
            <w:tcW w:w="3005" w:type="dxa"/>
            <w:tcBorders>
              <w:top w:val="single" w:sz="12" w:space="0" w:color="auto"/>
              <w:left w:val="single" w:sz="12" w:space="0" w:color="auto"/>
              <w:bottom w:val="single" w:sz="12" w:space="0" w:color="auto"/>
              <w:right w:val="single" w:sz="12" w:space="0" w:color="auto"/>
            </w:tcBorders>
          </w:tcPr>
          <w:p w14:paraId="3470F3AE"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31</w:t>
            </w:r>
          </w:p>
        </w:tc>
        <w:tc>
          <w:tcPr>
            <w:tcW w:w="3005" w:type="dxa"/>
            <w:tcBorders>
              <w:top w:val="single" w:sz="12" w:space="0" w:color="auto"/>
              <w:left w:val="single" w:sz="12" w:space="0" w:color="auto"/>
              <w:bottom w:val="single" w:sz="12" w:space="0" w:color="auto"/>
              <w:right w:val="single" w:sz="12" w:space="0" w:color="auto"/>
            </w:tcBorders>
          </w:tcPr>
          <w:p w14:paraId="6C413865" w14:textId="77777777" w:rsidR="00482812" w:rsidRPr="00482812" w:rsidRDefault="00482812" w:rsidP="00482812">
            <w:pPr>
              <w:spacing w:after="0" w:line="240" w:lineRule="auto"/>
              <w:jc w:val="center"/>
              <w:rPr>
                <w:sz w:val="22"/>
                <w:szCs w:val="22"/>
                <w:lang w:eastAsia="en-US"/>
              </w:rPr>
            </w:pPr>
            <w:r w:rsidRPr="00482812">
              <w:rPr>
                <w:sz w:val="22"/>
                <w:szCs w:val="22"/>
                <w:lang w:eastAsia="en-US"/>
              </w:rPr>
              <w:t>31</w:t>
            </w:r>
          </w:p>
        </w:tc>
      </w:tr>
    </w:tbl>
    <w:p w14:paraId="0B1B01BE" w14:textId="77777777" w:rsidR="00482812" w:rsidRPr="00482812" w:rsidRDefault="00482812" w:rsidP="00C41519">
      <w:pPr>
        <w:jc w:val="center"/>
        <w:rPr>
          <w:rFonts w:cs="Calibri"/>
        </w:rPr>
      </w:pPr>
    </w:p>
    <w:p w14:paraId="261E939E" w14:textId="3972EEDB" w:rsidR="00482812" w:rsidRPr="00482812" w:rsidRDefault="00482812" w:rsidP="00C41519">
      <w:pPr>
        <w:jc w:val="center"/>
        <w:rPr>
          <w:rFonts w:cs="Calibri"/>
        </w:rPr>
      </w:pPr>
      <w:r w:rsidRPr="00482812">
        <w:rPr>
          <w:rFonts w:cs="Calibri"/>
        </w:rPr>
        <w:t xml:space="preserve">Table 42 – </w:t>
      </w:r>
      <w:r w:rsidR="007F4CAC" w:rsidRPr="007F4CAC">
        <w:rPr>
          <w:rFonts w:cs="Calibri"/>
        </w:rPr>
        <w:t>Prevalence of</w:t>
      </w:r>
      <w:r w:rsidR="007F4CAC" w:rsidRPr="00482812">
        <w:rPr>
          <w:rFonts w:cs="Calibri"/>
        </w:rPr>
        <w:t xml:space="preserve"> different kinds of pottery in </w:t>
      </w:r>
      <w:r w:rsidR="007F4CAC" w:rsidRPr="007F4CAC">
        <w:rPr>
          <w:rFonts w:cs="Calibri"/>
        </w:rPr>
        <w:t xml:space="preserve">inventories within </w:t>
      </w:r>
      <w:r w:rsidR="007F4CAC" w:rsidRPr="00482812">
        <w:rPr>
          <w:rFonts w:cs="Calibri"/>
        </w:rPr>
        <w:t>the Bolton-le-Sands and Prestbury wider survey</w:t>
      </w:r>
      <w:r w:rsidRPr="00482812">
        <w:rPr>
          <w:rFonts w:cs="Calibri"/>
        </w:rPr>
        <w:t>.</w:t>
      </w:r>
    </w:p>
    <w:p w14:paraId="7E11D3B6" w14:textId="77777777" w:rsidR="00482812" w:rsidRPr="00482812" w:rsidRDefault="00482812" w:rsidP="0092584D">
      <w:pPr>
        <w:rPr>
          <w:rFonts w:cs="Calibri"/>
        </w:rPr>
      </w:pPr>
      <w:r w:rsidRPr="00482812">
        <w:rPr>
          <w:rFonts w:cs="Calibri"/>
        </w:rPr>
        <w:t>(Data from wills has not been included because documents from neither area feature explicit references to earthenware products.)</w:t>
      </w:r>
    </w:p>
    <w:p w14:paraId="0CF3D99E" w14:textId="77777777" w:rsidR="00482812" w:rsidRPr="00482812" w:rsidRDefault="00482812" w:rsidP="00482812">
      <w:pPr>
        <w:rPr>
          <w:rFonts w:cs="Calibri"/>
          <w:sz w:val="22"/>
          <w:szCs w:val="22"/>
        </w:rPr>
      </w:pPr>
      <w:r w:rsidRPr="00482812">
        <w:rPr>
          <w:rFonts w:cs="Calibri"/>
          <w:sz w:val="22"/>
          <w:szCs w:val="22"/>
        </w:rPr>
        <w:br w:type="page"/>
      </w:r>
    </w:p>
    <w:p w14:paraId="597ABAE4" w14:textId="66557FCF" w:rsidR="0061264A" w:rsidRDefault="00DE7257" w:rsidP="00017C45">
      <w:pPr>
        <w:spacing w:after="0" w:line="480" w:lineRule="auto"/>
        <w:jc w:val="both"/>
        <w:rPr>
          <w:b/>
          <w:bCs/>
          <w:sz w:val="32"/>
          <w:szCs w:val="32"/>
          <w:u w:val="single"/>
        </w:rPr>
      </w:pPr>
      <w:r>
        <w:rPr>
          <w:b/>
          <w:bCs/>
          <w:sz w:val="32"/>
          <w:szCs w:val="32"/>
          <w:u w:val="single"/>
        </w:rPr>
        <w:lastRenderedPageBreak/>
        <w:t>Bibliography</w:t>
      </w:r>
    </w:p>
    <w:p w14:paraId="30B2C56A" w14:textId="7B6C63EF" w:rsidR="00A03B47" w:rsidRDefault="004A792B" w:rsidP="00017C45">
      <w:pPr>
        <w:spacing w:after="0" w:line="480" w:lineRule="auto"/>
        <w:jc w:val="both"/>
        <w:rPr>
          <w:b/>
          <w:bCs/>
        </w:rPr>
      </w:pPr>
      <w:r w:rsidRPr="00FA7B37">
        <w:rPr>
          <w:b/>
          <w:bCs/>
          <w:u w:val="single"/>
        </w:rPr>
        <w:t>Primary Sources</w:t>
      </w:r>
      <w:r w:rsidR="00FA7B37">
        <w:rPr>
          <w:b/>
          <w:bCs/>
          <w:u w:val="single"/>
        </w:rPr>
        <w:t xml:space="preserve">: </w:t>
      </w:r>
      <w:r w:rsidR="00A03B47" w:rsidRPr="00FA7B37">
        <w:rPr>
          <w:b/>
          <w:bCs/>
          <w:u w:val="single"/>
        </w:rPr>
        <w:t>Manuscript Sources</w:t>
      </w:r>
    </w:p>
    <w:p w14:paraId="7B075349" w14:textId="77777777" w:rsidR="00CD2B60" w:rsidRPr="00CD2B60" w:rsidRDefault="00CD2B60" w:rsidP="00CD2B60">
      <w:pPr>
        <w:spacing w:after="0" w:line="480" w:lineRule="auto"/>
        <w:jc w:val="both"/>
        <w:rPr>
          <w:b/>
          <w:bCs/>
        </w:rPr>
      </w:pPr>
      <w:r w:rsidRPr="00CD2B60">
        <w:rPr>
          <w:b/>
          <w:bCs/>
          <w:lang w:val="en-US"/>
        </w:rPr>
        <w:t>Adlington Estate Archive</w:t>
      </w:r>
      <w:r w:rsidRPr="00CD2B60">
        <w:rPr>
          <w:b/>
          <w:bCs/>
        </w:rPr>
        <w:t> </w:t>
      </w:r>
    </w:p>
    <w:p w14:paraId="0AA882E8" w14:textId="77777777" w:rsidR="00953178" w:rsidRPr="00CD2B60" w:rsidRDefault="00953178" w:rsidP="00101B5F">
      <w:pPr>
        <w:spacing w:after="240" w:line="240" w:lineRule="auto"/>
        <w:jc w:val="both"/>
      </w:pPr>
      <w:r w:rsidRPr="00CD2B60">
        <w:rPr>
          <w:lang w:val="en-US"/>
        </w:rPr>
        <w:t xml:space="preserve">DLA 26/17, Lease between Thomas Legh of Adlington, </w:t>
      </w:r>
      <w:proofErr w:type="gramStart"/>
      <w:r w:rsidRPr="00CD2B60">
        <w:rPr>
          <w:lang w:val="en-US"/>
        </w:rPr>
        <w:t>esquire</w:t>
      </w:r>
      <w:proofErr w:type="gramEnd"/>
      <w:r w:rsidRPr="00CD2B60">
        <w:rPr>
          <w:lang w:val="en-US"/>
        </w:rPr>
        <w:t>, and Roger Brooke of Butley, slater, 10 March 1685</w:t>
      </w:r>
      <w:r w:rsidRPr="00CD2B60">
        <w:t> </w:t>
      </w:r>
    </w:p>
    <w:p w14:paraId="7DB2B713" w14:textId="77777777" w:rsidR="00953178" w:rsidRPr="00CD2B60" w:rsidRDefault="00953178" w:rsidP="00101B5F">
      <w:pPr>
        <w:spacing w:after="240" w:line="240" w:lineRule="auto"/>
        <w:jc w:val="both"/>
      </w:pPr>
      <w:r w:rsidRPr="00CD2B60">
        <w:rPr>
          <w:lang w:val="en-US"/>
        </w:rPr>
        <w:t xml:space="preserve">DLA 27/12, Counterpart lease between Thomas Legh of Adlington, </w:t>
      </w:r>
      <w:proofErr w:type="gramStart"/>
      <w:r w:rsidRPr="00CD2B60">
        <w:rPr>
          <w:lang w:val="en-US"/>
        </w:rPr>
        <w:t>esquire</w:t>
      </w:r>
      <w:proofErr w:type="gramEnd"/>
      <w:r w:rsidRPr="00CD2B60">
        <w:rPr>
          <w:lang w:val="en-US"/>
        </w:rPr>
        <w:t xml:space="preserve">, and Thomas Crowther of </w:t>
      </w:r>
      <w:proofErr w:type="spellStart"/>
      <w:r w:rsidRPr="00CD2B60">
        <w:rPr>
          <w:lang w:val="en-US"/>
        </w:rPr>
        <w:t>Hebridge</w:t>
      </w:r>
      <w:proofErr w:type="spellEnd"/>
      <w:r w:rsidRPr="00CD2B60">
        <w:rPr>
          <w:lang w:val="en-US"/>
        </w:rPr>
        <w:t xml:space="preserve"> Lane within Butley, husbandman, 16 June 1671</w:t>
      </w:r>
      <w:r w:rsidRPr="00CD2B60">
        <w:t> </w:t>
      </w:r>
    </w:p>
    <w:p w14:paraId="4C2647F7" w14:textId="77777777" w:rsidR="00953178" w:rsidRPr="00CD2B60" w:rsidRDefault="00953178" w:rsidP="00101B5F">
      <w:pPr>
        <w:spacing w:after="240" w:line="240" w:lineRule="auto"/>
        <w:jc w:val="both"/>
      </w:pPr>
      <w:r w:rsidRPr="00CD2B60">
        <w:rPr>
          <w:lang w:val="en-US"/>
        </w:rPr>
        <w:t>DLA 27/22, Counterpart lease between John Legh of Adlington, esquire, and Thomas Crowther of Heaton Norris, yeoman, 13 April 1711</w:t>
      </w:r>
      <w:r w:rsidRPr="00CD2B60">
        <w:t> </w:t>
      </w:r>
    </w:p>
    <w:p w14:paraId="73A3B681" w14:textId="77777777" w:rsidR="00953178" w:rsidRPr="00CD2B60" w:rsidRDefault="00953178" w:rsidP="00101B5F">
      <w:pPr>
        <w:spacing w:after="240" w:line="240" w:lineRule="auto"/>
        <w:jc w:val="both"/>
      </w:pPr>
      <w:r w:rsidRPr="00CD2B60">
        <w:rPr>
          <w:lang w:val="en-US"/>
        </w:rPr>
        <w:t xml:space="preserve">DLA 27/26, Counterpart lease between Charles Legh of Adlington, </w:t>
      </w:r>
      <w:proofErr w:type="gramStart"/>
      <w:r w:rsidRPr="00CD2B60">
        <w:rPr>
          <w:lang w:val="en-US"/>
        </w:rPr>
        <w:t>esquire</w:t>
      </w:r>
      <w:proofErr w:type="gramEnd"/>
      <w:r w:rsidRPr="00CD2B60">
        <w:rPr>
          <w:lang w:val="en-US"/>
        </w:rPr>
        <w:t>, and Thomas Crowther of Heaton Norris, gentleman, 29 September 1740</w:t>
      </w:r>
      <w:r w:rsidRPr="00CD2B60">
        <w:t> </w:t>
      </w:r>
    </w:p>
    <w:p w14:paraId="6A9D62A7" w14:textId="77777777" w:rsidR="00953178" w:rsidRPr="00CD2B60" w:rsidRDefault="00953178" w:rsidP="00101B5F">
      <w:pPr>
        <w:spacing w:after="240" w:line="240" w:lineRule="auto"/>
        <w:jc w:val="both"/>
      </w:pPr>
      <w:r w:rsidRPr="00CD2B60">
        <w:rPr>
          <w:lang w:val="en-US"/>
        </w:rPr>
        <w:t xml:space="preserve">DLA 27/27, Lease between Charles Legh of Adlington, </w:t>
      </w:r>
      <w:proofErr w:type="gramStart"/>
      <w:r w:rsidRPr="00CD2B60">
        <w:rPr>
          <w:lang w:val="en-US"/>
        </w:rPr>
        <w:t>esquire</w:t>
      </w:r>
      <w:proofErr w:type="gramEnd"/>
      <w:r w:rsidRPr="00CD2B60">
        <w:rPr>
          <w:lang w:val="en-US"/>
        </w:rPr>
        <w:t>, and Robert Brooke of Butley, slater, 3 December 1740</w:t>
      </w:r>
      <w:r w:rsidRPr="00CD2B60">
        <w:t> </w:t>
      </w:r>
    </w:p>
    <w:p w14:paraId="32DEA12C" w14:textId="77777777" w:rsidR="00953178" w:rsidRPr="00CD2B60" w:rsidRDefault="00953178" w:rsidP="00101B5F">
      <w:pPr>
        <w:spacing w:after="240" w:line="240" w:lineRule="auto"/>
        <w:jc w:val="both"/>
      </w:pPr>
      <w:r w:rsidRPr="00CD2B60">
        <w:rPr>
          <w:lang w:val="en-US"/>
        </w:rPr>
        <w:t>DLA 27/6, Counterpart lease between Thomas Legh of Adlington, esquire and George Wood of Poynton, yeoman, 1662</w:t>
      </w:r>
      <w:r w:rsidRPr="00CD2B60">
        <w:t> </w:t>
      </w:r>
    </w:p>
    <w:p w14:paraId="21D9DC2B" w14:textId="77777777" w:rsidR="00953178" w:rsidRPr="00CD2B60" w:rsidRDefault="00953178" w:rsidP="00101B5F">
      <w:pPr>
        <w:spacing w:after="240" w:line="240" w:lineRule="auto"/>
        <w:jc w:val="both"/>
      </w:pPr>
      <w:r w:rsidRPr="00CD2B60">
        <w:rPr>
          <w:lang w:val="en-US"/>
        </w:rPr>
        <w:t>DLA 28/11, Counterpart lease between John Legh of Adlington, esquire and Thomas Deane of Nether Alderley, yeoman, 24 January 1699</w:t>
      </w:r>
      <w:r w:rsidRPr="00CD2B60">
        <w:t> </w:t>
      </w:r>
    </w:p>
    <w:p w14:paraId="3DE02687" w14:textId="77777777" w:rsidR="00953178" w:rsidRPr="00CD2B60" w:rsidRDefault="00953178" w:rsidP="00101B5F">
      <w:pPr>
        <w:spacing w:after="240" w:line="240" w:lineRule="auto"/>
        <w:jc w:val="both"/>
      </w:pPr>
      <w:r w:rsidRPr="00CD2B60">
        <w:rPr>
          <w:lang w:val="en-US"/>
        </w:rPr>
        <w:t xml:space="preserve">DLA 30/11, Counterpart lease between John Legh of Adlington, </w:t>
      </w:r>
      <w:proofErr w:type="gramStart"/>
      <w:r w:rsidRPr="00CD2B60">
        <w:rPr>
          <w:lang w:val="en-US"/>
        </w:rPr>
        <w:t>esquire</w:t>
      </w:r>
      <w:proofErr w:type="gramEnd"/>
      <w:r w:rsidRPr="00CD2B60">
        <w:rPr>
          <w:lang w:val="en-US"/>
        </w:rPr>
        <w:t xml:space="preserve"> and Thomas Deane of Butley, 24 June 1715</w:t>
      </w:r>
      <w:r w:rsidRPr="00CD2B60">
        <w:t> </w:t>
      </w:r>
    </w:p>
    <w:p w14:paraId="5B32D8C4" w14:textId="6B8EC7B4" w:rsidR="00953178" w:rsidRDefault="00953178" w:rsidP="00101B5F">
      <w:pPr>
        <w:spacing w:after="240" w:line="240" w:lineRule="auto"/>
        <w:jc w:val="both"/>
      </w:pPr>
      <w:r w:rsidRPr="00CD2B60">
        <w:rPr>
          <w:lang w:val="en-US"/>
        </w:rPr>
        <w:t>DLA 71/28/8, Grant between Roger Brooke of Butley, slater and Henry Johnson of Broken Cross, Macclesfield, silk twister, 3 February 1687</w:t>
      </w:r>
    </w:p>
    <w:p w14:paraId="3C650FD0" w14:textId="77777777" w:rsidR="009C340F" w:rsidRDefault="009C340F" w:rsidP="00101B5F">
      <w:pPr>
        <w:spacing w:after="240" w:line="240" w:lineRule="auto"/>
        <w:jc w:val="both"/>
      </w:pPr>
    </w:p>
    <w:p w14:paraId="1A6ED8E0" w14:textId="77777777" w:rsidR="007745AD" w:rsidRPr="007745AD" w:rsidRDefault="007745AD" w:rsidP="007745AD">
      <w:pPr>
        <w:spacing w:after="240" w:line="240" w:lineRule="auto"/>
        <w:jc w:val="both"/>
      </w:pPr>
      <w:r w:rsidRPr="007745AD">
        <w:rPr>
          <w:b/>
          <w:bCs/>
          <w:lang w:val="en-US"/>
        </w:rPr>
        <w:t>Cheshire Record Office </w:t>
      </w:r>
      <w:r w:rsidRPr="007745AD">
        <w:t> </w:t>
      </w:r>
    </w:p>
    <w:p w14:paraId="40825E2D" w14:textId="77777777" w:rsidR="009D4C90" w:rsidRPr="007745AD" w:rsidRDefault="009D4C90" w:rsidP="007745AD">
      <w:pPr>
        <w:spacing w:after="240" w:line="240" w:lineRule="auto"/>
        <w:jc w:val="both"/>
      </w:pPr>
      <w:r w:rsidRPr="007745AD">
        <w:rPr>
          <w:lang w:val="en-US"/>
        </w:rPr>
        <w:t>DDS 20/15, Depositions and evidence concerning disputed boundaries in Taxal and Kettleshulme, 1738</w:t>
      </w:r>
      <w:r w:rsidRPr="007745AD">
        <w:t> </w:t>
      </w:r>
    </w:p>
    <w:p w14:paraId="6463C30E" w14:textId="77777777" w:rsidR="009D4C90" w:rsidRPr="007745AD" w:rsidRDefault="009D4C90" w:rsidP="007745AD">
      <w:pPr>
        <w:spacing w:after="240" w:line="240" w:lineRule="auto"/>
        <w:jc w:val="both"/>
      </w:pPr>
      <w:r w:rsidRPr="007745AD">
        <w:rPr>
          <w:lang w:val="en-US"/>
        </w:rPr>
        <w:t>ED/C/8/1, Diocese of Chester Marriage Licence Bonds and Allegations, 1669-1836</w:t>
      </w:r>
      <w:r w:rsidRPr="007745AD">
        <w:t> </w:t>
      </w:r>
    </w:p>
    <w:p w14:paraId="623EE0B4" w14:textId="77777777" w:rsidR="009D4C90" w:rsidRPr="007745AD" w:rsidRDefault="009D4C90" w:rsidP="007745AD">
      <w:pPr>
        <w:spacing w:after="240" w:line="240" w:lineRule="auto"/>
        <w:jc w:val="both"/>
      </w:pPr>
      <w:r w:rsidRPr="007745AD">
        <w:rPr>
          <w:lang w:val="en-US"/>
        </w:rPr>
        <w:t>P 14, Parish Register of St Mary’s Church, Stockport</w:t>
      </w:r>
      <w:r w:rsidRPr="007745AD">
        <w:t> </w:t>
      </w:r>
    </w:p>
    <w:p w14:paraId="213F3375" w14:textId="77777777" w:rsidR="009D4C90" w:rsidRPr="007745AD" w:rsidRDefault="009D4C90" w:rsidP="007745AD">
      <w:pPr>
        <w:spacing w:after="240" w:line="240" w:lineRule="auto"/>
        <w:jc w:val="both"/>
      </w:pPr>
      <w:r w:rsidRPr="007745AD">
        <w:rPr>
          <w:lang w:val="en-US"/>
        </w:rPr>
        <w:t>P 143, Parish Register of St Mary’s Church, Nether Alderley</w:t>
      </w:r>
      <w:r w:rsidRPr="007745AD">
        <w:t> </w:t>
      </w:r>
    </w:p>
    <w:p w14:paraId="10A5CFB8" w14:textId="77777777" w:rsidR="009D4C90" w:rsidRPr="007745AD" w:rsidRDefault="009D4C90" w:rsidP="007745AD">
      <w:pPr>
        <w:spacing w:after="240" w:line="240" w:lineRule="auto"/>
        <w:jc w:val="both"/>
      </w:pPr>
      <w:r w:rsidRPr="007745AD">
        <w:rPr>
          <w:lang w:val="en-US"/>
        </w:rPr>
        <w:t>P 233/1/1/1 Parish Register of St James Church, Taxal, 1685-1755</w:t>
      </w:r>
      <w:r w:rsidRPr="007745AD">
        <w:t> </w:t>
      </w:r>
    </w:p>
    <w:p w14:paraId="441E92DF" w14:textId="77777777" w:rsidR="009D4C90" w:rsidRPr="007745AD" w:rsidRDefault="009D4C90" w:rsidP="007745AD">
      <w:pPr>
        <w:spacing w:after="240" w:line="240" w:lineRule="auto"/>
        <w:jc w:val="both"/>
      </w:pPr>
      <w:r w:rsidRPr="007745AD">
        <w:rPr>
          <w:lang w:val="en-US"/>
        </w:rPr>
        <w:t>P 287, Parish Register of St Peter’s Church, Prestbury</w:t>
      </w:r>
      <w:r w:rsidRPr="007745AD">
        <w:t> </w:t>
      </w:r>
    </w:p>
    <w:p w14:paraId="63F5445C" w14:textId="77777777" w:rsidR="009D4C90" w:rsidRPr="007745AD" w:rsidRDefault="009D4C90" w:rsidP="007745AD">
      <w:pPr>
        <w:spacing w:after="240" w:line="240" w:lineRule="auto"/>
        <w:jc w:val="both"/>
      </w:pPr>
      <w:r w:rsidRPr="007745AD">
        <w:rPr>
          <w:lang w:val="en-US"/>
        </w:rPr>
        <w:lastRenderedPageBreak/>
        <w:t>P 85, Parish Register of St Michael and All Angels Church, Macclesfield</w:t>
      </w:r>
      <w:r w:rsidRPr="007745AD">
        <w:t> </w:t>
      </w:r>
    </w:p>
    <w:p w14:paraId="534C64F9" w14:textId="77777777" w:rsidR="009D4C90" w:rsidRPr="007745AD" w:rsidRDefault="009D4C90" w:rsidP="007745AD">
      <w:pPr>
        <w:spacing w:after="240" w:line="240" w:lineRule="auto"/>
        <w:jc w:val="both"/>
      </w:pPr>
      <w:r w:rsidRPr="007745AD">
        <w:rPr>
          <w:lang w:val="en-US"/>
        </w:rPr>
        <w:t xml:space="preserve">WS 1661, Inventory of Thomas Green of Sutton, </w:t>
      </w:r>
      <w:proofErr w:type="gramStart"/>
      <w:r w:rsidRPr="007745AD">
        <w:rPr>
          <w:lang w:val="en-US"/>
        </w:rPr>
        <w:t>yeoman</w:t>
      </w:r>
      <w:proofErr w:type="gramEnd"/>
      <w:r w:rsidRPr="007745AD">
        <w:rPr>
          <w:lang w:val="en-US"/>
        </w:rPr>
        <w:t>, 1661</w:t>
      </w:r>
      <w:r w:rsidRPr="007745AD">
        <w:t> </w:t>
      </w:r>
    </w:p>
    <w:p w14:paraId="34CA7F59" w14:textId="77777777" w:rsidR="009D4C90" w:rsidRPr="007745AD" w:rsidRDefault="009D4C90" w:rsidP="007745AD">
      <w:pPr>
        <w:spacing w:after="240" w:line="240" w:lineRule="auto"/>
        <w:jc w:val="both"/>
      </w:pPr>
      <w:r w:rsidRPr="007745AD">
        <w:rPr>
          <w:lang w:val="en-US"/>
        </w:rPr>
        <w:t xml:space="preserve">WS 1661, Will of Roger Birtles of Butley, </w:t>
      </w:r>
      <w:proofErr w:type="gramStart"/>
      <w:r w:rsidRPr="007745AD">
        <w:rPr>
          <w:lang w:val="en-US"/>
        </w:rPr>
        <w:t>yeoman</w:t>
      </w:r>
      <w:proofErr w:type="gramEnd"/>
      <w:r w:rsidRPr="007745AD">
        <w:rPr>
          <w:lang w:val="en-US"/>
        </w:rPr>
        <w:t>, 1655</w:t>
      </w:r>
      <w:r w:rsidRPr="007745AD">
        <w:t> </w:t>
      </w:r>
    </w:p>
    <w:p w14:paraId="57843978" w14:textId="77777777" w:rsidR="009D4C90" w:rsidRPr="007745AD" w:rsidRDefault="009D4C90" w:rsidP="007745AD">
      <w:pPr>
        <w:spacing w:after="240" w:line="240" w:lineRule="auto"/>
        <w:jc w:val="both"/>
      </w:pPr>
      <w:r w:rsidRPr="007745AD">
        <w:rPr>
          <w:lang w:val="en-US"/>
        </w:rPr>
        <w:t>WS 1664, Inventory of Lawrence Bennett of Sutton, tanner, 1664</w:t>
      </w:r>
      <w:r w:rsidRPr="007745AD">
        <w:t> </w:t>
      </w:r>
    </w:p>
    <w:p w14:paraId="069D9D05" w14:textId="77777777" w:rsidR="009D4C90" w:rsidRPr="007745AD" w:rsidRDefault="009D4C90" w:rsidP="007745AD">
      <w:pPr>
        <w:spacing w:after="240" w:line="240" w:lineRule="auto"/>
        <w:jc w:val="both"/>
      </w:pPr>
      <w:r w:rsidRPr="007745AD">
        <w:rPr>
          <w:lang w:val="en-US"/>
        </w:rPr>
        <w:t>WS 1673, Will of Elizabeth Greaves of Sutton, yeoman’s wife, 1673</w:t>
      </w:r>
      <w:r w:rsidRPr="007745AD">
        <w:t> </w:t>
      </w:r>
    </w:p>
    <w:p w14:paraId="679D75EC" w14:textId="77777777" w:rsidR="009D4C90" w:rsidRPr="007745AD" w:rsidRDefault="009D4C90" w:rsidP="007745AD">
      <w:pPr>
        <w:spacing w:after="240" w:line="240" w:lineRule="auto"/>
        <w:jc w:val="both"/>
      </w:pPr>
      <w:r w:rsidRPr="007745AD">
        <w:rPr>
          <w:lang w:val="en-US"/>
        </w:rPr>
        <w:t>WS 1675, Inventory of Thomas Greene of Bollington Waters, gentleman, 1675</w:t>
      </w:r>
      <w:r w:rsidRPr="007745AD">
        <w:t> </w:t>
      </w:r>
    </w:p>
    <w:p w14:paraId="1EC1C5EA" w14:textId="77777777" w:rsidR="009D4C90" w:rsidRPr="007745AD" w:rsidRDefault="009D4C90" w:rsidP="007745AD">
      <w:pPr>
        <w:spacing w:after="240" w:line="240" w:lineRule="auto"/>
        <w:jc w:val="both"/>
      </w:pPr>
      <w:r w:rsidRPr="007745AD">
        <w:rPr>
          <w:lang w:val="en-US"/>
        </w:rPr>
        <w:t>WS 1684, Inventory of Roger Brookes of Butley, occupation N/A, 1683</w:t>
      </w:r>
      <w:r w:rsidRPr="007745AD">
        <w:t> </w:t>
      </w:r>
    </w:p>
    <w:p w14:paraId="0AD25A0F" w14:textId="77777777" w:rsidR="009D4C90" w:rsidRPr="007745AD" w:rsidRDefault="009D4C90" w:rsidP="007745AD">
      <w:pPr>
        <w:spacing w:after="240" w:line="240" w:lineRule="auto"/>
        <w:jc w:val="both"/>
      </w:pPr>
      <w:r w:rsidRPr="007745AD">
        <w:rPr>
          <w:lang w:val="en-US"/>
        </w:rPr>
        <w:t>WS 1690, Will of Edward Plant of Butley, yeoman, 1678</w:t>
      </w:r>
      <w:r w:rsidRPr="007745AD">
        <w:t> </w:t>
      </w:r>
    </w:p>
    <w:p w14:paraId="42D59FD4" w14:textId="77777777" w:rsidR="009D4C90" w:rsidRPr="007745AD" w:rsidRDefault="009D4C90" w:rsidP="007745AD">
      <w:pPr>
        <w:spacing w:after="240" w:line="240" w:lineRule="auto"/>
        <w:jc w:val="both"/>
      </w:pPr>
      <w:r w:rsidRPr="007745AD">
        <w:rPr>
          <w:lang w:val="en-US"/>
        </w:rPr>
        <w:t>WS 1692, Will of Hugh Stonehewer of Sutton, chapman, 1692</w:t>
      </w:r>
      <w:r w:rsidRPr="007745AD">
        <w:t> </w:t>
      </w:r>
    </w:p>
    <w:p w14:paraId="18617291" w14:textId="77777777" w:rsidR="009D4C90" w:rsidRPr="007745AD" w:rsidRDefault="009D4C90" w:rsidP="007745AD">
      <w:pPr>
        <w:spacing w:after="240" w:line="240" w:lineRule="auto"/>
        <w:jc w:val="both"/>
      </w:pPr>
      <w:r w:rsidRPr="007745AD">
        <w:rPr>
          <w:lang w:val="en-US"/>
        </w:rPr>
        <w:t>WS 1703, Will of Thomas Gilbody of Stockport, chapman, 1703</w:t>
      </w:r>
      <w:r w:rsidRPr="007745AD">
        <w:t> </w:t>
      </w:r>
    </w:p>
    <w:p w14:paraId="6D74E363" w14:textId="77777777" w:rsidR="009D4C90" w:rsidRPr="007745AD" w:rsidRDefault="009D4C90" w:rsidP="007745AD">
      <w:pPr>
        <w:spacing w:after="240" w:line="240" w:lineRule="auto"/>
        <w:jc w:val="both"/>
      </w:pPr>
      <w:r w:rsidRPr="007745AD">
        <w:rPr>
          <w:lang w:val="en-US"/>
        </w:rPr>
        <w:t>WS 1705, Inventory of Hugh Butler of Sutton, yeoman, 1705</w:t>
      </w:r>
      <w:r w:rsidRPr="007745AD">
        <w:t> </w:t>
      </w:r>
    </w:p>
    <w:p w14:paraId="38444E71" w14:textId="77777777" w:rsidR="009D4C90" w:rsidRPr="007745AD" w:rsidRDefault="009D4C90" w:rsidP="007745AD">
      <w:pPr>
        <w:spacing w:after="240" w:line="240" w:lineRule="auto"/>
        <w:jc w:val="both"/>
      </w:pPr>
      <w:r w:rsidRPr="007745AD">
        <w:rPr>
          <w:lang w:val="en-US"/>
        </w:rPr>
        <w:t>WS 1708, Inventory of Mary Amery of Sutton, widow, 1708</w:t>
      </w:r>
      <w:r w:rsidRPr="007745AD">
        <w:t> </w:t>
      </w:r>
    </w:p>
    <w:p w14:paraId="2F821A19" w14:textId="77777777" w:rsidR="009D4C90" w:rsidRPr="007745AD" w:rsidRDefault="009D4C90" w:rsidP="007745AD">
      <w:pPr>
        <w:spacing w:after="240" w:line="240" w:lineRule="auto"/>
        <w:jc w:val="both"/>
      </w:pPr>
      <w:r w:rsidRPr="007745AD">
        <w:rPr>
          <w:lang w:val="en-US"/>
        </w:rPr>
        <w:t>WS 1717, Will of Henry Cherry of Sutton, yeoman, 1717</w:t>
      </w:r>
      <w:r w:rsidRPr="007745AD">
        <w:t> </w:t>
      </w:r>
    </w:p>
    <w:p w14:paraId="2D2FEAC7" w14:textId="77777777" w:rsidR="009D4C90" w:rsidRPr="007745AD" w:rsidRDefault="009D4C90" w:rsidP="007745AD">
      <w:pPr>
        <w:spacing w:after="240" w:line="240" w:lineRule="auto"/>
        <w:jc w:val="both"/>
      </w:pPr>
      <w:r w:rsidRPr="007745AD">
        <w:rPr>
          <w:lang w:val="en-US"/>
        </w:rPr>
        <w:t>WS 1717, Will of Henry Cherry of Sutton, yeoman, 1717</w:t>
      </w:r>
      <w:r w:rsidRPr="007745AD">
        <w:t> </w:t>
      </w:r>
    </w:p>
    <w:p w14:paraId="224EA8E4" w14:textId="77777777" w:rsidR="009D4C90" w:rsidRPr="007745AD" w:rsidRDefault="009D4C90" w:rsidP="007745AD">
      <w:pPr>
        <w:spacing w:after="240" w:line="240" w:lineRule="auto"/>
        <w:jc w:val="both"/>
      </w:pPr>
      <w:r w:rsidRPr="007745AD">
        <w:rPr>
          <w:lang w:val="en-US"/>
        </w:rPr>
        <w:t>WS 1719, Inventory of William Clewes of Langley, gentleman, 1719</w:t>
      </w:r>
      <w:r w:rsidRPr="007745AD">
        <w:t> </w:t>
      </w:r>
    </w:p>
    <w:p w14:paraId="3EB1E914" w14:textId="77777777" w:rsidR="009D4C90" w:rsidRPr="007745AD" w:rsidRDefault="009D4C90" w:rsidP="007745AD">
      <w:pPr>
        <w:spacing w:after="240" w:line="240" w:lineRule="auto"/>
        <w:jc w:val="both"/>
      </w:pPr>
      <w:r w:rsidRPr="007745AD">
        <w:rPr>
          <w:lang w:val="en-US"/>
        </w:rPr>
        <w:t xml:space="preserve">WS 1722, Inventory of John Hough of Sutton, </w:t>
      </w:r>
      <w:proofErr w:type="gramStart"/>
      <w:r w:rsidRPr="007745AD">
        <w:rPr>
          <w:lang w:val="en-US"/>
        </w:rPr>
        <w:t>yeoman</w:t>
      </w:r>
      <w:proofErr w:type="gramEnd"/>
      <w:r w:rsidRPr="007745AD">
        <w:rPr>
          <w:lang w:val="en-US"/>
        </w:rPr>
        <w:t>, 1721</w:t>
      </w:r>
      <w:r w:rsidRPr="007745AD">
        <w:t> </w:t>
      </w:r>
    </w:p>
    <w:p w14:paraId="4A476B39" w14:textId="77777777" w:rsidR="009D4C90" w:rsidRPr="007745AD" w:rsidRDefault="009D4C90" w:rsidP="007745AD">
      <w:pPr>
        <w:spacing w:after="240" w:line="240" w:lineRule="auto"/>
        <w:jc w:val="both"/>
      </w:pPr>
      <w:r w:rsidRPr="007745AD">
        <w:rPr>
          <w:lang w:val="en-US"/>
        </w:rPr>
        <w:t xml:space="preserve">WS 1722, Will of Richard Chaddock of Sutton, </w:t>
      </w:r>
      <w:proofErr w:type="gramStart"/>
      <w:r w:rsidRPr="007745AD">
        <w:rPr>
          <w:lang w:val="en-US"/>
        </w:rPr>
        <w:t>yeoman</w:t>
      </w:r>
      <w:proofErr w:type="gramEnd"/>
      <w:r w:rsidRPr="007745AD">
        <w:rPr>
          <w:lang w:val="en-US"/>
        </w:rPr>
        <w:t>, 1721</w:t>
      </w:r>
      <w:r w:rsidRPr="007745AD">
        <w:t> </w:t>
      </w:r>
    </w:p>
    <w:p w14:paraId="30E94412" w14:textId="77777777" w:rsidR="009D4C90" w:rsidRPr="007745AD" w:rsidRDefault="009D4C90" w:rsidP="007745AD">
      <w:pPr>
        <w:spacing w:after="240" w:line="240" w:lineRule="auto"/>
        <w:jc w:val="both"/>
      </w:pPr>
      <w:r w:rsidRPr="007745AD">
        <w:rPr>
          <w:lang w:val="en-US"/>
        </w:rPr>
        <w:t>WS 1723, Will of Matthew Mottershead of Butley, yeoman, 1722</w:t>
      </w:r>
      <w:r w:rsidRPr="007745AD">
        <w:t> </w:t>
      </w:r>
    </w:p>
    <w:p w14:paraId="7FE5429F" w14:textId="77777777" w:rsidR="009D4C90" w:rsidRPr="007745AD" w:rsidRDefault="009D4C90" w:rsidP="007745AD">
      <w:pPr>
        <w:spacing w:after="240" w:line="240" w:lineRule="auto"/>
        <w:jc w:val="both"/>
      </w:pPr>
      <w:r w:rsidRPr="007745AD">
        <w:rPr>
          <w:lang w:val="en-US"/>
        </w:rPr>
        <w:t>WS 1726, Will of Thomas Frost of Wildboarclough, yeoman, 1726</w:t>
      </w:r>
      <w:r w:rsidRPr="007745AD">
        <w:t> </w:t>
      </w:r>
    </w:p>
    <w:p w14:paraId="1939D708" w14:textId="77777777" w:rsidR="009D4C90" w:rsidRPr="007745AD" w:rsidRDefault="009D4C90" w:rsidP="007745AD">
      <w:pPr>
        <w:spacing w:after="240" w:line="240" w:lineRule="auto"/>
        <w:jc w:val="both"/>
      </w:pPr>
      <w:r w:rsidRPr="007745AD">
        <w:rPr>
          <w:lang w:val="en-US"/>
        </w:rPr>
        <w:t>WS 1727, Inventory of John Daine of Sutton, husbandman, 1727</w:t>
      </w:r>
      <w:r w:rsidRPr="007745AD">
        <w:t> </w:t>
      </w:r>
    </w:p>
    <w:p w14:paraId="5AFB1EC1" w14:textId="77777777" w:rsidR="009D4C90" w:rsidRPr="007745AD" w:rsidRDefault="009D4C90" w:rsidP="007745AD">
      <w:pPr>
        <w:spacing w:after="240" w:line="240" w:lineRule="auto"/>
        <w:jc w:val="both"/>
      </w:pPr>
      <w:r w:rsidRPr="007745AD">
        <w:rPr>
          <w:lang w:val="en-US"/>
        </w:rPr>
        <w:t>WS 1728, Will of Daniel Hulme of Sutton, schoolmaster, 1728</w:t>
      </w:r>
      <w:r w:rsidRPr="007745AD">
        <w:t> </w:t>
      </w:r>
    </w:p>
    <w:p w14:paraId="6ED7AB93" w14:textId="77777777" w:rsidR="009D4C90" w:rsidRPr="007745AD" w:rsidRDefault="009D4C90" w:rsidP="007745AD">
      <w:pPr>
        <w:spacing w:after="240" w:line="240" w:lineRule="auto"/>
        <w:jc w:val="both"/>
      </w:pPr>
      <w:r w:rsidRPr="007745AD">
        <w:rPr>
          <w:lang w:val="en-US"/>
        </w:rPr>
        <w:t xml:space="preserve">WS 1731, Will of </w:t>
      </w:r>
      <w:proofErr w:type="spellStart"/>
      <w:r w:rsidRPr="007745AD">
        <w:rPr>
          <w:lang w:val="en-US"/>
        </w:rPr>
        <w:t>Alsant</w:t>
      </w:r>
      <w:proofErr w:type="spellEnd"/>
      <w:r w:rsidRPr="007745AD">
        <w:rPr>
          <w:lang w:val="en-US"/>
        </w:rPr>
        <w:t xml:space="preserve"> Hulme of Sutton, widow, 1731</w:t>
      </w:r>
      <w:r w:rsidRPr="007745AD">
        <w:t> </w:t>
      </w:r>
    </w:p>
    <w:p w14:paraId="62DE21F5" w14:textId="77777777" w:rsidR="009D4C90" w:rsidRPr="007745AD" w:rsidRDefault="009D4C90" w:rsidP="007745AD">
      <w:pPr>
        <w:spacing w:after="240" w:line="240" w:lineRule="auto"/>
        <w:jc w:val="both"/>
      </w:pPr>
      <w:r w:rsidRPr="007745AD">
        <w:rPr>
          <w:lang w:val="en-US"/>
        </w:rPr>
        <w:t xml:space="preserve">WS 1734, Inventory of Peter Hall of Butley, </w:t>
      </w:r>
      <w:proofErr w:type="gramStart"/>
      <w:r w:rsidRPr="007745AD">
        <w:rPr>
          <w:lang w:val="en-US"/>
        </w:rPr>
        <w:t>yeoman</w:t>
      </w:r>
      <w:proofErr w:type="gramEnd"/>
      <w:r w:rsidRPr="007745AD">
        <w:rPr>
          <w:lang w:val="en-US"/>
        </w:rPr>
        <w:t>, 1733</w:t>
      </w:r>
      <w:r w:rsidRPr="007745AD">
        <w:t> </w:t>
      </w:r>
    </w:p>
    <w:p w14:paraId="7EC9A212" w14:textId="77777777" w:rsidR="009D4C90" w:rsidRPr="007745AD" w:rsidRDefault="009D4C90" w:rsidP="007745AD">
      <w:pPr>
        <w:spacing w:after="240" w:line="240" w:lineRule="auto"/>
        <w:jc w:val="both"/>
      </w:pPr>
      <w:r w:rsidRPr="007745AD">
        <w:rPr>
          <w:lang w:val="en-US"/>
        </w:rPr>
        <w:t>WS 1741, Inventory of Roger Broadhurst of Sutton, blacksmith, 1741</w:t>
      </w:r>
      <w:r w:rsidRPr="007745AD">
        <w:t> </w:t>
      </w:r>
    </w:p>
    <w:p w14:paraId="185B863A" w14:textId="77777777" w:rsidR="009D4C90" w:rsidRPr="007745AD" w:rsidRDefault="009D4C90" w:rsidP="007745AD">
      <w:pPr>
        <w:spacing w:after="240" w:line="240" w:lineRule="auto"/>
        <w:jc w:val="both"/>
      </w:pPr>
      <w:r w:rsidRPr="007745AD">
        <w:rPr>
          <w:lang w:val="en-US"/>
        </w:rPr>
        <w:t xml:space="preserve">WS 1742, Will of John Johnson of Sutton, </w:t>
      </w:r>
      <w:proofErr w:type="gramStart"/>
      <w:r w:rsidRPr="007745AD">
        <w:rPr>
          <w:lang w:val="en-US"/>
        </w:rPr>
        <w:t>yeoman</w:t>
      </w:r>
      <w:proofErr w:type="gramEnd"/>
      <w:r w:rsidRPr="007745AD">
        <w:rPr>
          <w:lang w:val="en-US"/>
        </w:rPr>
        <w:t>, 1742</w:t>
      </w:r>
      <w:r w:rsidRPr="007745AD">
        <w:t> </w:t>
      </w:r>
    </w:p>
    <w:p w14:paraId="0A3911F3" w14:textId="77777777" w:rsidR="009D4C90" w:rsidRPr="007745AD" w:rsidRDefault="009D4C90" w:rsidP="007745AD">
      <w:pPr>
        <w:spacing w:after="240" w:line="240" w:lineRule="auto"/>
        <w:jc w:val="both"/>
      </w:pPr>
      <w:r w:rsidRPr="007745AD">
        <w:rPr>
          <w:lang w:val="en-US"/>
        </w:rPr>
        <w:t>WS 1749, Will of Thomas Mason of Sutton, husbandman, 1748</w:t>
      </w:r>
      <w:r w:rsidRPr="007745AD">
        <w:t> </w:t>
      </w:r>
    </w:p>
    <w:p w14:paraId="4A725791" w14:textId="77777777" w:rsidR="009D4C90" w:rsidRPr="007745AD" w:rsidRDefault="009D4C90" w:rsidP="007745AD">
      <w:pPr>
        <w:spacing w:after="240" w:line="240" w:lineRule="auto"/>
        <w:jc w:val="both"/>
      </w:pPr>
      <w:r w:rsidRPr="007745AD">
        <w:rPr>
          <w:lang w:val="en-US"/>
        </w:rPr>
        <w:lastRenderedPageBreak/>
        <w:t>WS 1759, Will of James Crowther of Catworth, Huntindonshire, clerk, 1755</w:t>
      </w:r>
      <w:r w:rsidRPr="007745AD">
        <w:t> </w:t>
      </w:r>
    </w:p>
    <w:p w14:paraId="1F9629AC" w14:textId="77777777" w:rsidR="009D4C90" w:rsidRPr="007745AD" w:rsidRDefault="009D4C90" w:rsidP="007745AD">
      <w:pPr>
        <w:spacing w:after="240" w:line="240" w:lineRule="auto"/>
        <w:jc w:val="both"/>
      </w:pPr>
      <w:r w:rsidRPr="007745AD">
        <w:rPr>
          <w:lang w:val="en-US"/>
        </w:rPr>
        <w:t>WS 1774, Will of William Brocklehurst of Kettleshulme, yeoman, 1770</w:t>
      </w:r>
      <w:r w:rsidRPr="007745AD">
        <w:t> </w:t>
      </w:r>
    </w:p>
    <w:p w14:paraId="3894D800" w14:textId="77777777" w:rsidR="009C340F" w:rsidRDefault="009C340F" w:rsidP="00101B5F">
      <w:pPr>
        <w:spacing w:after="240" w:line="240" w:lineRule="auto"/>
        <w:jc w:val="both"/>
      </w:pPr>
    </w:p>
    <w:p w14:paraId="225AC69C" w14:textId="77777777" w:rsidR="008255ED" w:rsidRPr="008255ED" w:rsidRDefault="008255ED" w:rsidP="008255ED">
      <w:pPr>
        <w:spacing w:after="240" w:line="240" w:lineRule="auto"/>
        <w:jc w:val="both"/>
      </w:pPr>
      <w:r w:rsidRPr="008255ED">
        <w:rPr>
          <w:b/>
          <w:bCs/>
          <w:lang w:val="en-US"/>
        </w:rPr>
        <w:t>Cumbria Archives</w:t>
      </w:r>
      <w:r w:rsidRPr="008255ED">
        <w:t> </w:t>
      </w:r>
    </w:p>
    <w:p w14:paraId="0F821C3A" w14:textId="77777777" w:rsidR="008255ED" w:rsidRPr="008255ED" w:rsidRDefault="008255ED" w:rsidP="008255ED">
      <w:pPr>
        <w:spacing w:after="240" w:line="240" w:lineRule="auto"/>
        <w:jc w:val="both"/>
      </w:pPr>
      <w:r w:rsidRPr="008255ED">
        <w:rPr>
          <w:lang w:val="en-US"/>
        </w:rPr>
        <w:t xml:space="preserve">BPR 21/I/4, Parish Register of St Cuthbert’s Church, </w:t>
      </w:r>
      <w:proofErr w:type="spellStart"/>
      <w:r w:rsidRPr="008255ED">
        <w:rPr>
          <w:lang w:val="en-US"/>
        </w:rPr>
        <w:t>Aldingham</w:t>
      </w:r>
      <w:proofErr w:type="spellEnd"/>
      <w:r w:rsidRPr="008255ED">
        <w:rPr>
          <w:lang w:val="en-US"/>
        </w:rPr>
        <w:t>, 1734-1755</w:t>
      </w:r>
      <w:r w:rsidRPr="008255ED">
        <w:t> </w:t>
      </w:r>
    </w:p>
    <w:p w14:paraId="41309425" w14:textId="77777777" w:rsidR="008255ED" w:rsidRDefault="008255ED" w:rsidP="00101B5F">
      <w:pPr>
        <w:spacing w:after="240" w:line="240" w:lineRule="auto"/>
        <w:jc w:val="both"/>
      </w:pPr>
    </w:p>
    <w:p w14:paraId="012D2429" w14:textId="77777777" w:rsidR="008255ED" w:rsidRPr="008255ED" w:rsidRDefault="008255ED" w:rsidP="008255ED">
      <w:pPr>
        <w:spacing w:after="240" w:line="240" w:lineRule="auto"/>
        <w:jc w:val="both"/>
      </w:pPr>
      <w:r w:rsidRPr="008255ED">
        <w:rPr>
          <w:b/>
          <w:bCs/>
          <w:lang w:val="en-US"/>
        </w:rPr>
        <w:t>Gap House</w:t>
      </w:r>
      <w:r w:rsidRPr="008255ED">
        <w:t> </w:t>
      </w:r>
    </w:p>
    <w:p w14:paraId="6F7EFCB6" w14:textId="77777777" w:rsidR="00FD7C00" w:rsidRPr="008255ED" w:rsidRDefault="00FD7C00" w:rsidP="008255ED">
      <w:pPr>
        <w:spacing w:after="240" w:line="240" w:lineRule="auto"/>
        <w:jc w:val="both"/>
      </w:pPr>
      <w:r w:rsidRPr="008255ED">
        <w:rPr>
          <w:lang w:val="en-US"/>
        </w:rPr>
        <w:t>Admission of George Brocklehurst into the Halmote Court for the Manor and Forest of Macclesfield, 1651</w:t>
      </w:r>
      <w:r w:rsidRPr="008255ED">
        <w:t> </w:t>
      </w:r>
    </w:p>
    <w:p w14:paraId="75B1C069" w14:textId="77777777" w:rsidR="00FD7C00" w:rsidRPr="008255ED" w:rsidRDefault="00FD7C00" w:rsidP="008255ED">
      <w:pPr>
        <w:spacing w:after="240" w:line="240" w:lineRule="auto"/>
        <w:jc w:val="both"/>
      </w:pPr>
      <w:r w:rsidRPr="008255ED">
        <w:rPr>
          <w:lang w:val="en-US"/>
        </w:rPr>
        <w:t>Memorandum, 24 November 1612</w:t>
      </w:r>
      <w:r w:rsidRPr="008255ED">
        <w:t> </w:t>
      </w:r>
    </w:p>
    <w:p w14:paraId="3F2F645F" w14:textId="77777777" w:rsidR="00FD7C00" w:rsidRPr="008255ED" w:rsidRDefault="00FD7C00" w:rsidP="008255ED">
      <w:pPr>
        <w:spacing w:after="240" w:line="240" w:lineRule="auto"/>
        <w:jc w:val="both"/>
      </w:pPr>
      <w:r w:rsidRPr="008255ED">
        <w:rPr>
          <w:lang w:val="en-US"/>
        </w:rPr>
        <w:t>Surrender of land in Kettleshulme to George Brocklehurst, 7 April 1623</w:t>
      </w:r>
      <w:r w:rsidRPr="008255ED">
        <w:t> </w:t>
      </w:r>
    </w:p>
    <w:p w14:paraId="182A5D77" w14:textId="77777777" w:rsidR="00FD7C00" w:rsidRPr="008255ED" w:rsidRDefault="00FD7C00" w:rsidP="008255ED">
      <w:pPr>
        <w:spacing w:after="240" w:line="240" w:lineRule="auto"/>
        <w:jc w:val="both"/>
      </w:pPr>
      <w:r w:rsidRPr="008255ED">
        <w:rPr>
          <w:lang w:val="en-US"/>
        </w:rPr>
        <w:t>Will of George Brocklehurst of Kettleshulme, yeoman, 1748</w:t>
      </w:r>
      <w:r w:rsidRPr="008255ED">
        <w:t> </w:t>
      </w:r>
    </w:p>
    <w:p w14:paraId="5937CACB" w14:textId="77777777" w:rsidR="008255ED" w:rsidRDefault="008255ED" w:rsidP="00101B5F">
      <w:pPr>
        <w:spacing w:after="240" w:line="240" w:lineRule="auto"/>
        <w:jc w:val="both"/>
      </w:pPr>
    </w:p>
    <w:p w14:paraId="544DEF60" w14:textId="77777777" w:rsidR="008255ED" w:rsidRPr="008255ED" w:rsidRDefault="008255ED" w:rsidP="008255ED">
      <w:pPr>
        <w:spacing w:after="240" w:line="240" w:lineRule="auto"/>
        <w:jc w:val="both"/>
      </w:pPr>
      <w:r w:rsidRPr="008255ED">
        <w:rPr>
          <w:b/>
          <w:bCs/>
          <w:lang w:val="en-US"/>
        </w:rPr>
        <w:t>Kendal Record Office </w:t>
      </w:r>
      <w:r w:rsidRPr="008255ED">
        <w:t> </w:t>
      </w:r>
    </w:p>
    <w:p w14:paraId="4CE52990" w14:textId="77777777" w:rsidR="008255ED" w:rsidRPr="008255ED" w:rsidRDefault="008255ED" w:rsidP="008255ED">
      <w:pPr>
        <w:spacing w:after="240" w:line="240" w:lineRule="auto"/>
        <w:jc w:val="both"/>
      </w:pPr>
      <w:r w:rsidRPr="008255ED">
        <w:rPr>
          <w:lang w:val="en-US"/>
        </w:rPr>
        <w:t>WPR 8, Parish Register of St Peter’s Church, Heversham, 1605-1956</w:t>
      </w:r>
      <w:r w:rsidRPr="008255ED">
        <w:t> </w:t>
      </w:r>
    </w:p>
    <w:p w14:paraId="3DAED731" w14:textId="77777777" w:rsidR="008255ED" w:rsidRDefault="008255ED" w:rsidP="00101B5F">
      <w:pPr>
        <w:spacing w:after="240" w:line="240" w:lineRule="auto"/>
        <w:jc w:val="both"/>
      </w:pPr>
    </w:p>
    <w:p w14:paraId="135AC7F9" w14:textId="77777777" w:rsidR="009D4C90" w:rsidRPr="009D4C90" w:rsidRDefault="009D4C90" w:rsidP="009D4C90">
      <w:pPr>
        <w:spacing w:after="240" w:line="240" w:lineRule="auto"/>
        <w:jc w:val="both"/>
      </w:pPr>
      <w:r w:rsidRPr="009D4C90">
        <w:rPr>
          <w:b/>
          <w:bCs/>
          <w:lang w:val="en-US"/>
        </w:rPr>
        <w:t>Lancashire Archives</w:t>
      </w:r>
      <w:r w:rsidRPr="009D4C90">
        <w:t> </w:t>
      </w:r>
    </w:p>
    <w:p w14:paraId="05C161DD" w14:textId="0D1EFDE7" w:rsidR="00FD7C00" w:rsidRPr="009D4C90" w:rsidRDefault="00FD7C00" w:rsidP="009D4C90">
      <w:pPr>
        <w:spacing w:after="240" w:line="240" w:lineRule="auto"/>
        <w:jc w:val="both"/>
      </w:pPr>
      <w:r w:rsidRPr="009D4C90">
        <w:rPr>
          <w:lang w:val="en-US"/>
        </w:rPr>
        <w:t xml:space="preserve">ARR/2/4/10/111, Tithe </w:t>
      </w:r>
      <w:r w:rsidR="001B470F">
        <w:rPr>
          <w:lang w:val="en-US"/>
        </w:rPr>
        <w:t>D</w:t>
      </w:r>
      <w:r w:rsidRPr="009D4C90">
        <w:rPr>
          <w:lang w:val="en-US"/>
        </w:rPr>
        <w:t xml:space="preserve">ispute, </w:t>
      </w:r>
      <w:r w:rsidR="00803506">
        <w:rPr>
          <w:lang w:val="en-US"/>
        </w:rPr>
        <w:t xml:space="preserve">Archdeaconry of Richmond, </w:t>
      </w:r>
      <w:r w:rsidRPr="009D4C90">
        <w:rPr>
          <w:lang w:val="en-US"/>
        </w:rPr>
        <w:t>1721-1</w:t>
      </w:r>
      <w:r w:rsidRPr="009D4C90">
        <w:t> </w:t>
      </w:r>
    </w:p>
    <w:p w14:paraId="66D41ABF" w14:textId="21A941C7" w:rsidR="00FD7C00" w:rsidRPr="009D4C90" w:rsidRDefault="00FD7C00" w:rsidP="009D4C90">
      <w:pPr>
        <w:spacing w:after="240" w:line="240" w:lineRule="auto"/>
        <w:jc w:val="both"/>
      </w:pPr>
      <w:r w:rsidRPr="009D4C90">
        <w:rPr>
          <w:lang w:val="en-US"/>
        </w:rPr>
        <w:t>ARR/37/97/2, Testimonial Letters</w:t>
      </w:r>
      <w:r w:rsidR="004D2247" w:rsidRPr="004D2247">
        <w:t xml:space="preserve"> for James Smith, Rector of Halton,</w:t>
      </w:r>
      <w:r w:rsidRPr="009D4C90">
        <w:rPr>
          <w:lang w:val="en-US"/>
        </w:rPr>
        <w:t xml:space="preserve"> 1705</w:t>
      </w:r>
      <w:r w:rsidRPr="009D4C90">
        <w:t> </w:t>
      </w:r>
    </w:p>
    <w:p w14:paraId="72130BD1" w14:textId="77777777" w:rsidR="00FD7C00" w:rsidRPr="009D4C90" w:rsidRDefault="00FD7C00" w:rsidP="009D4C90">
      <w:pPr>
        <w:spacing w:after="240" w:line="240" w:lineRule="auto"/>
        <w:jc w:val="both"/>
      </w:pPr>
      <w:r w:rsidRPr="009D4C90">
        <w:rPr>
          <w:lang w:val="en-US"/>
        </w:rPr>
        <w:t>DDC/73, Conveyance for surrender and sale between Francis Ashton of Hest Bank, yeoman, and Henry Coward of Lancaster, ironmonger, 15 February 1686</w:t>
      </w:r>
      <w:r w:rsidRPr="009D4C90">
        <w:t> </w:t>
      </w:r>
    </w:p>
    <w:p w14:paraId="5FB9497C" w14:textId="77777777" w:rsidR="00FD7C00" w:rsidRPr="009D4C90" w:rsidRDefault="00FD7C00" w:rsidP="009D4C90">
      <w:pPr>
        <w:spacing w:after="240" w:line="240" w:lineRule="auto"/>
        <w:jc w:val="both"/>
      </w:pPr>
      <w:r w:rsidRPr="009D4C90">
        <w:rPr>
          <w:lang w:val="en-US"/>
        </w:rPr>
        <w:t>DDC/74, Conveyance for surrender and sale between Francis Ashton of Hest Bank, yeoman, and Jane Drinkall of Warton, widow, 8 October 1687</w:t>
      </w:r>
      <w:r w:rsidRPr="009D4C90">
        <w:t> </w:t>
      </w:r>
    </w:p>
    <w:p w14:paraId="6244FDED" w14:textId="77777777" w:rsidR="00FD7C00" w:rsidRPr="009D4C90" w:rsidRDefault="00FD7C00" w:rsidP="009D4C90">
      <w:pPr>
        <w:spacing w:after="240" w:line="240" w:lineRule="auto"/>
        <w:jc w:val="both"/>
      </w:pPr>
      <w:r w:rsidRPr="009D4C90">
        <w:rPr>
          <w:lang w:val="en-US"/>
        </w:rPr>
        <w:t>DDGR Box C1, Letters to the Greene family at Slyne, 1706-1776</w:t>
      </w:r>
      <w:r w:rsidRPr="009D4C90">
        <w:t> </w:t>
      </w:r>
    </w:p>
    <w:p w14:paraId="0BCE4BCF" w14:textId="77777777" w:rsidR="00FD7C00" w:rsidRPr="009D4C90" w:rsidRDefault="00FD7C00" w:rsidP="009D4C90">
      <w:pPr>
        <w:spacing w:after="240" w:line="240" w:lineRule="auto"/>
        <w:jc w:val="both"/>
      </w:pPr>
      <w:r w:rsidRPr="009D4C90">
        <w:rPr>
          <w:lang w:val="en-US"/>
        </w:rPr>
        <w:t>PR 2784, Parish Register of St Wilfrid’s Church, Halton, 1754-1812</w:t>
      </w:r>
      <w:r w:rsidRPr="009D4C90">
        <w:t> </w:t>
      </w:r>
    </w:p>
    <w:p w14:paraId="043F0E75" w14:textId="77777777" w:rsidR="00FD7C00" w:rsidRPr="009D4C90" w:rsidRDefault="00FD7C00" w:rsidP="009D4C90">
      <w:pPr>
        <w:spacing w:after="240" w:line="240" w:lineRule="auto"/>
        <w:jc w:val="both"/>
      </w:pPr>
      <w:r w:rsidRPr="009D4C90">
        <w:rPr>
          <w:lang w:val="en-US"/>
        </w:rPr>
        <w:t>PR 3262/1/1, Parish Register of St Mary’s Church, Lancaster, 1599-1691</w:t>
      </w:r>
      <w:r w:rsidRPr="009D4C90">
        <w:t> </w:t>
      </w:r>
    </w:p>
    <w:p w14:paraId="021A5235" w14:textId="77777777" w:rsidR="00FD7C00" w:rsidRPr="009D4C90" w:rsidRDefault="00FD7C00" w:rsidP="009D4C90">
      <w:pPr>
        <w:spacing w:after="240" w:line="240" w:lineRule="auto"/>
        <w:jc w:val="both"/>
      </w:pPr>
      <w:r w:rsidRPr="009D4C90">
        <w:rPr>
          <w:lang w:val="en-US"/>
        </w:rPr>
        <w:t>PR 3315/1/1, Parish Register of Holy Trinity Church, Bolton-le-Sands, 1642-1737</w:t>
      </w:r>
      <w:r w:rsidRPr="009D4C90">
        <w:t> </w:t>
      </w:r>
    </w:p>
    <w:p w14:paraId="46D07B78" w14:textId="77777777" w:rsidR="00FD7C00" w:rsidRPr="009D4C90" w:rsidRDefault="00FD7C00" w:rsidP="009D4C90">
      <w:pPr>
        <w:spacing w:after="240" w:line="240" w:lineRule="auto"/>
        <w:jc w:val="both"/>
      </w:pPr>
      <w:r w:rsidRPr="009D4C90">
        <w:rPr>
          <w:lang w:val="en-US"/>
        </w:rPr>
        <w:lastRenderedPageBreak/>
        <w:t>PR 3315/1/8, Parish Register of Holy Trinity Church, Bolton-le-Sands, 1754-1811</w:t>
      </w:r>
      <w:r w:rsidRPr="009D4C90">
        <w:t> </w:t>
      </w:r>
    </w:p>
    <w:p w14:paraId="471D779F" w14:textId="77777777" w:rsidR="00FD7C00" w:rsidRPr="009D4C90" w:rsidRDefault="00FD7C00" w:rsidP="009D4C90">
      <w:pPr>
        <w:spacing w:after="240" w:line="240" w:lineRule="auto"/>
        <w:jc w:val="both"/>
      </w:pPr>
      <w:r w:rsidRPr="009D4C90">
        <w:rPr>
          <w:lang w:val="en-US"/>
        </w:rPr>
        <w:t>PR 3328, Parish Register of St Cuthbert’s Church, Over Kellet, 1653-1812</w:t>
      </w:r>
      <w:r w:rsidRPr="009D4C90">
        <w:t> </w:t>
      </w:r>
    </w:p>
    <w:p w14:paraId="5082F51D" w14:textId="77777777" w:rsidR="00FD7C00" w:rsidRPr="009D4C90" w:rsidRDefault="00FD7C00" w:rsidP="009D4C90">
      <w:pPr>
        <w:spacing w:after="240" w:line="240" w:lineRule="auto"/>
        <w:jc w:val="both"/>
      </w:pPr>
      <w:r w:rsidRPr="009D4C90">
        <w:rPr>
          <w:lang w:val="en-US"/>
        </w:rPr>
        <w:t>QSJ 8/14/3, Sacrament Certificate, 18 April 1680</w:t>
      </w:r>
      <w:r w:rsidRPr="009D4C90">
        <w:t> </w:t>
      </w:r>
    </w:p>
    <w:p w14:paraId="4B023805" w14:textId="77777777" w:rsidR="00FD7C00" w:rsidRPr="009D4C90" w:rsidRDefault="00FD7C00" w:rsidP="009D4C90">
      <w:pPr>
        <w:spacing w:after="240" w:line="240" w:lineRule="auto"/>
        <w:jc w:val="both"/>
      </w:pPr>
      <w:r w:rsidRPr="009D4C90">
        <w:rPr>
          <w:lang w:val="en-US"/>
        </w:rPr>
        <w:t>QSJ 8/14/75, Sacrament Certificate, 26 December 1680</w:t>
      </w:r>
      <w:r w:rsidRPr="009D4C90">
        <w:t> </w:t>
      </w:r>
    </w:p>
    <w:p w14:paraId="2F2BF388" w14:textId="77777777" w:rsidR="00FD7C00" w:rsidRPr="009D4C90" w:rsidRDefault="00FD7C00" w:rsidP="009D4C90">
      <w:pPr>
        <w:spacing w:after="240" w:line="240" w:lineRule="auto"/>
        <w:jc w:val="both"/>
      </w:pPr>
      <w:r w:rsidRPr="009D4C90">
        <w:rPr>
          <w:lang w:val="en-US"/>
        </w:rPr>
        <w:t>QSJ 8/22/1, Sacrament Certificate, 2 January 1686</w:t>
      </w:r>
      <w:r w:rsidRPr="009D4C90">
        <w:t> </w:t>
      </w:r>
    </w:p>
    <w:p w14:paraId="442A6878" w14:textId="77777777" w:rsidR="00FD7C00" w:rsidRPr="009D4C90" w:rsidRDefault="00FD7C00" w:rsidP="009D4C90">
      <w:pPr>
        <w:spacing w:after="240" w:line="240" w:lineRule="auto"/>
        <w:jc w:val="both"/>
      </w:pPr>
      <w:r w:rsidRPr="009D4C90">
        <w:rPr>
          <w:lang w:val="en-US"/>
        </w:rPr>
        <w:t>QSJ/8/22/1, Lancashire Quarter Sessions, Sacrament Certificate, 26 December 1686</w:t>
      </w:r>
      <w:r w:rsidRPr="009D4C90">
        <w:t> </w:t>
      </w:r>
    </w:p>
    <w:p w14:paraId="29F6A90C" w14:textId="77777777" w:rsidR="00FD7C00" w:rsidRPr="009D4C90" w:rsidRDefault="00FD7C00" w:rsidP="009D4C90">
      <w:pPr>
        <w:spacing w:after="240" w:line="240" w:lineRule="auto"/>
        <w:jc w:val="both"/>
      </w:pPr>
      <w:r w:rsidRPr="009D4C90">
        <w:rPr>
          <w:lang w:val="en-US"/>
        </w:rPr>
        <w:t>QSP/712/11, Summons, 1692</w:t>
      </w:r>
      <w:r w:rsidRPr="009D4C90">
        <w:t> </w:t>
      </w:r>
    </w:p>
    <w:p w14:paraId="76C008F3" w14:textId="77777777" w:rsidR="00FD7C00" w:rsidRPr="009D4C90" w:rsidRDefault="00FD7C00" w:rsidP="009D4C90">
      <w:pPr>
        <w:spacing w:after="240" w:line="240" w:lineRule="auto"/>
        <w:jc w:val="both"/>
      </w:pPr>
      <w:r w:rsidRPr="009D4C90">
        <w:rPr>
          <w:lang w:val="en-US"/>
        </w:rPr>
        <w:t>WCW/Supra/C384/75, Will of Thomas Crowther of Heaton Norris, chapman, 1742</w:t>
      </w:r>
      <w:r w:rsidRPr="009D4C90">
        <w:t> </w:t>
      </w:r>
    </w:p>
    <w:p w14:paraId="40243914" w14:textId="77777777" w:rsidR="00FD7C00" w:rsidRPr="009D4C90" w:rsidRDefault="00FD7C00" w:rsidP="009D4C90">
      <w:pPr>
        <w:spacing w:after="240" w:line="240" w:lineRule="auto"/>
        <w:jc w:val="both"/>
      </w:pPr>
      <w:r w:rsidRPr="009D4C90">
        <w:rPr>
          <w:lang w:val="en-US"/>
        </w:rPr>
        <w:t>WRW/A/R45A/32, Will of Robert Hawthornthwaite of Scorton, Garstang, 1686</w:t>
      </w:r>
      <w:r w:rsidRPr="009D4C90">
        <w:t> </w:t>
      </w:r>
    </w:p>
    <w:p w14:paraId="48AE9632" w14:textId="77777777" w:rsidR="00FD7C00" w:rsidRPr="009D4C90" w:rsidRDefault="00FD7C00" w:rsidP="009D4C90">
      <w:pPr>
        <w:spacing w:after="240" w:line="240" w:lineRule="auto"/>
        <w:jc w:val="both"/>
      </w:pPr>
      <w:r w:rsidRPr="009D4C90">
        <w:rPr>
          <w:lang w:val="en-US"/>
        </w:rPr>
        <w:t>WRW/K/R409/B/48, Inventory of John Blackbourne of Over Kellet, yeoman, 1651</w:t>
      </w:r>
      <w:r w:rsidRPr="009D4C90">
        <w:t> </w:t>
      </w:r>
    </w:p>
    <w:p w14:paraId="6CC4E583" w14:textId="77777777" w:rsidR="00FD7C00" w:rsidRPr="009D4C90" w:rsidRDefault="00FD7C00" w:rsidP="009D4C90">
      <w:pPr>
        <w:spacing w:after="240" w:line="240" w:lineRule="auto"/>
        <w:jc w:val="both"/>
      </w:pPr>
      <w:r w:rsidRPr="009D4C90">
        <w:rPr>
          <w:lang w:val="en-US"/>
        </w:rPr>
        <w:t>WRW/K/R410C/41, Inventory of John Bruce of Bolton-le-Sands, webster, 1664</w:t>
      </w:r>
      <w:r w:rsidRPr="009D4C90">
        <w:t> </w:t>
      </w:r>
    </w:p>
    <w:p w14:paraId="58A5BB43" w14:textId="77777777" w:rsidR="00FD7C00" w:rsidRPr="009D4C90" w:rsidRDefault="00FD7C00" w:rsidP="009D4C90">
      <w:pPr>
        <w:spacing w:after="240" w:line="240" w:lineRule="auto"/>
        <w:jc w:val="both"/>
      </w:pPr>
      <w:r w:rsidRPr="009D4C90">
        <w:rPr>
          <w:lang w:val="en-US"/>
        </w:rPr>
        <w:t>WRW/K/R412A/42, Inventory of James Bell of Over Kellet, yeoman, 1682</w:t>
      </w:r>
      <w:r w:rsidRPr="009D4C90">
        <w:t> </w:t>
      </w:r>
    </w:p>
    <w:p w14:paraId="690DF019" w14:textId="77777777" w:rsidR="00FD7C00" w:rsidRPr="009D4C90" w:rsidRDefault="00FD7C00" w:rsidP="009D4C90">
      <w:pPr>
        <w:spacing w:after="240" w:line="240" w:lineRule="auto"/>
        <w:jc w:val="both"/>
      </w:pPr>
      <w:r w:rsidRPr="009D4C90">
        <w:rPr>
          <w:lang w:val="en-US"/>
        </w:rPr>
        <w:t xml:space="preserve">WRW/K/R413A/10, Inventory of Richard Barker of </w:t>
      </w:r>
      <w:proofErr w:type="spellStart"/>
      <w:r w:rsidRPr="009D4C90">
        <w:rPr>
          <w:lang w:val="en-US"/>
        </w:rPr>
        <w:t>Thwayte</w:t>
      </w:r>
      <w:proofErr w:type="spellEnd"/>
      <w:r w:rsidRPr="009D4C90">
        <w:rPr>
          <w:lang w:val="en-US"/>
        </w:rPr>
        <w:t xml:space="preserve"> End, occupation N/A, 1694</w:t>
      </w:r>
      <w:r w:rsidRPr="009D4C90">
        <w:t> </w:t>
      </w:r>
    </w:p>
    <w:p w14:paraId="56C0EB76" w14:textId="77777777" w:rsidR="00FD7C00" w:rsidRPr="009D4C90" w:rsidRDefault="00FD7C00" w:rsidP="009D4C90">
      <w:pPr>
        <w:spacing w:after="240" w:line="240" w:lineRule="auto"/>
        <w:jc w:val="both"/>
      </w:pPr>
      <w:r w:rsidRPr="009D4C90">
        <w:rPr>
          <w:lang w:val="en-US"/>
        </w:rPr>
        <w:t>WRW/K/R414A/10, Inventory of Isabell Barker o of Bolton-le-Sands, widow, 1703</w:t>
      </w:r>
      <w:r w:rsidRPr="009D4C90">
        <w:t> </w:t>
      </w:r>
    </w:p>
    <w:p w14:paraId="4215FBCA" w14:textId="77777777" w:rsidR="00FD7C00" w:rsidRPr="009D4C90" w:rsidRDefault="00FD7C00" w:rsidP="009D4C90">
      <w:pPr>
        <w:spacing w:after="240" w:line="240" w:lineRule="auto"/>
        <w:jc w:val="both"/>
      </w:pPr>
      <w:r w:rsidRPr="009D4C90">
        <w:rPr>
          <w:lang w:val="en-US"/>
        </w:rPr>
        <w:t>WRW/K/R415A/11, Inventory of John Barker of Thwaite End, Bolton-le-Sands, husbandman, 1716</w:t>
      </w:r>
      <w:r w:rsidRPr="009D4C90">
        <w:t> </w:t>
      </w:r>
    </w:p>
    <w:p w14:paraId="606939C4" w14:textId="77777777" w:rsidR="00FD7C00" w:rsidRPr="009D4C90" w:rsidRDefault="00FD7C00" w:rsidP="009D4C90">
      <w:pPr>
        <w:spacing w:after="240" w:line="240" w:lineRule="auto"/>
        <w:jc w:val="both"/>
      </w:pPr>
      <w:r w:rsidRPr="009D4C90">
        <w:rPr>
          <w:lang w:val="en-US"/>
        </w:rPr>
        <w:t xml:space="preserve">WRW/K/R415A/49, Will of Christopher Bell of Over Kellet, </w:t>
      </w:r>
      <w:proofErr w:type="gramStart"/>
      <w:r w:rsidRPr="009D4C90">
        <w:rPr>
          <w:lang w:val="en-US"/>
        </w:rPr>
        <w:t>yeoman</w:t>
      </w:r>
      <w:proofErr w:type="gramEnd"/>
      <w:r w:rsidRPr="009D4C90">
        <w:rPr>
          <w:lang w:val="en-US"/>
        </w:rPr>
        <w:t>, 1723</w:t>
      </w:r>
      <w:r w:rsidRPr="009D4C90">
        <w:t> </w:t>
      </w:r>
    </w:p>
    <w:p w14:paraId="3FD9F5AF" w14:textId="77777777" w:rsidR="00FD7C00" w:rsidRPr="009D4C90" w:rsidRDefault="00FD7C00" w:rsidP="009D4C90">
      <w:pPr>
        <w:spacing w:after="240" w:line="240" w:lineRule="auto"/>
        <w:jc w:val="both"/>
      </w:pPr>
      <w:r w:rsidRPr="009D4C90">
        <w:rPr>
          <w:lang w:val="en-US"/>
        </w:rPr>
        <w:t xml:space="preserve">WRW/K/R416B/21, Inventory of Nathan </w:t>
      </w:r>
      <w:proofErr w:type="spellStart"/>
      <w:r w:rsidRPr="009D4C90">
        <w:rPr>
          <w:lang w:val="en-US"/>
        </w:rPr>
        <w:t>Bethom</w:t>
      </w:r>
      <w:proofErr w:type="spellEnd"/>
      <w:r w:rsidRPr="009D4C90">
        <w:rPr>
          <w:lang w:val="en-US"/>
        </w:rPr>
        <w:t xml:space="preserve"> of Bolton-le-Sands, yeoman, 1735</w:t>
      </w:r>
      <w:r w:rsidRPr="009D4C90">
        <w:t> </w:t>
      </w:r>
    </w:p>
    <w:p w14:paraId="27B3207A" w14:textId="77777777" w:rsidR="00FD7C00" w:rsidRPr="009D4C90" w:rsidRDefault="00FD7C00" w:rsidP="009D4C90">
      <w:pPr>
        <w:spacing w:after="240" w:line="240" w:lineRule="auto"/>
        <w:jc w:val="both"/>
      </w:pPr>
      <w:r w:rsidRPr="009D4C90">
        <w:rPr>
          <w:lang w:val="en-US"/>
        </w:rPr>
        <w:t xml:space="preserve">WRW/K/R428B/5, Will of Isabell </w:t>
      </w:r>
      <w:proofErr w:type="spellStart"/>
      <w:r w:rsidRPr="009D4C90">
        <w:rPr>
          <w:lang w:val="en-US"/>
        </w:rPr>
        <w:t>Dickonson</w:t>
      </w:r>
      <w:proofErr w:type="spellEnd"/>
      <w:r w:rsidRPr="009D4C90">
        <w:rPr>
          <w:lang w:val="en-US"/>
        </w:rPr>
        <w:t xml:space="preserve"> of Bolton-le-Sands, widow, 1729</w:t>
      </w:r>
      <w:r w:rsidRPr="009D4C90">
        <w:t> </w:t>
      </w:r>
    </w:p>
    <w:p w14:paraId="1DF1C35C" w14:textId="77777777" w:rsidR="00FD7C00" w:rsidRPr="009D4C90" w:rsidRDefault="00FD7C00" w:rsidP="009D4C90">
      <w:pPr>
        <w:spacing w:after="240" w:line="240" w:lineRule="auto"/>
        <w:jc w:val="both"/>
      </w:pPr>
      <w:r w:rsidRPr="009D4C90">
        <w:rPr>
          <w:lang w:val="en-US"/>
        </w:rPr>
        <w:t xml:space="preserve">WRW/K/R436A/61, Will of Robert Gibson of Over Kellet, </w:t>
      </w:r>
      <w:proofErr w:type="gramStart"/>
      <w:r w:rsidRPr="009D4C90">
        <w:rPr>
          <w:lang w:val="en-US"/>
        </w:rPr>
        <w:t>yeoman</w:t>
      </w:r>
      <w:proofErr w:type="gramEnd"/>
      <w:r w:rsidRPr="009D4C90">
        <w:rPr>
          <w:lang w:val="en-US"/>
        </w:rPr>
        <w:t>, 1725</w:t>
      </w:r>
      <w:r w:rsidRPr="009D4C90">
        <w:t> </w:t>
      </w:r>
    </w:p>
    <w:p w14:paraId="5EE06E7F" w14:textId="77777777" w:rsidR="00FD7C00" w:rsidRPr="009D4C90" w:rsidRDefault="00FD7C00" w:rsidP="009D4C90">
      <w:pPr>
        <w:spacing w:after="240" w:line="240" w:lineRule="auto"/>
        <w:jc w:val="both"/>
      </w:pPr>
      <w:r w:rsidRPr="009D4C90">
        <w:rPr>
          <w:lang w:val="en-US"/>
        </w:rPr>
        <w:t>WRW/K/R441A/11, Inventory of John Hall of Boulton Holmes, (occupation not given), 1672</w:t>
      </w:r>
      <w:r w:rsidRPr="009D4C90">
        <w:t> </w:t>
      </w:r>
    </w:p>
    <w:p w14:paraId="62FBE250" w14:textId="77777777" w:rsidR="00FD7C00" w:rsidRPr="009D4C90" w:rsidRDefault="00FD7C00" w:rsidP="009D4C90">
      <w:pPr>
        <w:spacing w:after="240" w:line="240" w:lineRule="auto"/>
        <w:jc w:val="both"/>
      </w:pPr>
      <w:r w:rsidRPr="009D4C90">
        <w:rPr>
          <w:lang w:val="en-US"/>
        </w:rPr>
        <w:t>WRW/K/R444/21, Inventory of William Hall of Bolton Holmes, yeoman, 1728</w:t>
      </w:r>
      <w:r w:rsidRPr="009D4C90">
        <w:t> </w:t>
      </w:r>
    </w:p>
    <w:p w14:paraId="742611A4" w14:textId="77777777" w:rsidR="00FD7C00" w:rsidRPr="009D4C90" w:rsidRDefault="00FD7C00" w:rsidP="009D4C90">
      <w:pPr>
        <w:spacing w:after="240" w:line="240" w:lineRule="auto"/>
        <w:jc w:val="both"/>
      </w:pPr>
      <w:r w:rsidRPr="009D4C90">
        <w:rPr>
          <w:lang w:val="en-US"/>
        </w:rPr>
        <w:t>WRW/K/R444/21, Will of William Hall of Bolton Holmes, yeoman, 1727</w:t>
      </w:r>
      <w:r w:rsidRPr="009D4C90">
        <w:t> </w:t>
      </w:r>
    </w:p>
    <w:p w14:paraId="737FC712" w14:textId="77777777" w:rsidR="00FD7C00" w:rsidRPr="009D4C90" w:rsidRDefault="00FD7C00" w:rsidP="009D4C90">
      <w:pPr>
        <w:spacing w:after="240" w:line="240" w:lineRule="auto"/>
        <w:jc w:val="both"/>
      </w:pPr>
      <w:r w:rsidRPr="009D4C90">
        <w:rPr>
          <w:lang w:val="en-US"/>
        </w:rPr>
        <w:t>WRW/K/R448B/29, Inventory of Thomas Jenkinson of Bolton-le-Sands, yeoman, 1684</w:t>
      </w:r>
      <w:r w:rsidRPr="009D4C90">
        <w:t> </w:t>
      </w:r>
    </w:p>
    <w:p w14:paraId="0804FF8B" w14:textId="77777777" w:rsidR="00FD7C00" w:rsidRPr="009D4C90" w:rsidRDefault="00FD7C00" w:rsidP="009D4C90">
      <w:pPr>
        <w:spacing w:after="240" w:line="240" w:lineRule="auto"/>
        <w:jc w:val="both"/>
      </w:pPr>
      <w:r w:rsidRPr="009D4C90">
        <w:rPr>
          <w:lang w:val="en-US"/>
        </w:rPr>
        <w:t>WRW/K/R454A/29, Will of John Leaper of Over Kellet, yeoman, 1666</w:t>
      </w:r>
      <w:r w:rsidRPr="009D4C90">
        <w:t> </w:t>
      </w:r>
    </w:p>
    <w:p w14:paraId="42CC30AB" w14:textId="77777777" w:rsidR="00FD7C00" w:rsidRPr="009D4C90" w:rsidRDefault="00FD7C00" w:rsidP="009D4C90">
      <w:pPr>
        <w:spacing w:after="240" w:line="240" w:lineRule="auto"/>
        <w:jc w:val="both"/>
      </w:pPr>
      <w:r w:rsidRPr="009D4C90">
        <w:rPr>
          <w:lang w:val="en-US"/>
        </w:rPr>
        <w:t>WRW/K/R480C/28, Inventory of Robert Toulnson of Bolton-le-Sands, gentleman, 1677</w:t>
      </w:r>
      <w:r w:rsidRPr="009D4C90">
        <w:t> </w:t>
      </w:r>
    </w:p>
    <w:p w14:paraId="2E73DA4D" w14:textId="77777777" w:rsidR="00FD7C00" w:rsidRPr="009D4C90" w:rsidRDefault="00FD7C00" w:rsidP="009D4C90">
      <w:pPr>
        <w:spacing w:after="240" w:line="240" w:lineRule="auto"/>
        <w:jc w:val="both"/>
      </w:pPr>
      <w:r w:rsidRPr="009D4C90">
        <w:rPr>
          <w:lang w:val="en-US"/>
        </w:rPr>
        <w:t>WRW/K/R490B/37, Inventory of John Wilson of Over Kellet, gentleman, 1706</w:t>
      </w:r>
      <w:r w:rsidRPr="009D4C90">
        <w:t> </w:t>
      </w:r>
    </w:p>
    <w:p w14:paraId="2D8A8F12" w14:textId="77777777" w:rsidR="00FD7C00" w:rsidRPr="009D4C90" w:rsidRDefault="00FD7C00" w:rsidP="009D4C90">
      <w:pPr>
        <w:spacing w:after="240" w:line="240" w:lineRule="auto"/>
        <w:jc w:val="both"/>
      </w:pPr>
      <w:r w:rsidRPr="009D4C90">
        <w:rPr>
          <w:lang w:val="en-US"/>
        </w:rPr>
        <w:lastRenderedPageBreak/>
        <w:t>WRW/K/R490B/6, Inventory of William Wilkinson of Bolton-le-Sands, tailor, 1710</w:t>
      </w:r>
      <w:r w:rsidRPr="009D4C90">
        <w:t> </w:t>
      </w:r>
    </w:p>
    <w:p w14:paraId="379F69E0" w14:textId="77777777" w:rsidR="00FD7C00" w:rsidRPr="009D4C90" w:rsidRDefault="00FD7C00" w:rsidP="009D4C90">
      <w:pPr>
        <w:spacing w:after="240" w:line="240" w:lineRule="auto"/>
        <w:jc w:val="both"/>
      </w:pPr>
      <w:r w:rsidRPr="009D4C90">
        <w:rPr>
          <w:lang w:val="en-US"/>
        </w:rPr>
        <w:t>WRW/K/R497/102, Will of Walter Cocke of Nether Levens, yeoman, 1767</w:t>
      </w:r>
      <w:r w:rsidRPr="009D4C90">
        <w:t> </w:t>
      </w:r>
    </w:p>
    <w:p w14:paraId="79AD8306" w14:textId="77777777" w:rsidR="00FD7C00" w:rsidRPr="009D4C90" w:rsidRDefault="00FD7C00" w:rsidP="009D4C90">
      <w:pPr>
        <w:spacing w:after="240" w:line="240" w:lineRule="auto"/>
        <w:jc w:val="both"/>
      </w:pPr>
      <w:r w:rsidRPr="009D4C90">
        <w:rPr>
          <w:lang w:val="en-US"/>
        </w:rPr>
        <w:t>WRW/K/R613/47, Inventory of Agnes Ward of Over Kellet, spinster, 1719</w:t>
      </w:r>
      <w:r w:rsidRPr="009D4C90">
        <w:t> </w:t>
      </w:r>
    </w:p>
    <w:p w14:paraId="1088766B" w14:textId="77777777" w:rsidR="00FD7C00" w:rsidRPr="009D4C90" w:rsidRDefault="00FD7C00" w:rsidP="009D4C90">
      <w:pPr>
        <w:spacing w:after="240" w:line="240" w:lineRule="auto"/>
        <w:jc w:val="both"/>
      </w:pPr>
      <w:r w:rsidRPr="009D4C90">
        <w:rPr>
          <w:lang w:val="en-US"/>
        </w:rPr>
        <w:t>WRW/R490A/10, Will of Elizabeth Wales of Bolton-le-Sands, widow, 1702</w:t>
      </w:r>
      <w:r w:rsidRPr="009D4C90">
        <w:t> </w:t>
      </w:r>
    </w:p>
    <w:p w14:paraId="188BE61D" w14:textId="77777777" w:rsidR="009D4C90" w:rsidRDefault="009D4C90" w:rsidP="00101B5F">
      <w:pPr>
        <w:spacing w:after="240" w:line="240" w:lineRule="auto"/>
        <w:jc w:val="both"/>
      </w:pPr>
    </w:p>
    <w:p w14:paraId="2D50695A" w14:textId="77777777" w:rsidR="009D4C90" w:rsidRPr="009D4C90" w:rsidRDefault="009D4C90" w:rsidP="009D4C90">
      <w:pPr>
        <w:spacing w:after="240" w:line="240" w:lineRule="auto"/>
        <w:jc w:val="both"/>
      </w:pPr>
      <w:r w:rsidRPr="009D4C90">
        <w:rPr>
          <w:b/>
          <w:bCs/>
          <w:lang w:val="en-US"/>
        </w:rPr>
        <w:t>The National Archives</w:t>
      </w:r>
      <w:r w:rsidRPr="009D4C90">
        <w:t> </w:t>
      </w:r>
    </w:p>
    <w:p w14:paraId="2979BBAA" w14:textId="77777777" w:rsidR="00803506" w:rsidRPr="009D4C90" w:rsidRDefault="00803506" w:rsidP="009D4C90">
      <w:pPr>
        <w:spacing w:after="240" w:line="240" w:lineRule="auto"/>
        <w:jc w:val="both"/>
      </w:pPr>
      <w:r w:rsidRPr="009D4C90">
        <w:rPr>
          <w:lang w:val="en-US"/>
        </w:rPr>
        <w:t>E179/132/355, Hearth Tax Assessment for Lancashire, Lonsdale Hundred, 29 September 1673 – 19 November 1674</w:t>
      </w:r>
      <w:r w:rsidRPr="009D4C90">
        <w:t> </w:t>
      </w:r>
    </w:p>
    <w:p w14:paraId="3E2141B3" w14:textId="77777777" w:rsidR="00803506" w:rsidRPr="009D4C90" w:rsidRDefault="00803506" w:rsidP="009D4C90">
      <w:pPr>
        <w:spacing w:after="240" w:line="240" w:lineRule="auto"/>
        <w:jc w:val="both"/>
      </w:pPr>
      <w:r w:rsidRPr="009D4C90">
        <w:rPr>
          <w:lang w:val="en-US"/>
        </w:rPr>
        <w:t>E179/244/34 Part 1, Hearth Tax Assessment for Cheshire, Macclesfield Hundred, 26 March – 11 June 1663</w:t>
      </w:r>
      <w:r w:rsidRPr="009D4C90">
        <w:t> </w:t>
      </w:r>
    </w:p>
    <w:p w14:paraId="1CE23ACF" w14:textId="77777777" w:rsidR="00803506" w:rsidRPr="009D4C90" w:rsidRDefault="00803506" w:rsidP="009D4C90">
      <w:pPr>
        <w:spacing w:after="240" w:line="240" w:lineRule="auto"/>
        <w:jc w:val="both"/>
      </w:pPr>
      <w:r w:rsidRPr="009D4C90">
        <w:rPr>
          <w:lang w:val="en-US"/>
        </w:rPr>
        <w:t>E179/244/34 Part 1, Hearth Tax Assessment for Cheshire, Macclesfield Hundred, 26 March – 11 June 1663</w:t>
      </w:r>
      <w:r w:rsidRPr="009D4C90">
        <w:t> </w:t>
      </w:r>
    </w:p>
    <w:p w14:paraId="2DF6D551" w14:textId="77777777" w:rsidR="00803506" w:rsidRPr="009D4C90" w:rsidRDefault="00803506" w:rsidP="009D4C90">
      <w:pPr>
        <w:spacing w:after="240" w:line="240" w:lineRule="auto"/>
        <w:jc w:val="both"/>
      </w:pPr>
      <w:r w:rsidRPr="009D4C90">
        <w:rPr>
          <w:lang w:val="en-US"/>
        </w:rPr>
        <w:t>E179/250/11 Part 1, Hearth Tax Assessment for Lancashire, Lonsdale Hundred, 19 April 1664</w:t>
      </w:r>
      <w:r w:rsidRPr="009D4C90">
        <w:t> </w:t>
      </w:r>
    </w:p>
    <w:p w14:paraId="71624E27" w14:textId="77777777" w:rsidR="00803506" w:rsidRPr="009D4C90" w:rsidRDefault="00803506" w:rsidP="009D4C90">
      <w:pPr>
        <w:spacing w:after="240" w:line="240" w:lineRule="auto"/>
        <w:jc w:val="both"/>
      </w:pPr>
      <w:r w:rsidRPr="009D4C90">
        <w:rPr>
          <w:lang w:val="en-US"/>
        </w:rPr>
        <w:t>E179/86/141, Hearth Tax Assessment for Cheshire, Macclesfield Hundred, 14 October 1664 (or later)</w:t>
      </w:r>
      <w:r w:rsidRPr="009D4C90">
        <w:t> </w:t>
      </w:r>
    </w:p>
    <w:p w14:paraId="635D242E" w14:textId="77777777" w:rsidR="00803506" w:rsidRPr="009D4C90" w:rsidRDefault="00803506" w:rsidP="009D4C90">
      <w:pPr>
        <w:spacing w:after="240" w:line="240" w:lineRule="auto"/>
        <w:jc w:val="both"/>
      </w:pPr>
      <w:r w:rsidRPr="009D4C90">
        <w:rPr>
          <w:lang w:val="en-US"/>
        </w:rPr>
        <w:t>E179/86/141, Hearth Tax Assessment for Cheshire, Macclesfield Hundred, 1662</w:t>
      </w:r>
      <w:r w:rsidRPr="009D4C90">
        <w:t> </w:t>
      </w:r>
    </w:p>
    <w:p w14:paraId="0741D5DA" w14:textId="77777777" w:rsidR="00803506" w:rsidRPr="009D4C90" w:rsidRDefault="00803506" w:rsidP="009D4C90">
      <w:pPr>
        <w:spacing w:after="240" w:line="240" w:lineRule="auto"/>
        <w:jc w:val="both"/>
      </w:pPr>
      <w:r w:rsidRPr="009D4C90">
        <w:rPr>
          <w:lang w:val="en-US"/>
        </w:rPr>
        <w:t>E179/86/152 Part 2, Hearth Tax Assessment for Cheshire, Macclesfield Hundred, Exemption Certificates, 1 June 1672 – 10 April 1673</w:t>
      </w:r>
      <w:r w:rsidRPr="009D4C90">
        <w:t> </w:t>
      </w:r>
    </w:p>
    <w:p w14:paraId="03B5B735" w14:textId="77777777" w:rsidR="00803506" w:rsidRPr="009D4C90" w:rsidRDefault="00803506" w:rsidP="009D4C90">
      <w:pPr>
        <w:spacing w:after="240" w:line="240" w:lineRule="auto"/>
        <w:jc w:val="both"/>
      </w:pPr>
      <w:r w:rsidRPr="009D4C90">
        <w:rPr>
          <w:lang w:val="en-US"/>
        </w:rPr>
        <w:t>E179/86/153, Hearth Tax Assessment for Cheshire, Macclesfield Hundred, 29 September 1670 – 29 September 1671</w:t>
      </w:r>
      <w:r w:rsidRPr="009D4C90">
        <w:t> </w:t>
      </w:r>
    </w:p>
    <w:p w14:paraId="6D4229C5" w14:textId="77777777" w:rsidR="00803506" w:rsidRPr="009D4C90" w:rsidRDefault="00803506" w:rsidP="009D4C90">
      <w:pPr>
        <w:spacing w:after="240" w:line="240" w:lineRule="auto"/>
        <w:jc w:val="both"/>
      </w:pPr>
      <w:r w:rsidRPr="009D4C90">
        <w:rPr>
          <w:lang w:val="en-US"/>
        </w:rPr>
        <w:t>E179/86/155, Hearth Tax Assessment for Cheshire, Macclesfield Hundred, 25 March 1673 – 12 January 1675</w:t>
      </w:r>
      <w:r w:rsidRPr="009D4C90">
        <w:t> </w:t>
      </w:r>
    </w:p>
    <w:p w14:paraId="1E494947" w14:textId="77777777" w:rsidR="00803506" w:rsidRDefault="00803506" w:rsidP="009D4C90">
      <w:pPr>
        <w:spacing w:after="240" w:line="240" w:lineRule="auto"/>
        <w:jc w:val="both"/>
      </w:pPr>
      <w:r w:rsidRPr="009D4C90">
        <w:rPr>
          <w:lang w:val="en-US"/>
        </w:rPr>
        <w:t>E179/86/155, Hearth Tax Assessment for Cheshire, Macclesfield Hundred, 1673 and 1674</w:t>
      </w:r>
      <w:r w:rsidRPr="009D4C90">
        <w:t> </w:t>
      </w:r>
    </w:p>
    <w:p w14:paraId="691A0A5E" w14:textId="77777777" w:rsidR="00245F28" w:rsidRDefault="00245F28" w:rsidP="009D4C90">
      <w:pPr>
        <w:spacing w:after="240" w:line="240" w:lineRule="auto"/>
        <w:jc w:val="both"/>
      </w:pPr>
    </w:p>
    <w:p w14:paraId="2A8E0E76" w14:textId="0A3628BE" w:rsidR="00245F28" w:rsidRPr="00FA7B37" w:rsidRDefault="00245F28" w:rsidP="009D4C90">
      <w:pPr>
        <w:spacing w:after="240" w:line="240" w:lineRule="auto"/>
        <w:jc w:val="both"/>
        <w:rPr>
          <w:b/>
          <w:bCs/>
          <w:u w:val="single"/>
        </w:rPr>
      </w:pPr>
      <w:r w:rsidRPr="00FA7B37">
        <w:rPr>
          <w:b/>
          <w:bCs/>
          <w:u w:val="single"/>
        </w:rPr>
        <w:t>Printed Primary Sources</w:t>
      </w:r>
    </w:p>
    <w:p w14:paraId="549DDE44" w14:textId="3669F56B" w:rsidR="00073F6A" w:rsidRPr="00073F6A" w:rsidRDefault="00073F6A" w:rsidP="00073F6A">
      <w:pPr>
        <w:spacing w:after="240" w:line="240" w:lineRule="auto"/>
        <w:jc w:val="both"/>
      </w:pPr>
      <w:r w:rsidRPr="00073F6A">
        <w:rPr>
          <w:lang w:val="en-US"/>
        </w:rPr>
        <w:t xml:space="preserve">Allestree, Thomas, </w:t>
      </w:r>
      <w:r w:rsidRPr="00073F6A">
        <w:rPr>
          <w:i/>
          <w:iCs/>
          <w:lang w:val="en-US"/>
        </w:rPr>
        <w:t xml:space="preserve">A funeral handkerchief in two </w:t>
      </w:r>
      <w:proofErr w:type="gramStart"/>
      <w:r w:rsidRPr="00073F6A">
        <w:rPr>
          <w:i/>
          <w:iCs/>
          <w:lang w:val="en-US"/>
        </w:rPr>
        <w:t>parts :</w:t>
      </w:r>
      <w:proofErr w:type="gramEnd"/>
      <w:r w:rsidRPr="00073F6A">
        <w:rPr>
          <w:i/>
          <w:iCs/>
          <w:lang w:val="en-US"/>
        </w:rPr>
        <w:t xml:space="preserve"> I. Part. Containing arguments to comfort us at death of friends, II. Part. Containing several uses which we ought to make of such </w:t>
      </w:r>
      <w:proofErr w:type="gramStart"/>
      <w:r w:rsidRPr="00073F6A">
        <w:rPr>
          <w:i/>
          <w:iCs/>
          <w:lang w:val="en-US"/>
        </w:rPr>
        <w:t>losses :</w:t>
      </w:r>
      <w:proofErr w:type="gramEnd"/>
      <w:r w:rsidRPr="00073F6A">
        <w:rPr>
          <w:i/>
          <w:iCs/>
          <w:lang w:val="en-US"/>
        </w:rPr>
        <w:t xml:space="preserve"> to which is added, </w:t>
      </w:r>
      <w:proofErr w:type="gramStart"/>
      <w:r w:rsidRPr="00073F6A">
        <w:rPr>
          <w:i/>
          <w:iCs/>
          <w:lang w:val="en-US"/>
        </w:rPr>
        <w:t>Three</w:t>
      </w:r>
      <w:proofErr w:type="gramEnd"/>
      <w:r w:rsidRPr="00073F6A">
        <w:rPr>
          <w:i/>
          <w:iCs/>
          <w:lang w:val="en-US"/>
        </w:rPr>
        <w:t xml:space="preserve"> sermons preached at Coventry, in December last, 1670, </w:t>
      </w:r>
      <w:r w:rsidRPr="00073F6A">
        <w:rPr>
          <w:lang w:val="en-US"/>
        </w:rPr>
        <w:t>(London, 1671)</w:t>
      </w:r>
      <w:r w:rsidRPr="00073F6A">
        <w:t> </w:t>
      </w:r>
    </w:p>
    <w:p w14:paraId="4764B1F7" w14:textId="77777777" w:rsidR="00073F6A" w:rsidRPr="00073F6A" w:rsidRDefault="00073F6A" w:rsidP="00073F6A">
      <w:pPr>
        <w:spacing w:after="240" w:line="240" w:lineRule="auto"/>
        <w:jc w:val="both"/>
      </w:pPr>
      <w:r w:rsidRPr="00073F6A">
        <w:rPr>
          <w:lang w:val="fr-FR"/>
        </w:rPr>
        <w:t xml:space="preserve">Anonymous, </w:t>
      </w:r>
      <w:r w:rsidRPr="00073F6A">
        <w:rPr>
          <w:i/>
          <w:iCs/>
          <w:lang w:val="fr-FR"/>
        </w:rPr>
        <w:t xml:space="preserve">An </w:t>
      </w:r>
      <w:proofErr w:type="spellStart"/>
      <w:r w:rsidRPr="00073F6A">
        <w:rPr>
          <w:i/>
          <w:iCs/>
          <w:lang w:val="fr-FR"/>
        </w:rPr>
        <w:t>appeale</w:t>
      </w:r>
      <w:proofErr w:type="spellEnd"/>
      <w:r w:rsidRPr="00073F6A">
        <w:rPr>
          <w:i/>
          <w:iCs/>
          <w:lang w:val="fr-FR"/>
        </w:rPr>
        <w:t xml:space="preserve"> of the </w:t>
      </w:r>
      <w:proofErr w:type="spellStart"/>
      <w:r w:rsidRPr="00073F6A">
        <w:rPr>
          <w:i/>
          <w:iCs/>
          <w:lang w:val="fr-FR"/>
        </w:rPr>
        <w:t>orthodox</w:t>
      </w:r>
      <w:proofErr w:type="spellEnd"/>
      <w:r w:rsidRPr="00073F6A">
        <w:rPr>
          <w:i/>
          <w:iCs/>
          <w:lang w:val="fr-FR"/>
        </w:rPr>
        <w:t xml:space="preserve"> </w:t>
      </w:r>
      <w:proofErr w:type="spellStart"/>
      <w:r w:rsidRPr="00073F6A">
        <w:rPr>
          <w:i/>
          <w:iCs/>
          <w:lang w:val="fr-FR"/>
        </w:rPr>
        <w:t>ministers</w:t>
      </w:r>
      <w:proofErr w:type="spellEnd"/>
      <w:r w:rsidRPr="00073F6A">
        <w:rPr>
          <w:i/>
          <w:iCs/>
          <w:lang w:val="fr-FR"/>
        </w:rPr>
        <w:t xml:space="preserve"> of the Church of </w:t>
      </w:r>
      <w:proofErr w:type="spellStart"/>
      <w:r w:rsidRPr="00073F6A">
        <w:rPr>
          <w:i/>
          <w:iCs/>
          <w:lang w:val="fr-FR"/>
        </w:rPr>
        <w:t>England</w:t>
      </w:r>
      <w:proofErr w:type="spellEnd"/>
      <w:r w:rsidRPr="00073F6A">
        <w:rPr>
          <w:i/>
          <w:iCs/>
          <w:lang w:val="fr-FR"/>
        </w:rPr>
        <w:t xml:space="preserve"> </w:t>
      </w:r>
      <w:proofErr w:type="spellStart"/>
      <w:r w:rsidRPr="00073F6A">
        <w:rPr>
          <w:i/>
          <w:iCs/>
          <w:lang w:val="fr-FR"/>
        </w:rPr>
        <w:t>against</w:t>
      </w:r>
      <w:proofErr w:type="spellEnd"/>
      <w:r w:rsidRPr="00073F6A">
        <w:rPr>
          <w:i/>
          <w:iCs/>
          <w:lang w:val="fr-FR"/>
        </w:rPr>
        <w:t xml:space="preserve"> Richard </w:t>
      </w:r>
      <w:proofErr w:type="spellStart"/>
      <w:r w:rsidRPr="00073F6A">
        <w:rPr>
          <w:i/>
          <w:iCs/>
          <w:lang w:val="fr-FR"/>
        </w:rPr>
        <w:t>Mountague</w:t>
      </w:r>
      <w:proofErr w:type="spellEnd"/>
      <w:r w:rsidRPr="00073F6A">
        <w:rPr>
          <w:i/>
          <w:iCs/>
          <w:lang w:val="fr-FR"/>
        </w:rPr>
        <w:t xml:space="preserve">, </w:t>
      </w:r>
      <w:proofErr w:type="spellStart"/>
      <w:r w:rsidRPr="00073F6A">
        <w:rPr>
          <w:i/>
          <w:iCs/>
          <w:lang w:val="fr-FR"/>
        </w:rPr>
        <w:t>late</w:t>
      </w:r>
      <w:proofErr w:type="spellEnd"/>
      <w:r w:rsidRPr="00073F6A">
        <w:rPr>
          <w:i/>
          <w:iCs/>
          <w:lang w:val="fr-FR"/>
        </w:rPr>
        <w:t xml:space="preserve"> Bishop of Chichester, </w:t>
      </w:r>
      <w:proofErr w:type="spellStart"/>
      <w:r w:rsidRPr="00073F6A">
        <w:rPr>
          <w:i/>
          <w:iCs/>
          <w:lang w:val="fr-FR"/>
        </w:rPr>
        <w:t>now</w:t>
      </w:r>
      <w:proofErr w:type="spellEnd"/>
      <w:r w:rsidRPr="00073F6A">
        <w:rPr>
          <w:i/>
          <w:iCs/>
          <w:lang w:val="fr-FR"/>
        </w:rPr>
        <w:t xml:space="preserve"> Bishop of Norwich, </w:t>
      </w:r>
      <w:r w:rsidRPr="00073F6A">
        <w:rPr>
          <w:lang w:val="fr-FR"/>
        </w:rPr>
        <w:t>(Edinburgh, 1641)</w:t>
      </w:r>
      <w:r w:rsidRPr="00073F6A">
        <w:t> </w:t>
      </w:r>
    </w:p>
    <w:p w14:paraId="7D0C33B5" w14:textId="77777777" w:rsidR="00073F6A" w:rsidRPr="00073F6A" w:rsidRDefault="00073F6A" w:rsidP="00073F6A">
      <w:pPr>
        <w:spacing w:after="240" w:line="240" w:lineRule="auto"/>
        <w:jc w:val="both"/>
      </w:pPr>
      <w:r w:rsidRPr="00073F6A">
        <w:rPr>
          <w:lang w:val="en-US"/>
        </w:rPr>
        <w:lastRenderedPageBreak/>
        <w:t xml:space="preserve">Anonymous, </w:t>
      </w:r>
      <w:proofErr w:type="gramStart"/>
      <w:r w:rsidRPr="00073F6A">
        <w:rPr>
          <w:i/>
          <w:iCs/>
          <w:lang w:val="en-US"/>
        </w:rPr>
        <w:t>Cupids</w:t>
      </w:r>
      <w:proofErr w:type="gramEnd"/>
      <w:r w:rsidRPr="00073F6A">
        <w:rPr>
          <w:i/>
          <w:iCs/>
          <w:lang w:val="en-US"/>
        </w:rPr>
        <w:t xml:space="preserve"> </w:t>
      </w:r>
      <w:proofErr w:type="gramStart"/>
      <w:r w:rsidRPr="00073F6A">
        <w:rPr>
          <w:i/>
          <w:iCs/>
          <w:lang w:val="en-US"/>
        </w:rPr>
        <w:t>posies</w:t>
      </w:r>
      <w:proofErr w:type="gramEnd"/>
      <w:r w:rsidRPr="00073F6A">
        <w:rPr>
          <w:i/>
          <w:iCs/>
          <w:lang w:val="en-US"/>
        </w:rPr>
        <w:t xml:space="preserve">, for bracelets, </w:t>
      </w:r>
      <w:proofErr w:type="spellStart"/>
      <w:r w:rsidRPr="00073F6A">
        <w:rPr>
          <w:i/>
          <w:iCs/>
          <w:lang w:val="en-US"/>
        </w:rPr>
        <w:t>handkercers</w:t>
      </w:r>
      <w:proofErr w:type="spellEnd"/>
      <w:r w:rsidRPr="00073F6A">
        <w:rPr>
          <w:i/>
          <w:iCs/>
          <w:lang w:val="en-US"/>
        </w:rPr>
        <w:t xml:space="preserve">, and rings, with </w:t>
      </w:r>
      <w:proofErr w:type="spellStart"/>
      <w:r w:rsidRPr="00073F6A">
        <w:rPr>
          <w:i/>
          <w:iCs/>
          <w:lang w:val="en-US"/>
        </w:rPr>
        <w:t>scarfes</w:t>
      </w:r>
      <w:proofErr w:type="spellEnd"/>
      <w:r w:rsidRPr="00073F6A">
        <w:rPr>
          <w:i/>
          <w:iCs/>
          <w:lang w:val="en-US"/>
        </w:rPr>
        <w:t xml:space="preserve">, gloves and other things. Written by Cupid on a day, when Venus gave me leave to play, verbum sat </w:t>
      </w:r>
      <w:proofErr w:type="spellStart"/>
      <w:r w:rsidRPr="00073F6A">
        <w:rPr>
          <w:i/>
          <w:iCs/>
          <w:lang w:val="en-US"/>
        </w:rPr>
        <w:t>amanti</w:t>
      </w:r>
      <w:proofErr w:type="spellEnd"/>
      <w:r w:rsidRPr="00073F6A">
        <w:rPr>
          <w:i/>
          <w:iCs/>
          <w:lang w:val="en-US"/>
        </w:rPr>
        <w:t xml:space="preserve">. The lover </w:t>
      </w:r>
      <w:proofErr w:type="spellStart"/>
      <w:r w:rsidRPr="00073F6A">
        <w:rPr>
          <w:i/>
          <w:iCs/>
          <w:lang w:val="en-US"/>
        </w:rPr>
        <w:t>sheweth</w:t>
      </w:r>
      <w:proofErr w:type="spellEnd"/>
      <w:r w:rsidRPr="00073F6A">
        <w:rPr>
          <w:i/>
          <w:iCs/>
          <w:lang w:val="en-US"/>
        </w:rPr>
        <w:t xml:space="preserve"> his intent, by gifts that are with posies sent., </w:t>
      </w:r>
      <w:r w:rsidRPr="00073F6A">
        <w:rPr>
          <w:lang w:val="en-US"/>
        </w:rPr>
        <w:t>(London, 1674)</w:t>
      </w:r>
      <w:r w:rsidRPr="00073F6A">
        <w:t> </w:t>
      </w:r>
    </w:p>
    <w:p w14:paraId="5828A4EF" w14:textId="77777777" w:rsidR="00073F6A" w:rsidRPr="00073F6A" w:rsidRDefault="00073F6A" w:rsidP="00073F6A">
      <w:pPr>
        <w:spacing w:after="240" w:line="240" w:lineRule="auto"/>
        <w:jc w:val="both"/>
      </w:pPr>
      <w:r w:rsidRPr="00073F6A">
        <w:rPr>
          <w:lang w:val="en-US"/>
        </w:rPr>
        <w:t xml:space="preserve">Anonymous, </w:t>
      </w:r>
      <w:r w:rsidRPr="00073F6A">
        <w:rPr>
          <w:i/>
          <w:iCs/>
          <w:lang w:val="en-US"/>
        </w:rPr>
        <w:t xml:space="preserve">The </w:t>
      </w:r>
      <w:proofErr w:type="spellStart"/>
      <w:r w:rsidRPr="00073F6A">
        <w:rPr>
          <w:i/>
          <w:iCs/>
          <w:lang w:val="en-US"/>
        </w:rPr>
        <w:t>Auncient</w:t>
      </w:r>
      <w:proofErr w:type="spellEnd"/>
      <w:r w:rsidRPr="00073F6A">
        <w:rPr>
          <w:i/>
          <w:iCs/>
          <w:lang w:val="en-US"/>
        </w:rPr>
        <w:t xml:space="preserve"> History of the Septuagint. Newly done into English by I. Done,</w:t>
      </w:r>
      <w:r w:rsidRPr="00073F6A">
        <w:rPr>
          <w:lang w:val="en-US"/>
        </w:rPr>
        <w:t xml:space="preserve"> (London, 1633)</w:t>
      </w:r>
      <w:r w:rsidRPr="00073F6A">
        <w:t> </w:t>
      </w:r>
    </w:p>
    <w:p w14:paraId="2A4C3A2B" w14:textId="77777777" w:rsidR="00073F6A" w:rsidRPr="00073F6A" w:rsidRDefault="00073F6A" w:rsidP="00073F6A">
      <w:pPr>
        <w:spacing w:after="240" w:line="240" w:lineRule="auto"/>
        <w:jc w:val="both"/>
      </w:pPr>
      <w:r w:rsidRPr="00073F6A">
        <w:rPr>
          <w:lang w:val="en-US"/>
        </w:rPr>
        <w:t xml:space="preserve">Anonymous, </w:t>
      </w:r>
      <w:r w:rsidRPr="00073F6A">
        <w:rPr>
          <w:i/>
          <w:iCs/>
          <w:lang w:val="en-US"/>
        </w:rPr>
        <w:t xml:space="preserve">The Life of that incomparable princess, Mary, our late sovereign lady, of ever blessed memory who departed this life, at her royal </w:t>
      </w:r>
      <w:proofErr w:type="spellStart"/>
      <w:r w:rsidRPr="00073F6A">
        <w:rPr>
          <w:i/>
          <w:iCs/>
          <w:lang w:val="en-US"/>
        </w:rPr>
        <w:t>pallace</w:t>
      </w:r>
      <w:proofErr w:type="spellEnd"/>
      <w:r w:rsidRPr="00073F6A">
        <w:rPr>
          <w:i/>
          <w:iCs/>
          <w:lang w:val="en-US"/>
        </w:rPr>
        <w:t xml:space="preserve"> at Kensington, the 28th of </w:t>
      </w:r>
      <w:proofErr w:type="gramStart"/>
      <w:r w:rsidRPr="00073F6A">
        <w:rPr>
          <w:i/>
          <w:iCs/>
          <w:lang w:val="en-US"/>
        </w:rPr>
        <w:t>December,</w:t>
      </w:r>
      <w:proofErr w:type="gramEnd"/>
      <w:r w:rsidRPr="00073F6A">
        <w:rPr>
          <w:i/>
          <w:iCs/>
          <w:lang w:val="en-US"/>
        </w:rPr>
        <w:t xml:space="preserve"> 1694</w:t>
      </w:r>
      <w:r w:rsidRPr="00073F6A">
        <w:rPr>
          <w:lang w:val="en-US"/>
        </w:rPr>
        <w:t>, (London, 1695)</w:t>
      </w:r>
      <w:r w:rsidRPr="00073F6A">
        <w:t> </w:t>
      </w:r>
    </w:p>
    <w:p w14:paraId="49605930" w14:textId="77777777" w:rsidR="00073F6A" w:rsidRPr="00073F6A" w:rsidRDefault="00073F6A" w:rsidP="00073F6A">
      <w:pPr>
        <w:spacing w:after="240" w:line="240" w:lineRule="auto"/>
        <w:jc w:val="both"/>
      </w:pPr>
      <w:proofErr w:type="spellStart"/>
      <w:r w:rsidRPr="00073F6A">
        <w:rPr>
          <w:lang w:val="en-US"/>
        </w:rPr>
        <w:t>Assarino</w:t>
      </w:r>
      <w:proofErr w:type="spellEnd"/>
      <w:r w:rsidRPr="00073F6A">
        <w:rPr>
          <w:lang w:val="en-US"/>
        </w:rPr>
        <w:t xml:space="preserve">, Luca, </w:t>
      </w:r>
      <w:proofErr w:type="gramStart"/>
      <w:r w:rsidRPr="00073F6A">
        <w:rPr>
          <w:i/>
          <w:iCs/>
          <w:lang w:val="en-US"/>
        </w:rPr>
        <w:t>The</w:t>
      </w:r>
      <w:proofErr w:type="gramEnd"/>
      <w:r w:rsidRPr="00073F6A">
        <w:rPr>
          <w:i/>
          <w:iCs/>
          <w:lang w:val="en-US"/>
        </w:rPr>
        <w:t xml:space="preserve"> unfortunate queen a new romance, written in Italian by Luke </w:t>
      </w:r>
      <w:proofErr w:type="spellStart"/>
      <w:r w:rsidRPr="00073F6A">
        <w:rPr>
          <w:i/>
          <w:iCs/>
          <w:lang w:val="en-US"/>
        </w:rPr>
        <w:t>Assarino</w:t>
      </w:r>
      <w:proofErr w:type="spellEnd"/>
      <w:r w:rsidRPr="00073F6A">
        <w:rPr>
          <w:i/>
          <w:iCs/>
          <w:lang w:val="en-US"/>
        </w:rPr>
        <w:t xml:space="preserve"> and now </w:t>
      </w:r>
      <w:proofErr w:type="spellStart"/>
      <w:r w:rsidRPr="00073F6A">
        <w:rPr>
          <w:i/>
          <w:iCs/>
          <w:lang w:val="en-US"/>
        </w:rPr>
        <w:t>Englished</w:t>
      </w:r>
      <w:proofErr w:type="spellEnd"/>
      <w:r w:rsidRPr="00073F6A">
        <w:rPr>
          <w:i/>
          <w:iCs/>
          <w:lang w:val="en-US"/>
        </w:rPr>
        <w:t xml:space="preserve"> by J.B., </w:t>
      </w:r>
      <w:r w:rsidRPr="00073F6A">
        <w:rPr>
          <w:lang w:val="en-US"/>
        </w:rPr>
        <w:t>(London, 1651)</w:t>
      </w:r>
      <w:r w:rsidRPr="00073F6A">
        <w:t> </w:t>
      </w:r>
    </w:p>
    <w:p w14:paraId="104A70EA" w14:textId="77777777" w:rsidR="00073F6A" w:rsidRPr="00073F6A" w:rsidRDefault="00073F6A" w:rsidP="00073F6A">
      <w:pPr>
        <w:spacing w:after="240" w:line="240" w:lineRule="auto"/>
        <w:jc w:val="both"/>
      </w:pPr>
      <w:r w:rsidRPr="00073F6A">
        <w:rPr>
          <w:lang w:val="en-US"/>
        </w:rPr>
        <w:t>Bacon, Francis,</w:t>
      </w:r>
      <w:r w:rsidRPr="00073F6A">
        <w:rPr>
          <w:i/>
          <w:iCs/>
          <w:lang w:val="en-US"/>
        </w:rPr>
        <w:t xml:space="preserve"> Sylva </w:t>
      </w:r>
      <w:proofErr w:type="spellStart"/>
      <w:r w:rsidRPr="00073F6A">
        <w:rPr>
          <w:i/>
          <w:iCs/>
          <w:lang w:val="en-US"/>
        </w:rPr>
        <w:t>Sylvarum</w:t>
      </w:r>
      <w:proofErr w:type="spellEnd"/>
      <w:r w:rsidRPr="00073F6A">
        <w:rPr>
          <w:i/>
          <w:iCs/>
          <w:lang w:val="en-US"/>
        </w:rPr>
        <w:t xml:space="preserve">, </w:t>
      </w:r>
      <w:r w:rsidRPr="00073F6A">
        <w:rPr>
          <w:lang w:val="en-US"/>
        </w:rPr>
        <w:t>(London, 1626)</w:t>
      </w:r>
      <w:r w:rsidRPr="00073F6A">
        <w:t> </w:t>
      </w:r>
    </w:p>
    <w:p w14:paraId="12DA78C2" w14:textId="77777777" w:rsidR="00073F6A" w:rsidRPr="00073F6A" w:rsidRDefault="00073F6A" w:rsidP="00073F6A">
      <w:pPr>
        <w:spacing w:after="240" w:line="240" w:lineRule="auto"/>
        <w:jc w:val="both"/>
      </w:pPr>
      <w:r w:rsidRPr="00073F6A">
        <w:rPr>
          <w:lang w:val="fr-FR"/>
        </w:rPr>
        <w:t>Bird, Ruth (</w:t>
      </w:r>
      <w:proofErr w:type="spellStart"/>
      <w:r w:rsidRPr="00073F6A">
        <w:rPr>
          <w:lang w:val="fr-FR"/>
        </w:rPr>
        <w:t>ed</w:t>
      </w:r>
      <w:proofErr w:type="spellEnd"/>
      <w:r w:rsidRPr="00073F6A">
        <w:rPr>
          <w:lang w:val="fr-FR"/>
        </w:rPr>
        <w:t xml:space="preserve">.), </w:t>
      </w:r>
      <w:r w:rsidRPr="00073F6A">
        <w:rPr>
          <w:i/>
          <w:iCs/>
          <w:lang w:val="fr-FR"/>
        </w:rPr>
        <w:t xml:space="preserve">The Journal of Giles Moore, </w:t>
      </w:r>
      <w:r w:rsidRPr="00073F6A">
        <w:rPr>
          <w:lang w:val="fr-FR"/>
        </w:rPr>
        <w:t>(Lewes, 1971)</w:t>
      </w:r>
      <w:r w:rsidRPr="00073F6A">
        <w:t> </w:t>
      </w:r>
    </w:p>
    <w:p w14:paraId="62576358" w14:textId="77777777" w:rsidR="00073F6A" w:rsidRPr="00073F6A" w:rsidRDefault="00073F6A" w:rsidP="00073F6A">
      <w:pPr>
        <w:spacing w:after="240" w:line="240" w:lineRule="auto"/>
        <w:jc w:val="both"/>
      </w:pPr>
      <w:r w:rsidRPr="00073F6A">
        <w:rPr>
          <w:lang w:val="fr-FR"/>
        </w:rPr>
        <w:t xml:space="preserve">Brathwaite, Richard, </w:t>
      </w:r>
      <w:r w:rsidRPr="00073F6A">
        <w:rPr>
          <w:i/>
          <w:iCs/>
          <w:lang w:val="fr-FR"/>
        </w:rPr>
        <w:t xml:space="preserve">The good </w:t>
      </w:r>
      <w:proofErr w:type="spellStart"/>
      <w:proofErr w:type="gramStart"/>
      <w:r w:rsidRPr="00073F6A">
        <w:rPr>
          <w:i/>
          <w:iCs/>
          <w:lang w:val="fr-FR"/>
        </w:rPr>
        <w:t>wife</w:t>
      </w:r>
      <w:proofErr w:type="spellEnd"/>
      <w:r w:rsidRPr="00073F6A">
        <w:rPr>
          <w:i/>
          <w:iCs/>
          <w:lang w:val="fr-FR"/>
        </w:rPr>
        <w:t>:</w:t>
      </w:r>
      <w:proofErr w:type="gramEnd"/>
      <w:r w:rsidRPr="00073F6A">
        <w:rPr>
          <w:i/>
          <w:iCs/>
          <w:lang w:val="fr-FR"/>
        </w:rPr>
        <w:t xml:space="preserve"> or, A rare one </w:t>
      </w:r>
      <w:proofErr w:type="spellStart"/>
      <w:r w:rsidRPr="00073F6A">
        <w:rPr>
          <w:i/>
          <w:iCs/>
          <w:lang w:val="fr-FR"/>
        </w:rPr>
        <w:t>amongst</w:t>
      </w:r>
      <w:proofErr w:type="spellEnd"/>
      <w:r w:rsidRPr="00073F6A">
        <w:rPr>
          <w:i/>
          <w:iCs/>
          <w:lang w:val="fr-FR"/>
        </w:rPr>
        <w:t xml:space="preserve"> </w:t>
      </w:r>
      <w:proofErr w:type="spellStart"/>
      <w:r w:rsidRPr="00073F6A">
        <w:rPr>
          <w:i/>
          <w:iCs/>
          <w:lang w:val="fr-FR"/>
        </w:rPr>
        <w:t>women</w:t>
      </w:r>
      <w:proofErr w:type="spellEnd"/>
      <w:r w:rsidRPr="00073F6A">
        <w:rPr>
          <w:i/>
          <w:iCs/>
          <w:lang w:val="fr-FR"/>
        </w:rPr>
        <w:t xml:space="preserve"> </w:t>
      </w:r>
      <w:proofErr w:type="spellStart"/>
      <w:r w:rsidRPr="00073F6A">
        <w:rPr>
          <w:i/>
          <w:iCs/>
          <w:lang w:val="fr-FR"/>
        </w:rPr>
        <w:t>whereto</w:t>
      </w:r>
      <w:proofErr w:type="spellEnd"/>
      <w:r w:rsidRPr="00073F6A">
        <w:rPr>
          <w:i/>
          <w:iCs/>
          <w:lang w:val="fr-FR"/>
        </w:rPr>
        <w:t xml:space="preserve"> </w:t>
      </w:r>
      <w:proofErr w:type="spellStart"/>
      <w:r w:rsidRPr="00073F6A">
        <w:rPr>
          <w:i/>
          <w:iCs/>
          <w:lang w:val="fr-FR"/>
        </w:rPr>
        <w:t>is</w:t>
      </w:r>
      <w:proofErr w:type="spellEnd"/>
      <w:r w:rsidRPr="00073F6A">
        <w:rPr>
          <w:i/>
          <w:iCs/>
          <w:lang w:val="fr-FR"/>
        </w:rPr>
        <w:t xml:space="preserve"> </w:t>
      </w:r>
      <w:proofErr w:type="spellStart"/>
      <w:r w:rsidRPr="00073F6A">
        <w:rPr>
          <w:i/>
          <w:iCs/>
          <w:lang w:val="fr-FR"/>
        </w:rPr>
        <w:t>annexed</w:t>
      </w:r>
      <w:proofErr w:type="spellEnd"/>
      <w:r w:rsidRPr="00073F6A">
        <w:rPr>
          <w:i/>
          <w:iCs/>
          <w:lang w:val="fr-FR"/>
        </w:rPr>
        <w:t xml:space="preserve"> an </w:t>
      </w:r>
      <w:proofErr w:type="spellStart"/>
      <w:r w:rsidRPr="00073F6A">
        <w:rPr>
          <w:i/>
          <w:iCs/>
          <w:lang w:val="fr-FR"/>
        </w:rPr>
        <w:t>exquisite</w:t>
      </w:r>
      <w:proofErr w:type="spellEnd"/>
      <w:r w:rsidRPr="00073F6A">
        <w:rPr>
          <w:i/>
          <w:iCs/>
          <w:lang w:val="fr-FR"/>
        </w:rPr>
        <w:t xml:space="preserve"> </w:t>
      </w:r>
      <w:proofErr w:type="spellStart"/>
      <w:r w:rsidRPr="00073F6A">
        <w:rPr>
          <w:i/>
          <w:iCs/>
          <w:lang w:val="fr-FR"/>
        </w:rPr>
        <w:t>discourse</w:t>
      </w:r>
      <w:proofErr w:type="spellEnd"/>
      <w:r w:rsidRPr="00073F6A">
        <w:rPr>
          <w:i/>
          <w:iCs/>
          <w:lang w:val="fr-FR"/>
        </w:rPr>
        <w:t xml:space="preserve"> of </w:t>
      </w:r>
      <w:proofErr w:type="spellStart"/>
      <w:proofErr w:type="gramStart"/>
      <w:r w:rsidRPr="00073F6A">
        <w:rPr>
          <w:i/>
          <w:iCs/>
          <w:lang w:val="fr-FR"/>
        </w:rPr>
        <w:t>epitaphs</w:t>
      </w:r>
      <w:proofErr w:type="spellEnd"/>
      <w:r w:rsidRPr="00073F6A">
        <w:rPr>
          <w:i/>
          <w:iCs/>
          <w:lang w:val="fr-FR"/>
        </w:rPr>
        <w:t>:</w:t>
      </w:r>
      <w:proofErr w:type="gramEnd"/>
      <w:r w:rsidRPr="00073F6A">
        <w:rPr>
          <w:i/>
          <w:iCs/>
          <w:lang w:val="fr-FR"/>
        </w:rPr>
        <w:t xml:space="preserve"> </w:t>
      </w:r>
      <w:proofErr w:type="spellStart"/>
      <w:r w:rsidRPr="00073F6A">
        <w:rPr>
          <w:i/>
          <w:iCs/>
          <w:lang w:val="fr-FR"/>
        </w:rPr>
        <w:t>including</w:t>
      </w:r>
      <w:proofErr w:type="spellEnd"/>
      <w:r w:rsidRPr="00073F6A">
        <w:rPr>
          <w:i/>
          <w:iCs/>
          <w:lang w:val="fr-FR"/>
        </w:rPr>
        <w:t xml:space="preserve"> the </w:t>
      </w:r>
      <w:proofErr w:type="spellStart"/>
      <w:r w:rsidRPr="00073F6A">
        <w:rPr>
          <w:i/>
          <w:iCs/>
          <w:lang w:val="fr-FR"/>
        </w:rPr>
        <w:t>choisest</w:t>
      </w:r>
      <w:proofErr w:type="spellEnd"/>
      <w:r w:rsidRPr="00073F6A">
        <w:rPr>
          <w:i/>
          <w:iCs/>
          <w:lang w:val="fr-FR"/>
        </w:rPr>
        <w:t xml:space="preserve"> </w:t>
      </w:r>
      <w:proofErr w:type="spellStart"/>
      <w:r w:rsidRPr="00073F6A">
        <w:rPr>
          <w:i/>
          <w:iCs/>
          <w:lang w:val="fr-FR"/>
        </w:rPr>
        <w:t>thereof</w:t>
      </w:r>
      <w:proofErr w:type="spellEnd"/>
      <w:r w:rsidRPr="00073F6A">
        <w:rPr>
          <w:i/>
          <w:iCs/>
          <w:lang w:val="fr-FR"/>
        </w:rPr>
        <w:t xml:space="preserve">, </w:t>
      </w:r>
      <w:proofErr w:type="spellStart"/>
      <w:r w:rsidRPr="00073F6A">
        <w:rPr>
          <w:i/>
          <w:iCs/>
          <w:lang w:val="fr-FR"/>
        </w:rPr>
        <w:t>ancient</w:t>
      </w:r>
      <w:proofErr w:type="spellEnd"/>
      <w:r w:rsidRPr="00073F6A">
        <w:rPr>
          <w:i/>
          <w:iCs/>
          <w:lang w:val="fr-FR"/>
        </w:rPr>
        <w:t xml:space="preserve"> or moderne. </w:t>
      </w:r>
      <w:proofErr w:type="spellStart"/>
      <w:r w:rsidRPr="00073F6A">
        <w:rPr>
          <w:i/>
          <w:iCs/>
          <w:lang w:val="fr-FR"/>
        </w:rPr>
        <w:t>Musophilus</w:t>
      </w:r>
      <w:proofErr w:type="spellEnd"/>
      <w:r w:rsidRPr="00073F6A">
        <w:rPr>
          <w:i/>
          <w:iCs/>
          <w:lang w:val="fr-FR"/>
        </w:rPr>
        <w:t>.,</w:t>
      </w:r>
      <w:r w:rsidRPr="00073F6A">
        <w:rPr>
          <w:lang w:val="fr-FR"/>
        </w:rPr>
        <w:t xml:space="preserve"> (London, 1618)</w:t>
      </w:r>
      <w:r w:rsidRPr="00073F6A">
        <w:t> </w:t>
      </w:r>
    </w:p>
    <w:p w14:paraId="4D8B2200" w14:textId="0237EC1E" w:rsidR="00073F6A" w:rsidRPr="00073F6A" w:rsidRDefault="00073F6A" w:rsidP="00073F6A">
      <w:pPr>
        <w:spacing w:after="240" w:line="240" w:lineRule="auto"/>
        <w:jc w:val="both"/>
      </w:pPr>
      <w:r w:rsidRPr="00073F6A">
        <w:rPr>
          <w:lang w:val="en-US"/>
        </w:rPr>
        <w:t>Brooks, Thomas,</w:t>
      </w:r>
      <w:r w:rsidRPr="00073F6A">
        <w:rPr>
          <w:i/>
          <w:iCs/>
          <w:lang w:val="en-US"/>
        </w:rPr>
        <w:t xml:space="preserve"> The silent soul, with sovereign antidotes against the most miserable </w:t>
      </w:r>
      <w:proofErr w:type="spellStart"/>
      <w:r w:rsidRPr="00073F6A">
        <w:rPr>
          <w:i/>
          <w:iCs/>
          <w:lang w:val="en-US"/>
        </w:rPr>
        <w:t>exigents</w:t>
      </w:r>
      <w:proofErr w:type="spellEnd"/>
      <w:r w:rsidRPr="00073F6A">
        <w:rPr>
          <w:i/>
          <w:iCs/>
          <w:lang w:val="en-US"/>
        </w:rPr>
        <w:t xml:space="preserve">, </w:t>
      </w:r>
      <w:r w:rsidRPr="00073F6A">
        <w:rPr>
          <w:lang w:val="en-US"/>
        </w:rPr>
        <w:t>(London, 1660)</w:t>
      </w:r>
      <w:r w:rsidRPr="00073F6A">
        <w:t> </w:t>
      </w:r>
    </w:p>
    <w:p w14:paraId="6DA43D94" w14:textId="77777777" w:rsidR="00073F6A" w:rsidRPr="00073F6A" w:rsidRDefault="00073F6A" w:rsidP="00073F6A">
      <w:pPr>
        <w:spacing w:after="240" w:line="240" w:lineRule="auto"/>
        <w:jc w:val="both"/>
      </w:pPr>
      <w:r w:rsidRPr="00073F6A">
        <w:rPr>
          <w:lang w:val="en-US"/>
        </w:rPr>
        <w:t xml:space="preserve">Camden, William, </w:t>
      </w:r>
      <w:r w:rsidRPr="00073F6A">
        <w:rPr>
          <w:i/>
          <w:iCs/>
          <w:lang w:val="en-US"/>
        </w:rPr>
        <w:t xml:space="preserve">Britain, or A </w:t>
      </w:r>
      <w:proofErr w:type="spellStart"/>
      <w:r w:rsidRPr="00073F6A">
        <w:rPr>
          <w:i/>
          <w:iCs/>
          <w:lang w:val="en-US"/>
        </w:rPr>
        <w:t>chorographicall</w:t>
      </w:r>
      <w:proofErr w:type="spellEnd"/>
      <w:r w:rsidRPr="00073F6A">
        <w:rPr>
          <w:i/>
          <w:iCs/>
          <w:lang w:val="en-US"/>
        </w:rPr>
        <w:t xml:space="preserve"> description of the most flourishing </w:t>
      </w:r>
      <w:proofErr w:type="spellStart"/>
      <w:r w:rsidRPr="00073F6A">
        <w:rPr>
          <w:i/>
          <w:iCs/>
          <w:lang w:val="en-US"/>
        </w:rPr>
        <w:t>kingdomes</w:t>
      </w:r>
      <w:proofErr w:type="spellEnd"/>
      <w:r w:rsidRPr="00073F6A">
        <w:rPr>
          <w:i/>
          <w:iCs/>
          <w:lang w:val="en-US"/>
        </w:rPr>
        <w:t xml:space="preserve">, England, Scotland, and Ireland, and the </w:t>
      </w:r>
      <w:proofErr w:type="spellStart"/>
      <w:r w:rsidRPr="00073F6A">
        <w:rPr>
          <w:i/>
          <w:iCs/>
          <w:lang w:val="en-US"/>
        </w:rPr>
        <w:t>ilands</w:t>
      </w:r>
      <w:proofErr w:type="spellEnd"/>
      <w:r w:rsidRPr="00073F6A">
        <w:rPr>
          <w:i/>
          <w:iCs/>
          <w:lang w:val="en-US"/>
        </w:rPr>
        <w:t xml:space="preserve"> </w:t>
      </w:r>
      <w:proofErr w:type="spellStart"/>
      <w:r w:rsidRPr="00073F6A">
        <w:rPr>
          <w:i/>
          <w:iCs/>
          <w:lang w:val="en-US"/>
        </w:rPr>
        <w:t>adjoyning</w:t>
      </w:r>
      <w:proofErr w:type="spellEnd"/>
      <w:r w:rsidRPr="00073F6A">
        <w:rPr>
          <w:i/>
          <w:iCs/>
          <w:lang w:val="en-US"/>
        </w:rPr>
        <w:t xml:space="preserve">, out of the depth of </w:t>
      </w:r>
      <w:proofErr w:type="spellStart"/>
      <w:r w:rsidRPr="00073F6A">
        <w:rPr>
          <w:i/>
          <w:iCs/>
          <w:lang w:val="en-US"/>
        </w:rPr>
        <w:t>antiquitie</w:t>
      </w:r>
      <w:proofErr w:type="spellEnd"/>
      <w:r w:rsidRPr="00073F6A">
        <w:rPr>
          <w:i/>
          <w:iCs/>
          <w:lang w:val="en-US"/>
        </w:rPr>
        <w:t xml:space="preserve"> beautified </w:t>
      </w:r>
      <w:proofErr w:type="spellStart"/>
      <w:r w:rsidRPr="00073F6A">
        <w:rPr>
          <w:i/>
          <w:iCs/>
          <w:lang w:val="en-US"/>
        </w:rPr>
        <w:t>vvith</w:t>
      </w:r>
      <w:proofErr w:type="spellEnd"/>
      <w:r w:rsidRPr="00073F6A">
        <w:rPr>
          <w:i/>
          <w:iCs/>
          <w:lang w:val="en-US"/>
        </w:rPr>
        <w:t xml:space="preserve"> </w:t>
      </w:r>
      <w:proofErr w:type="spellStart"/>
      <w:r w:rsidRPr="00073F6A">
        <w:rPr>
          <w:i/>
          <w:iCs/>
          <w:lang w:val="en-US"/>
        </w:rPr>
        <w:t>mappes</w:t>
      </w:r>
      <w:proofErr w:type="spellEnd"/>
      <w:r w:rsidRPr="00073F6A">
        <w:rPr>
          <w:i/>
          <w:iCs/>
          <w:lang w:val="en-US"/>
        </w:rPr>
        <w:t xml:space="preserve"> of the </w:t>
      </w:r>
      <w:proofErr w:type="spellStart"/>
      <w:r w:rsidRPr="00073F6A">
        <w:rPr>
          <w:i/>
          <w:iCs/>
          <w:lang w:val="en-US"/>
        </w:rPr>
        <w:t>severall</w:t>
      </w:r>
      <w:proofErr w:type="spellEnd"/>
      <w:r w:rsidRPr="00073F6A">
        <w:rPr>
          <w:i/>
          <w:iCs/>
          <w:lang w:val="en-US"/>
        </w:rPr>
        <w:t xml:space="preserve"> shires of England: </w:t>
      </w:r>
      <w:proofErr w:type="spellStart"/>
      <w:r w:rsidRPr="00073F6A">
        <w:rPr>
          <w:i/>
          <w:iCs/>
          <w:lang w:val="en-US"/>
        </w:rPr>
        <w:t>vvritten</w:t>
      </w:r>
      <w:proofErr w:type="spellEnd"/>
      <w:r w:rsidRPr="00073F6A">
        <w:rPr>
          <w:i/>
          <w:iCs/>
          <w:lang w:val="en-US"/>
        </w:rPr>
        <w:t xml:space="preserve"> first in Latine by William Camden </w:t>
      </w:r>
      <w:proofErr w:type="spellStart"/>
      <w:r w:rsidRPr="00073F6A">
        <w:rPr>
          <w:i/>
          <w:iCs/>
          <w:lang w:val="en-US"/>
        </w:rPr>
        <w:t>Clarenceux</w:t>
      </w:r>
      <w:proofErr w:type="spellEnd"/>
      <w:r w:rsidRPr="00073F6A">
        <w:rPr>
          <w:i/>
          <w:iCs/>
          <w:lang w:val="en-US"/>
        </w:rPr>
        <w:t xml:space="preserve"> K. of A. Translated newly into English by Philémon Holland </w:t>
      </w:r>
      <w:proofErr w:type="spellStart"/>
      <w:r w:rsidRPr="00073F6A">
        <w:rPr>
          <w:i/>
          <w:iCs/>
          <w:lang w:val="en-US"/>
        </w:rPr>
        <w:t>Doctour</w:t>
      </w:r>
      <w:proofErr w:type="spellEnd"/>
      <w:r w:rsidRPr="00073F6A">
        <w:rPr>
          <w:i/>
          <w:iCs/>
          <w:lang w:val="en-US"/>
        </w:rPr>
        <w:t xml:space="preserve"> in Physick: finally, revised, amended, and enlarged with sundry additions by the said author,</w:t>
      </w:r>
      <w:r w:rsidRPr="00073F6A">
        <w:rPr>
          <w:lang w:val="en-US"/>
        </w:rPr>
        <w:t xml:space="preserve"> (London, 1637)</w:t>
      </w:r>
      <w:r w:rsidRPr="00073F6A">
        <w:t> </w:t>
      </w:r>
    </w:p>
    <w:p w14:paraId="50DB3FF7" w14:textId="77777777" w:rsidR="00073F6A" w:rsidRPr="00073F6A" w:rsidRDefault="00073F6A" w:rsidP="00073F6A">
      <w:pPr>
        <w:spacing w:after="240" w:line="240" w:lineRule="auto"/>
        <w:jc w:val="both"/>
      </w:pPr>
      <w:proofErr w:type="spellStart"/>
      <w:r w:rsidRPr="00073F6A">
        <w:rPr>
          <w:lang w:val="fr-FR"/>
        </w:rPr>
        <w:t>Cann</w:t>
      </w:r>
      <w:proofErr w:type="spellEnd"/>
      <w:r w:rsidRPr="00073F6A">
        <w:rPr>
          <w:lang w:val="fr-FR"/>
        </w:rPr>
        <w:t xml:space="preserve"> Hughes, Thomas (</w:t>
      </w:r>
      <w:proofErr w:type="spellStart"/>
      <w:r w:rsidRPr="00073F6A">
        <w:rPr>
          <w:lang w:val="fr-FR"/>
        </w:rPr>
        <w:t>ed</w:t>
      </w:r>
      <w:proofErr w:type="spellEnd"/>
      <w:r w:rsidRPr="00073F6A">
        <w:rPr>
          <w:lang w:val="fr-FR"/>
        </w:rPr>
        <w:t xml:space="preserve">.), </w:t>
      </w:r>
      <w:r w:rsidRPr="00073F6A">
        <w:rPr>
          <w:i/>
          <w:iCs/>
          <w:lang w:val="fr-FR"/>
        </w:rPr>
        <w:t xml:space="preserve">The Rolls of the </w:t>
      </w:r>
      <w:proofErr w:type="spellStart"/>
      <w:r w:rsidRPr="00073F6A">
        <w:rPr>
          <w:i/>
          <w:iCs/>
          <w:lang w:val="fr-FR"/>
        </w:rPr>
        <w:t>Freemen</w:t>
      </w:r>
      <w:proofErr w:type="spellEnd"/>
      <w:r w:rsidRPr="00073F6A">
        <w:rPr>
          <w:i/>
          <w:iCs/>
          <w:lang w:val="fr-FR"/>
        </w:rPr>
        <w:t xml:space="preserve"> of the Borough of Lancaster, 1688-1840, Part I, </w:t>
      </w:r>
      <w:r w:rsidRPr="00073F6A">
        <w:rPr>
          <w:lang w:val="fr-FR"/>
        </w:rPr>
        <w:t>(Lancaster, 1935)</w:t>
      </w:r>
      <w:r w:rsidRPr="00073F6A">
        <w:t> </w:t>
      </w:r>
    </w:p>
    <w:p w14:paraId="0631C179" w14:textId="77777777" w:rsidR="00073F6A" w:rsidRPr="00073F6A" w:rsidRDefault="00073F6A" w:rsidP="00073F6A">
      <w:pPr>
        <w:spacing w:after="240" w:line="240" w:lineRule="auto"/>
        <w:jc w:val="both"/>
      </w:pPr>
      <w:r w:rsidRPr="00073F6A">
        <w:rPr>
          <w:lang w:val="en-US"/>
        </w:rPr>
        <w:t xml:space="preserve">Caryl, Joseph, </w:t>
      </w:r>
      <w:proofErr w:type="gramStart"/>
      <w:r w:rsidRPr="00073F6A">
        <w:rPr>
          <w:i/>
          <w:iCs/>
          <w:lang w:val="en-US"/>
        </w:rPr>
        <w:t>An</w:t>
      </w:r>
      <w:proofErr w:type="gramEnd"/>
      <w:r w:rsidRPr="00073F6A">
        <w:rPr>
          <w:i/>
          <w:iCs/>
          <w:lang w:val="en-US"/>
        </w:rPr>
        <w:t xml:space="preserve"> exposition with </w:t>
      </w:r>
      <w:proofErr w:type="spellStart"/>
      <w:r w:rsidRPr="00073F6A">
        <w:rPr>
          <w:i/>
          <w:iCs/>
          <w:lang w:val="en-US"/>
        </w:rPr>
        <w:t>practicall</w:t>
      </w:r>
      <w:proofErr w:type="spellEnd"/>
      <w:r w:rsidRPr="00073F6A">
        <w:rPr>
          <w:i/>
          <w:iCs/>
          <w:lang w:val="en-US"/>
        </w:rPr>
        <w:t xml:space="preserve"> observations continued upon the eighth, ninth and tenth chapters of the book of Job being the </w:t>
      </w:r>
      <w:proofErr w:type="spellStart"/>
      <w:r w:rsidRPr="00073F6A">
        <w:rPr>
          <w:i/>
          <w:iCs/>
          <w:lang w:val="en-US"/>
        </w:rPr>
        <w:t>summe</w:t>
      </w:r>
      <w:proofErr w:type="spellEnd"/>
      <w:r w:rsidRPr="00073F6A">
        <w:rPr>
          <w:i/>
          <w:iCs/>
          <w:lang w:val="en-US"/>
        </w:rPr>
        <w:t xml:space="preserve"> of </w:t>
      </w:r>
      <w:proofErr w:type="gramStart"/>
      <w:r w:rsidRPr="00073F6A">
        <w:rPr>
          <w:i/>
          <w:iCs/>
          <w:lang w:val="en-US"/>
        </w:rPr>
        <w:t>thirty two</w:t>
      </w:r>
      <w:proofErr w:type="gramEnd"/>
      <w:r w:rsidRPr="00073F6A">
        <w:rPr>
          <w:i/>
          <w:iCs/>
          <w:lang w:val="en-US"/>
        </w:rPr>
        <w:t xml:space="preserve"> lectures, delivered at Magnus </w:t>
      </w:r>
      <w:proofErr w:type="spellStart"/>
      <w:r w:rsidRPr="00073F6A">
        <w:rPr>
          <w:i/>
          <w:iCs/>
          <w:lang w:val="en-US"/>
        </w:rPr>
        <w:t>neer</w:t>
      </w:r>
      <w:proofErr w:type="spellEnd"/>
      <w:r w:rsidRPr="00073F6A">
        <w:rPr>
          <w:i/>
          <w:iCs/>
          <w:lang w:val="en-US"/>
        </w:rPr>
        <w:t xml:space="preserve"> the bridge, London, </w:t>
      </w:r>
      <w:r w:rsidRPr="00073F6A">
        <w:rPr>
          <w:lang w:val="en-US"/>
        </w:rPr>
        <w:t>(London, 1647),</w:t>
      </w:r>
      <w:r w:rsidRPr="00073F6A">
        <w:t> </w:t>
      </w:r>
    </w:p>
    <w:p w14:paraId="3DD7F129" w14:textId="19F8DE65" w:rsidR="00073F6A" w:rsidRPr="00073F6A" w:rsidRDefault="00073F6A" w:rsidP="00073F6A">
      <w:pPr>
        <w:spacing w:after="240" w:line="240" w:lineRule="auto"/>
        <w:jc w:val="both"/>
      </w:pPr>
      <w:r w:rsidRPr="00073F6A">
        <w:rPr>
          <w:lang w:val="en-US"/>
        </w:rPr>
        <w:t xml:space="preserve">Charnock, Stephen, </w:t>
      </w:r>
      <w:r w:rsidRPr="00073F6A">
        <w:rPr>
          <w:i/>
          <w:iCs/>
          <w:lang w:val="en-US"/>
        </w:rPr>
        <w:t xml:space="preserve">A supplement to the several discourses upon various divine subjects, </w:t>
      </w:r>
      <w:r w:rsidRPr="00073F6A">
        <w:rPr>
          <w:lang w:val="en-US"/>
        </w:rPr>
        <w:t>(London, 1683)</w:t>
      </w:r>
      <w:r w:rsidRPr="00073F6A">
        <w:t> </w:t>
      </w:r>
    </w:p>
    <w:p w14:paraId="204B8032" w14:textId="77777777" w:rsidR="00073F6A" w:rsidRPr="00073F6A" w:rsidRDefault="00073F6A" w:rsidP="00073F6A">
      <w:pPr>
        <w:spacing w:after="240" w:line="240" w:lineRule="auto"/>
        <w:jc w:val="both"/>
      </w:pPr>
      <w:r w:rsidRPr="00073F6A">
        <w:rPr>
          <w:lang w:val="fr-FR"/>
        </w:rPr>
        <w:t xml:space="preserve">Charron, Pierre, </w:t>
      </w:r>
      <w:r w:rsidRPr="00073F6A">
        <w:rPr>
          <w:i/>
          <w:iCs/>
          <w:lang w:val="fr-FR"/>
        </w:rPr>
        <w:t xml:space="preserve">Of </w:t>
      </w:r>
      <w:proofErr w:type="spellStart"/>
      <w:r w:rsidRPr="00073F6A">
        <w:rPr>
          <w:i/>
          <w:iCs/>
          <w:lang w:val="fr-FR"/>
        </w:rPr>
        <w:t>wisdom</w:t>
      </w:r>
      <w:proofErr w:type="spellEnd"/>
      <w:r w:rsidRPr="00073F6A">
        <w:rPr>
          <w:i/>
          <w:iCs/>
          <w:lang w:val="fr-FR"/>
        </w:rPr>
        <w:t xml:space="preserve"> </w:t>
      </w:r>
      <w:proofErr w:type="spellStart"/>
      <w:r w:rsidRPr="00073F6A">
        <w:rPr>
          <w:i/>
          <w:iCs/>
          <w:lang w:val="fr-FR"/>
        </w:rPr>
        <w:t>three</w:t>
      </w:r>
      <w:proofErr w:type="spellEnd"/>
      <w:r w:rsidRPr="00073F6A">
        <w:rPr>
          <w:i/>
          <w:iCs/>
          <w:lang w:val="fr-FR"/>
        </w:rPr>
        <w:t xml:space="preserve"> books / </w:t>
      </w:r>
      <w:proofErr w:type="spellStart"/>
      <w:r w:rsidRPr="00073F6A">
        <w:rPr>
          <w:i/>
          <w:iCs/>
          <w:lang w:val="fr-FR"/>
        </w:rPr>
        <w:t>written</w:t>
      </w:r>
      <w:proofErr w:type="spellEnd"/>
      <w:r w:rsidRPr="00073F6A">
        <w:rPr>
          <w:i/>
          <w:iCs/>
          <w:lang w:val="fr-FR"/>
        </w:rPr>
        <w:t xml:space="preserve"> </w:t>
      </w:r>
      <w:proofErr w:type="spellStart"/>
      <w:r w:rsidRPr="00073F6A">
        <w:rPr>
          <w:i/>
          <w:iCs/>
          <w:lang w:val="fr-FR"/>
        </w:rPr>
        <w:t>originally</w:t>
      </w:r>
      <w:proofErr w:type="spellEnd"/>
      <w:r w:rsidRPr="00073F6A">
        <w:rPr>
          <w:i/>
          <w:iCs/>
          <w:lang w:val="fr-FR"/>
        </w:rPr>
        <w:t xml:space="preserve"> in French by the Sieur de </w:t>
      </w:r>
      <w:proofErr w:type="gramStart"/>
      <w:r w:rsidRPr="00073F6A">
        <w:rPr>
          <w:i/>
          <w:iCs/>
          <w:lang w:val="fr-FR"/>
        </w:rPr>
        <w:t>Charron;</w:t>
      </w:r>
      <w:proofErr w:type="gramEnd"/>
      <w:r w:rsidRPr="00073F6A">
        <w:rPr>
          <w:i/>
          <w:iCs/>
          <w:lang w:val="fr-FR"/>
        </w:rPr>
        <w:t xml:space="preserve"> </w:t>
      </w:r>
      <w:proofErr w:type="spellStart"/>
      <w:r w:rsidRPr="00073F6A">
        <w:rPr>
          <w:i/>
          <w:iCs/>
          <w:lang w:val="fr-FR"/>
        </w:rPr>
        <w:t>with</w:t>
      </w:r>
      <w:proofErr w:type="spellEnd"/>
      <w:r w:rsidRPr="00073F6A">
        <w:rPr>
          <w:i/>
          <w:iCs/>
          <w:lang w:val="fr-FR"/>
        </w:rPr>
        <w:t xml:space="preserve"> an </w:t>
      </w:r>
      <w:proofErr w:type="spellStart"/>
      <w:r w:rsidRPr="00073F6A">
        <w:rPr>
          <w:i/>
          <w:iCs/>
          <w:lang w:val="fr-FR"/>
        </w:rPr>
        <w:t>account</w:t>
      </w:r>
      <w:proofErr w:type="spellEnd"/>
      <w:r w:rsidRPr="00073F6A">
        <w:rPr>
          <w:i/>
          <w:iCs/>
          <w:lang w:val="fr-FR"/>
        </w:rPr>
        <w:t xml:space="preserve"> of the </w:t>
      </w:r>
      <w:proofErr w:type="spellStart"/>
      <w:r w:rsidRPr="00073F6A">
        <w:rPr>
          <w:i/>
          <w:iCs/>
          <w:lang w:val="fr-FR"/>
        </w:rPr>
        <w:t>author</w:t>
      </w:r>
      <w:proofErr w:type="spellEnd"/>
      <w:r w:rsidRPr="00073F6A">
        <w:rPr>
          <w:i/>
          <w:iCs/>
          <w:lang w:val="fr-FR"/>
        </w:rPr>
        <w:t xml:space="preserve">, made English by George Stanhope, </w:t>
      </w:r>
      <w:r w:rsidRPr="00073F6A">
        <w:rPr>
          <w:lang w:val="fr-FR"/>
        </w:rPr>
        <w:t>(London, 1697)</w:t>
      </w:r>
      <w:r w:rsidRPr="00073F6A">
        <w:t> </w:t>
      </w:r>
    </w:p>
    <w:p w14:paraId="0B81D0E3" w14:textId="77777777" w:rsidR="00073F6A" w:rsidRPr="00073F6A" w:rsidRDefault="00073F6A" w:rsidP="00073F6A">
      <w:pPr>
        <w:spacing w:after="240" w:line="240" w:lineRule="auto"/>
        <w:jc w:val="both"/>
      </w:pPr>
      <w:proofErr w:type="spellStart"/>
      <w:r w:rsidRPr="00073F6A">
        <w:rPr>
          <w:lang w:val="en-US"/>
        </w:rPr>
        <w:t>D’Ouvilly</w:t>
      </w:r>
      <w:proofErr w:type="spellEnd"/>
      <w:r w:rsidRPr="00073F6A">
        <w:rPr>
          <w:lang w:val="en-US"/>
        </w:rPr>
        <w:t xml:space="preserve">, George Gerbier, </w:t>
      </w:r>
      <w:r w:rsidRPr="00073F6A">
        <w:rPr>
          <w:i/>
          <w:iCs/>
          <w:lang w:val="en-US"/>
        </w:rPr>
        <w:t xml:space="preserve">The false </w:t>
      </w:r>
      <w:proofErr w:type="spellStart"/>
      <w:r w:rsidRPr="00073F6A">
        <w:rPr>
          <w:i/>
          <w:iCs/>
          <w:lang w:val="en-US"/>
        </w:rPr>
        <w:t>favourit</w:t>
      </w:r>
      <w:proofErr w:type="spellEnd"/>
      <w:r w:rsidRPr="00073F6A">
        <w:rPr>
          <w:i/>
          <w:iCs/>
          <w:lang w:val="en-US"/>
        </w:rPr>
        <w:t xml:space="preserve"> </w:t>
      </w:r>
      <w:proofErr w:type="spellStart"/>
      <w:r w:rsidRPr="00073F6A">
        <w:rPr>
          <w:i/>
          <w:iCs/>
          <w:lang w:val="en-US"/>
        </w:rPr>
        <w:t>disgrac'd</w:t>
      </w:r>
      <w:proofErr w:type="spellEnd"/>
      <w:r w:rsidRPr="00073F6A">
        <w:rPr>
          <w:i/>
          <w:iCs/>
          <w:lang w:val="en-US"/>
        </w:rPr>
        <w:t xml:space="preserve">. </w:t>
      </w:r>
      <w:proofErr w:type="gramStart"/>
      <w:r w:rsidRPr="00073F6A">
        <w:rPr>
          <w:i/>
          <w:iCs/>
          <w:lang w:val="en-US"/>
        </w:rPr>
        <w:t>and,</w:t>
      </w:r>
      <w:proofErr w:type="gramEnd"/>
      <w:r w:rsidRPr="00073F6A">
        <w:rPr>
          <w:i/>
          <w:iCs/>
          <w:lang w:val="en-US"/>
        </w:rPr>
        <w:t xml:space="preserve"> The reward of loyalty. A </w:t>
      </w:r>
      <w:proofErr w:type="gramStart"/>
      <w:r w:rsidRPr="00073F6A">
        <w:rPr>
          <w:i/>
          <w:iCs/>
          <w:lang w:val="en-US"/>
        </w:rPr>
        <w:t>tragi-comedy</w:t>
      </w:r>
      <w:proofErr w:type="gramEnd"/>
      <w:r w:rsidRPr="00073F6A">
        <w:rPr>
          <w:i/>
          <w:iCs/>
          <w:lang w:val="en-US"/>
        </w:rPr>
        <w:t>, never acted,</w:t>
      </w:r>
      <w:r w:rsidRPr="00073F6A">
        <w:rPr>
          <w:lang w:val="en-US"/>
        </w:rPr>
        <w:t xml:space="preserve"> (London, 1657)</w:t>
      </w:r>
      <w:r w:rsidRPr="00073F6A">
        <w:t> </w:t>
      </w:r>
    </w:p>
    <w:p w14:paraId="0E375C53" w14:textId="77777777" w:rsidR="00073F6A" w:rsidRPr="00073F6A" w:rsidRDefault="00073F6A" w:rsidP="00073F6A">
      <w:pPr>
        <w:spacing w:after="240" w:line="240" w:lineRule="auto"/>
        <w:jc w:val="both"/>
      </w:pPr>
      <w:r w:rsidRPr="00073F6A">
        <w:rPr>
          <w:lang w:val="en-US"/>
        </w:rPr>
        <w:t xml:space="preserve">de la </w:t>
      </w:r>
      <w:proofErr w:type="spellStart"/>
      <w:r w:rsidRPr="00073F6A">
        <w:rPr>
          <w:lang w:val="en-US"/>
        </w:rPr>
        <w:t>Roberdière</w:t>
      </w:r>
      <w:proofErr w:type="spellEnd"/>
      <w:r w:rsidRPr="00073F6A">
        <w:rPr>
          <w:lang w:val="en-US"/>
        </w:rPr>
        <w:t xml:space="preserve">, Alexandre, </w:t>
      </w:r>
      <w:proofErr w:type="gramStart"/>
      <w:r w:rsidRPr="00073F6A">
        <w:rPr>
          <w:i/>
          <w:iCs/>
          <w:lang w:val="en-US"/>
        </w:rPr>
        <w:t>Love</w:t>
      </w:r>
      <w:proofErr w:type="gramEnd"/>
      <w:r w:rsidRPr="00073F6A">
        <w:rPr>
          <w:i/>
          <w:iCs/>
          <w:lang w:val="en-US"/>
        </w:rPr>
        <w:t xml:space="preserve"> victorious, or, </w:t>
      </w:r>
      <w:proofErr w:type="gramStart"/>
      <w:r w:rsidRPr="00073F6A">
        <w:rPr>
          <w:i/>
          <w:iCs/>
          <w:lang w:val="en-US"/>
        </w:rPr>
        <w:t>The</w:t>
      </w:r>
      <w:proofErr w:type="gramEnd"/>
      <w:r w:rsidRPr="00073F6A">
        <w:rPr>
          <w:i/>
          <w:iCs/>
          <w:lang w:val="en-US"/>
        </w:rPr>
        <w:t xml:space="preserve"> adventures of </w:t>
      </w:r>
      <w:proofErr w:type="spellStart"/>
      <w:r w:rsidRPr="00073F6A">
        <w:rPr>
          <w:i/>
          <w:iCs/>
          <w:lang w:val="en-US"/>
        </w:rPr>
        <w:t>Oronces</w:t>
      </w:r>
      <w:proofErr w:type="spellEnd"/>
      <w:r w:rsidRPr="00073F6A">
        <w:rPr>
          <w:i/>
          <w:iCs/>
          <w:lang w:val="en-US"/>
        </w:rPr>
        <w:t xml:space="preserve"> and Eugenia a novel / written in French by the Sieur de la </w:t>
      </w:r>
      <w:proofErr w:type="spellStart"/>
      <w:proofErr w:type="gramStart"/>
      <w:r w:rsidRPr="00073F6A">
        <w:rPr>
          <w:i/>
          <w:iCs/>
          <w:lang w:val="en-US"/>
        </w:rPr>
        <w:t>Roberdiere</w:t>
      </w:r>
      <w:proofErr w:type="spellEnd"/>
      <w:r w:rsidRPr="00073F6A">
        <w:rPr>
          <w:i/>
          <w:iCs/>
          <w:lang w:val="en-US"/>
        </w:rPr>
        <w:t xml:space="preserve"> ;</w:t>
      </w:r>
      <w:proofErr w:type="gramEnd"/>
      <w:r w:rsidRPr="00073F6A">
        <w:rPr>
          <w:i/>
          <w:iCs/>
          <w:lang w:val="en-US"/>
        </w:rPr>
        <w:t xml:space="preserve"> translated by J.E.,</w:t>
      </w:r>
      <w:r w:rsidRPr="00073F6A">
        <w:rPr>
          <w:lang w:val="en-US"/>
        </w:rPr>
        <w:t xml:space="preserve"> (London, 1684)</w:t>
      </w:r>
      <w:r w:rsidRPr="00073F6A">
        <w:t> </w:t>
      </w:r>
    </w:p>
    <w:p w14:paraId="7CDD970B" w14:textId="77777777" w:rsidR="00073F6A" w:rsidRPr="00073F6A" w:rsidRDefault="00073F6A" w:rsidP="00073F6A">
      <w:pPr>
        <w:spacing w:after="240" w:line="240" w:lineRule="auto"/>
        <w:jc w:val="both"/>
      </w:pPr>
      <w:r w:rsidRPr="00073F6A">
        <w:rPr>
          <w:lang w:val="en-US"/>
        </w:rPr>
        <w:lastRenderedPageBreak/>
        <w:t xml:space="preserve">Defoe, Daniel, </w:t>
      </w:r>
      <w:r w:rsidRPr="00073F6A">
        <w:rPr>
          <w:i/>
          <w:iCs/>
          <w:lang w:val="en-US"/>
        </w:rPr>
        <w:t xml:space="preserve">A Journal of the Plague Year, </w:t>
      </w:r>
      <w:r w:rsidRPr="00073F6A">
        <w:rPr>
          <w:lang w:val="en-US"/>
        </w:rPr>
        <w:t>(London, 1722)</w:t>
      </w:r>
      <w:r w:rsidRPr="00073F6A">
        <w:t> </w:t>
      </w:r>
    </w:p>
    <w:p w14:paraId="5BF8785B" w14:textId="77777777" w:rsidR="00073F6A" w:rsidRPr="00073F6A" w:rsidRDefault="00073F6A" w:rsidP="00073F6A">
      <w:pPr>
        <w:spacing w:after="240" w:line="240" w:lineRule="auto"/>
        <w:jc w:val="both"/>
      </w:pPr>
      <w:r w:rsidRPr="00073F6A">
        <w:rPr>
          <w:lang w:val="en-US"/>
        </w:rPr>
        <w:t>Dionis, Pierre,</w:t>
      </w:r>
      <w:r w:rsidRPr="00073F6A">
        <w:rPr>
          <w:i/>
          <w:iCs/>
          <w:lang w:val="en-US"/>
        </w:rPr>
        <w:t xml:space="preserve"> </w:t>
      </w:r>
      <w:proofErr w:type="spellStart"/>
      <w:r w:rsidRPr="00073F6A">
        <w:rPr>
          <w:i/>
          <w:iCs/>
          <w:lang w:val="en-US"/>
        </w:rPr>
        <w:t>L’anatomie</w:t>
      </w:r>
      <w:proofErr w:type="spellEnd"/>
      <w:r w:rsidRPr="00073F6A">
        <w:rPr>
          <w:i/>
          <w:iCs/>
          <w:lang w:val="en-US"/>
        </w:rPr>
        <w:t xml:space="preserve"> de </w:t>
      </w:r>
      <w:proofErr w:type="spellStart"/>
      <w:r w:rsidRPr="00073F6A">
        <w:rPr>
          <w:i/>
          <w:iCs/>
          <w:lang w:val="en-US"/>
        </w:rPr>
        <w:t>l’homme</w:t>
      </w:r>
      <w:proofErr w:type="spellEnd"/>
      <w:r w:rsidRPr="00073F6A">
        <w:rPr>
          <w:i/>
          <w:iCs/>
          <w:lang w:val="en-US"/>
        </w:rPr>
        <w:t xml:space="preserve">, </w:t>
      </w:r>
      <w:r w:rsidRPr="00073F6A">
        <w:rPr>
          <w:lang w:val="en-US"/>
        </w:rPr>
        <w:t>(Paris, 1694)</w:t>
      </w:r>
      <w:r w:rsidRPr="00073F6A">
        <w:t> </w:t>
      </w:r>
    </w:p>
    <w:p w14:paraId="662E2288" w14:textId="77777777" w:rsidR="00073F6A" w:rsidRPr="00073F6A" w:rsidRDefault="00073F6A" w:rsidP="00073F6A">
      <w:pPr>
        <w:spacing w:after="240" w:line="240" w:lineRule="auto"/>
        <w:jc w:val="both"/>
      </w:pPr>
      <w:r w:rsidRPr="00073F6A">
        <w:rPr>
          <w:lang w:val="en-US"/>
        </w:rPr>
        <w:t xml:space="preserve">Doolittle, Thomas, </w:t>
      </w:r>
      <w:r w:rsidRPr="00073F6A">
        <w:rPr>
          <w:i/>
          <w:iCs/>
          <w:lang w:val="en-US"/>
        </w:rPr>
        <w:t xml:space="preserve">Earthquakes explained and practically improved occasioned by the late earthquake on Sept. 8, </w:t>
      </w:r>
      <w:proofErr w:type="gramStart"/>
      <w:r w:rsidRPr="00073F6A">
        <w:rPr>
          <w:i/>
          <w:iCs/>
          <w:lang w:val="en-US"/>
        </w:rPr>
        <w:t>1692</w:t>
      </w:r>
      <w:proofErr w:type="gramEnd"/>
      <w:r w:rsidRPr="00073F6A">
        <w:rPr>
          <w:i/>
          <w:iCs/>
          <w:lang w:val="en-US"/>
        </w:rPr>
        <w:t xml:space="preserve"> in London, many other parts in England, and beyond sea</w:t>
      </w:r>
      <w:r w:rsidRPr="00073F6A">
        <w:rPr>
          <w:lang w:val="en-US"/>
        </w:rPr>
        <w:t>, (London, 1693)</w:t>
      </w:r>
      <w:r w:rsidRPr="00073F6A">
        <w:t> </w:t>
      </w:r>
    </w:p>
    <w:p w14:paraId="12EFB5B1" w14:textId="77777777" w:rsidR="00073F6A" w:rsidRPr="00073F6A" w:rsidRDefault="00073F6A" w:rsidP="00073F6A">
      <w:pPr>
        <w:spacing w:after="240" w:line="240" w:lineRule="auto"/>
        <w:jc w:val="both"/>
      </w:pPr>
      <w:r w:rsidRPr="00073F6A">
        <w:rPr>
          <w:lang w:val="en-US"/>
        </w:rPr>
        <w:t>Elder, William,</w:t>
      </w:r>
      <w:r w:rsidRPr="00073F6A">
        <w:rPr>
          <w:i/>
          <w:iCs/>
          <w:lang w:val="en-US"/>
        </w:rPr>
        <w:t xml:space="preserve"> Pearls of eloquence, or, </w:t>
      </w:r>
      <w:proofErr w:type="gramStart"/>
      <w:r w:rsidRPr="00073F6A">
        <w:rPr>
          <w:i/>
          <w:iCs/>
          <w:lang w:val="en-US"/>
        </w:rPr>
        <w:t>The</w:t>
      </w:r>
      <w:proofErr w:type="gramEnd"/>
      <w:r w:rsidRPr="00073F6A">
        <w:rPr>
          <w:i/>
          <w:iCs/>
          <w:lang w:val="en-US"/>
        </w:rPr>
        <w:t xml:space="preserve"> school of complements Wherein ladies, gentlewomen, and </w:t>
      </w:r>
      <w:proofErr w:type="spellStart"/>
      <w:r w:rsidRPr="00073F6A">
        <w:rPr>
          <w:i/>
          <w:iCs/>
          <w:lang w:val="en-US"/>
        </w:rPr>
        <w:t>schollars</w:t>
      </w:r>
      <w:proofErr w:type="spellEnd"/>
      <w:r w:rsidRPr="00073F6A">
        <w:rPr>
          <w:i/>
          <w:iCs/>
          <w:lang w:val="en-US"/>
        </w:rPr>
        <w:t xml:space="preserve">, may accommodate their courtly practice with gentile ceremonies, complemental, amorous, and high expressions of speaking, or writing of letters, </w:t>
      </w:r>
      <w:r w:rsidRPr="00073F6A">
        <w:rPr>
          <w:lang w:val="en-US"/>
        </w:rPr>
        <w:t>(London, 1656)</w:t>
      </w:r>
      <w:r w:rsidRPr="00073F6A">
        <w:t> </w:t>
      </w:r>
    </w:p>
    <w:p w14:paraId="111A0B90" w14:textId="77777777" w:rsidR="00073F6A" w:rsidRPr="00073F6A" w:rsidRDefault="00073F6A" w:rsidP="00073F6A">
      <w:pPr>
        <w:spacing w:after="240" w:line="240" w:lineRule="auto"/>
        <w:jc w:val="both"/>
      </w:pPr>
      <w:r w:rsidRPr="00073F6A">
        <w:rPr>
          <w:lang w:val="fr-FR"/>
        </w:rPr>
        <w:t xml:space="preserve">Eliot, George, </w:t>
      </w:r>
      <w:r w:rsidRPr="00073F6A">
        <w:rPr>
          <w:i/>
          <w:iCs/>
          <w:lang w:val="fr-FR"/>
        </w:rPr>
        <w:t xml:space="preserve">The Mill on the Floss, </w:t>
      </w:r>
      <w:r w:rsidRPr="00073F6A">
        <w:rPr>
          <w:lang w:val="fr-FR"/>
        </w:rPr>
        <w:t>(London, 1860)</w:t>
      </w:r>
      <w:r w:rsidRPr="00073F6A">
        <w:t> </w:t>
      </w:r>
    </w:p>
    <w:p w14:paraId="2F3A58FF" w14:textId="32E50BD0" w:rsidR="00073F6A" w:rsidRPr="00073F6A" w:rsidRDefault="00073F6A" w:rsidP="00073F6A">
      <w:pPr>
        <w:spacing w:after="240" w:line="240" w:lineRule="auto"/>
        <w:jc w:val="both"/>
      </w:pPr>
      <w:r w:rsidRPr="00073F6A">
        <w:rPr>
          <w:lang w:val="en-US"/>
        </w:rPr>
        <w:t>Fenner, William,</w:t>
      </w:r>
      <w:r w:rsidRPr="00073F6A">
        <w:rPr>
          <w:i/>
          <w:iCs/>
          <w:lang w:val="en-US"/>
        </w:rPr>
        <w:t xml:space="preserve"> </w:t>
      </w:r>
      <w:proofErr w:type="gramStart"/>
      <w:r w:rsidRPr="00073F6A">
        <w:rPr>
          <w:i/>
          <w:iCs/>
          <w:lang w:val="en-US"/>
        </w:rPr>
        <w:t>The</w:t>
      </w:r>
      <w:proofErr w:type="gramEnd"/>
      <w:r w:rsidRPr="00073F6A">
        <w:rPr>
          <w:i/>
          <w:iCs/>
          <w:lang w:val="en-US"/>
        </w:rPr>
        <w:t xml:space="preserve"> riches of grace a treatise shewing the value and excellency of a gracious spirit by comparing it with the nature and spirits of wicked and ungodly men, which desire not the </w:t>
      </w:r>
      <w:proofErr w:type="spellStart"/>
      <w:r w:rsidRPr="00073F6A">
        <w:rPr>
          <w:i/>
          <w:iCs/>
          <w:lang w:val="en-US"/>
        </w:rPr>
        <w:t>wayes</w:t>
      </w:r>
      <w:proofErr w:type="spellEnd"/>
      <w:r w:rsidRPr="00073F6A">
        <w:rPr>
          <w:i/>
          <w:iCs/>
          <w:lang w:val="en-US"/>
        </w:rPr>
        <w:t xml:space="preserve"> of the Lord Jesus</w:t>
      </w:r>
      <w:r w:rsidRPr="00073F6A">
        <w:rPr>
          <w:lang w:val="en-US"/>
        </w:rPr>
        <w:t>, (London, 1641)</w:t>
      </w:r>
      <w:r w:rsidRPr="00073F6A">
        <w:t> </w:t>
      </w:r>
    </w:p>
    <w:p w14:paraId="6C7505A0" w14:textId="77777777" w:rsidR="00073F6A" w:rsidRPr="00073F6A" w:rsidRDefault="00073F6A" w:rsidP="00073F6A">
      <w:pPr>
        <w:spacing w:after="240" w:line="240" w:lineRule="auto"/>
        <w:jc w:val="both"/>
      </w:pPr>
      <w:r w:rsidRPr="00073F6A">
        <w:rPr>
          <w:lang w:val="fr-FR"/>
        </w:rPr>
        <w:t xml:space="preserve">Foster, Joseph, </w:t>
      </w:r>
      <w:r w:rsidRPr="00073F6A">
        <w:rPr>
          <w:i/>
          <w:iCs/>
          <w:lang w:val="fr-FR"/>
        </w:rPr>
        <w:t xml:space="preserve">Alumni </w:t>
      </w:r>
      <w:proofErr w:type="spellStart"/>
      <w:proofErr w:type="gramStart"/>
      <w:r w:rsidRPr="00073F6A">
        <w:rPr>
          <w:i/>
          <w:iCs/>
          <w:lang w:val="fr-FR"/>
        </w:rPr>
        <w:t>Oxonienses</w:t>
      </w:r>
      <w:proofErr w:type="spellEnd"/>
      <w:r w:rsidRPr="00073F6A">
        <w:rPr>
          <w:i/>
          <w:iCs/>
          <w:lang w:val="fr-FR"/>
        </w:rPr>
        <w:t>:</w:t>
      </w:r>
      <w:proofErr w:type="gramEnd"/>
      <w:r w:rsidRPr="00073F6A">
        <w:rPr>
          <w:i/>
          <w:iCs/>
          <w:lang w:val="fr-FR"/>
        </w:rPr>
        <w:t xml:space="preserve"> The </w:t>
      </w:r>
      <w:proofErr w:type="spellStart"/>
      <w:r w:rsidRPr="00073F6A">
        <w:rPr>
          <w:i/>
          <w:iCs/>
          <w:lang w:val="fr-FR"/>
        </w:rPr>
        <w:t>Members</w:t>
      </w:r>
      <w:proofErr w:type="spellEnd"/>
      <w:r w:rsidRPr="00073F6A">
        <w:rPr>
          <w:i/>
          <w:iCs/>
          <w:lang w:val="fr-FR"/>
        </w:rPr>
        <w:t xml:space="preserve"> of the </w:t>
      </w:r>
      <w:proofErr w:type="spellStart"/>
      <w:r w:rsidRPr="00073F6A">
        <w:rPr>
          <w:i/>
          <w:iCs/>
          <w:lang w:val="fr-FR"/>
        </w:rPr>
        <w:t>University</w:t>
      </w:r>
      <w:proofErr w:type="spellEnd"/>
      <w:r w:rsidRPr="00073F6A">
        <w:rPr>
          <w:i/>
          <w:iCs/>
          <w:lang w:val="fr-FR"/>
        </w:rPr>
        <w:t xml:space="preserve"> of Oxford, 1715-1886</w:t>
      </w:r>
      <w:r w:rsidRPr="00073F6A">
        <w:rPr>
          <w:lang w:val="fr-FR"/>
        </w:rPr>
        <w:t>, (Oxford,</w:t>
      </w:r>
      <w:r w:rsidRPr="00073F6A">
        <w:rPr>
          <w:i/>
          <w:iCs/>
          <w:lang w:val="fr-FR"/>
        </w:rPr>
        <w:t xml:space="preserve"> </w:t>
      </w:r>
      <w:r w:rsidRPr="00073F6A">
        <w:rPr>
          <w:lang w:val="fr-FR"/>
        </w:rPr>
        <w:t>1888)</w:t>
      </w:r>
      <w:r w:rsidRPr="00073F6A">
        <w:t> </w:t>
      </w:r>
    </w:p>
    <w:p w14:paraId="6065C6E8" w14:textId="77777777" w:rsidR="00073F6A" w:rsidRPr="00073F6A" w:rsidRDefault="00073F6A" w:rsidP="00073F6A">
      <w:pPr>
        <w:spacing w:after="240" w:line="240" w:lineRule="auto"/>
        <w:jc w:val="both"/>
      </w:pPr>
      <w:r w:rsidRPr="00073F6A">
        <w:rPr>
          <w:lang w:val="en-US"/>
        </w:rPr>
        <w:t>Gardiner</w:t>
      </w:r>
      <w:r w:rsidRPr="00073F6A">
        <w:rPr>
          <w:i/>
          <w:iCs/>
          <w:lang w:val="en-US"/>
        </w:rPr>
        <w:t xml:space="preserve">, </w:t>
      </w:r>
      <w:r w:rsidRPr="00073F6A">
        <w:rPr>
          <w:lang w:val="en-US"/>
        </w:rPr>
        <w:t xml:space="preserve">Samuel, </w:t>
      </w:r>
      <w:proofErr w:type="gramStart"/>
      <w:r w:rsidRPr="00073F6A">
        <w:rPr>
          <w:i/>
          <w:iCs/>
          <w:lang w:val="en-US"/>
        </w:rPr>
        <w:t>The</w:t>
      </w:r>
      <w:proofErr w:type="gramEnd"/>
      <w:r w:rsidRPr="00073F6A">
        <w:rPr>
          <w:i/>
          <w:iCs/>
          <w:lang w:val="en-US"/>
        </w:rPr>
        <w:t xml:space="preserve"> </w:t>
      </w:r>
      <w:proofErr w:type="spellStart"/>
      <w:r w:rsidRPr="00073F6A">
        <w:rPr>
          <w:i/>
          <w:iCs/>
          <w:lang w:val="en-US"/>
        </w:rPr>
        <w:t>portraitur</w:t>
      </w:r>
      <w:proofErr w:type="spellEnd"/>
      <w:r w:rsidRPr="00073F6A">
        <w:rPr>
          <w:i/>
          <w:iCs/>
          <w:lang w:val="en-US"/>
        </w:rPr>
        <w:t xml:space="preserve"> of the prodigal </w:t>
      </w:r>
      <w:proofErr w:type="spellStart"/>
      <w:r w:rsidRPr="00073F6A">
        <w:rPr>
          <w:i/>
          <w:iCs/>
          <w:lang w:val="en-US"/>
        </w:rPr>
        <w:t>sonne</w:t>
      </w:r>
      <w:proofErr w:type="spellEnd"/>
      <w:r w:rsidRPr="00073F6A">
        <w:rPr>
          <w:i/>
          <w:iCs/>
          <w:lang w:val="en-US"/>
        </w:rPr>
        <w:t xml:space="preserve"> </w:t>
      </w:r>
      <w:proofErr w:type="spellStart"/>
      <w:r w:rsidRPr="00073F6A">
        <w:rPr>
          <w:i/>
          <w:iCs/>
          <w:lang w:val="en-US"/>
        </w:rPr>
        <w:t>liuelie</w:t>
      </w:r>
      <w:proofErr w:type="spellEnd"/>
      <w:r w:rsidRPr="00073F6A">
        <w:rPr>
          <w:i/>
          <w:iCs/>
          <w:lang w:val="en-US"/>
        </w:rPr>
        <w:t xml:space="preserve"> set forth in a three-fold discourse</w:t>
      </w:r>
      <w:r w:rsidRPr="00073F6A">
        <w:rPr>
          <w:lang w:val="en-US"/>
        </w:rPr>
        <w:t>, (London, 1599)</w:t>
      </w:r>
      <w:r w:rsidRPr="00073F6A">
        <w:t> </w:t>
      </w:r>
    </w:p>
    <w:p w14:paraId="3B8C8ED1" w14:textId="77777777" w:rsidR="00073F6A" w:rsidRPr="00073F6A" w:rsidRDefault="00073F6A" w:rsidP="00073F6A">
      <w:pPr>
        <w:spacing w:after="240" w:line="240" w:lineRule="auto"/>
        <w:jc w:val="both"/>
      </w:pPr>
      <w:r w:rsidRPr="00073F6A">
        <w:rPr>
          <w:lang w:val="fr-FR"/>
        </w:rPr>
        <w:t xml:space="preserve">Gouge, William, </w:t>
      </w:r>
      <w:r w:rsidRPr="00073F6A">
        <w:rPr>
          <w:i/>
          <w:iCs/>
          <w:lang w:val="fr-FR"/>
        </w:rPr>
        <w:t xml:space="preserve">Of </w:t>
      </w:r>
      <w:proofErr w:type="spellStart"/>
      <w:r w:rsidRPr="00073F6A">
        <w:rPr>
          <w:i/>
          <w:iCs/>
          <w:lang w:val="fr-FR"/>
        </w:rPr>
        <w:t>domesticall</w:t>
      </w:r>
      <w:proofErr w:type="spellEnd"/>
      <w:r w:rsidRPr="00073F6A">
        <w:rPr>
          <w:i/>
          <w:iCs/>
          <w:lang w:val="fr-FR"/>
        </w:rPr>
        <w:t xml:space="preserve"> </w:t>
      </w:r>
      <w:proofErr w:type="spellStart"/>
      <w:r w:rsidRPr="00073F6A">
        <w:rPr>
          <w:i/>
          <w:iCs/>
          <w:lang w:val="fr-FR"/>
        </w:rPr>
        <w:t>duties</w:t>
      </w:r>
      <w:proofErr w:type="spellEnd"/>
      <w:r w:rsidRPr="00073F6A">
        <w:rPr>
          <w:i/>
          <w:iCs/>
          <w:lang w:val="fr-FR"/>
        </w:rPr>
        <w:t xml:space="preserve"> </w:t>
      </w:r>
      <w:proofErr w:type="spellStart"/>
      <w:r w:rsidRPr="00073F6A">
        <w:rPr>
          <w:i/>
          <w:iCs/>
          <w:lang w:val="fr-FR"/>
        </w:rPr>
        <w:t>eight</w:t>
      </w:r>
      <w:proofErr w:type="spellEnd"/>
      <w:r w:rsidRPr="00073F6A">
        <w:rPr>
          <w:i/>
          <w:iCs/>
          <w:lang w:val="fr-FR"/>
        </w:rPr>
        <w:t xml:space="preserve"> </w:t>
      </w:r>
      <w:proofErr w:type="spellStart"/>
      <w:r w:rsidRPr="00073F6A">
        <w:rPr>
          <w:i/>
          <w:iCs/>
          <w:lang w:val="fr-FR"/>
        </w:rPr>
        <w:t>treatises</w:t>
      </w:r>
      <w:proofErr w:type="spellEnd"/>
      <w:r w:rsidRPr="00073F6A">
        <w:rPr>
          <w:i/>
          <w:iCs/>
          <w:lang w:val="fr-FR"/>
        </w:rPr>
        <w:t xml:space="preserve">, </w:t>
      </w:r>
      <w:r w:rsidRPr="00073F6A">
        <w:rPr>
          <w:lang w:val="fr-FR"/>
        </w:rPr>
        <w:t>(London, 1622)</w:t>
      </w:r>
      <w:r w:rsidRPr="00073F6A">
        <w:t> </w:t>
      </w:r>
    </w:p>
    <w:p w14:paraId="1A4FCE48" w14:textId="77777777" w:rsidR="00073F6A" w:rsidRPr="00073F6A" w:rsidRDefault="00073F6A" w:rsidP="00073F6A">
      <w:pPr>
        <w:spacing w:after="240" w:line="240" w:lineRule="auto"/>
        <w:jc w:val="both"/>
      </w:pPr>
      <w:r w:rsidRPr="00073F6A">
        <w:rPr>
          <w:lang w:val="fr-FR"/>
        </w:rPr>
        <w:t xml:space="preserve">H., N., </w:t>
      </w:r>
      <w:r w:rsidRPr="00073F6A">
        <w:rPr>
          <w:i/>
          <w:iCs/>
          <w:lang w:val="fr-FR"/>
        </w:rPr>
        <w:t xml:space="preserve">The Ladies </w:t>
      </w:r>
      <w:proofErr w:type="spellStart"/>
      <w:r w:rsidRPr="00073F6A">
        <w:rPr>
          <w:i/>
          <w:iCs/>
          <w:lang w:val="fr-FR"/>
        </w:rPr>
        <w:t>Dictionary</w:t>
      </w:r>
      <w:proofErr w:type="spellEnd"/>
      <w:r w:rsidRPr="00073F6A">
        <w:rPr>
          <w:i/>
          <w:iCs/>
          <w:lang w:val="fr-FR"/>
        </w:rPr>
        <w:t xml:space="preserve">, </w:t>
      </w:r>
      <w:r w:rsidRPr="00073F6A">
        <w:rPr>
          <w:lang w:val="fr-FR"/>
        </w:rPr>
        <w:t>(London, 1694)</w:t>
      </w:r>
      <w:r w:rsidRPr="00073F6A">
        <w:t> </w:t>
      </w:r>
    </w:p>
    <w:p w14:paraId="02A95848" w14:textId="77777777" w:rsidR="00073F6A" w:rsidRPr="00073F6A" w:rsidRDefault="00073F6A" w:rsidP="00073F6A">
      <w:pPr>
        <w:spacing w:after="240" w:line="240" w:lineRule="auto"/>
        <w:jc w:val="both"/>
      </w:pPr>
      <w:r w:rsidRPr="00073F6A">
        <w:rPr>
          <w:lang w:val="fr-FR"/>
        </w:rPr>
        <w:t xml:space="preserve">Harrison, William, </w:t>
      </w:r>
      <w:r w:rsidRPr="00073F6A">
        <w:rPr>
          <w:i/>
          <w:iCs/>
          <w:lang w:val="fr-FR"/>
        </w:rPr>
        <w:t xml:space="preserve">The Description of </w:t>
      </w:r>
      <w:proofErr w:type="spellStart"/>
      <w:r w:rsidRPr="00073F6A">
        <w:rPr>
          <w:i/>
          <w:iCs/>
          <w:lang w:val="fr-FR"/>
        </w:rPr>
        <w:t>England</w:t>
      </w:r>
      <w:proofErr w:type="spellEnd"/>
      <w:r w:rsidRPr="00073F6A">
        <w:rPr>
          <w:i/>
          <w:iCs/>
          <w:lang w:val="fr-FR"/>
        </w:rPr>
        <w:t xml:space="preserve">, </w:t>
      </w:r>
      <w:r w:rsidRPr="00073F6A">
        <w:rPr>
          <w:lang w:val="fr-FR"/>
        </w:rPr>
        <w:t>(London, 1577)</w:t>
      </w:r>
      <w:r w:rsidRPr="00073F6A">
        <w:t> </w:t>
      </w:r>
    </w:p>
    <w:p w14:paraId="35AC7782" w14:textId="77777777" w:rsidR="00073F6A" w:rsidRPr="00073F6A" w:rsidRDefault="00073F6A" w:rsidP="00073F6A">
      <w:pPr>
        <w:spacing w:after="240" w:line="240" w:lineRule="auto"/>
        <w:jc w:val="both"/>
      </w:pPr>
      <w:r w:rsidRPr="00073F6A">
        <w:rPr>
          <w:lang w:val="en-US"/>
        </w:rPr>
        <w:t>Hinckley</w:t>
      </w:r>
      <w:r w:rsidRPr="00073F6A">
        <w:rPr>
          <w:i/>
          <w:iCs/>
          <w:lang w:val="en-US"/>
        </w:rPr>
        <w:t xml:space="preserve">, </w:t>
      </w:r>
      <w:r w:rsidRPr="00073F6A">
        <w:rPr>
          <w:lang w:val="en-US"/>
        </w:rPr>
        <w:t xml:space="preserve">John, </w:t>
      </w:r>
      <w:proofErr w:type="spellStart"/>
      <w:r w:rsidRPr="00073F6A">
        <w:rPr>
          <w:i/>
          <w:iCs/>
          <w:lang w:val="en-US"/>
        </w:rPr>
        <w:t>Pithanelogia</w:t>
      </w:r>
      <w:proofErr w:type="spellEnd"/>
      <w:r w:rsidRPr="00073F6A">
        <w:rPr>
          <w:i/>
          <w:iCs/>
          <w:lang w:val="en-US"/>
        </w:rPr>
        <w:t xml:space="preserve">, </w:t>
      </w:r>
      <w:proofErr w:type="gramStart"/>
      <w:r w:rsidRPr="00073F6A">
        <w:rPr>
          <w:i/>
          <w:iCs/>
          <w:lang w:val="en-US"/>
        </w:rPr>
        <w:t>or,</w:t>
      </w:r>
      <w:proofErr w:type="gramEnd"/>
      <w:r w:rsidRPr="00073F6A">
        <w:rPr>
          <w:i/>
          <w:iCs/>
          <w:lang w:val="en-US"/>
        </w:rPr>
        <w:t xml:space="preserve"> A </w:t>
      </w:r>
      <w:proofErr w:type="spellStart"/>
      <w:r w:rsidRPr="00073F6A">
        <w:rPr>
          <w:i/>
          <w:iCs/>
          <w:lang w:val="en-US"/>
        </w:rPr>
        <w:t>perswasive</w:t>
      </w:r>
      <w:proofErr w:type="spellEnd"/>
      <w:r w:rsidRPr="00073F6A">
        <w:rPr>
          <w:i/>
          <w:iCs/>
          <w:lang w:val="en-US"/>
        </w:rPr>
        <w:t xml:space="preserve"> to conformity by way of a letter to the dissenting brethren / by a country minister</w:t>
      </w:r>
      <w:r w:rsidRPr="00073F6A">
        <w:rPr>
          <w:lang w:val="en-US"/>
        </w:rPr>
        <w:t>. (London, 1670)</w:t>
      </w:r>
      <w:r w:rsidRPr="00073F6A">
        <w:t> </w:t>
      </w:r>
    </w:p>
    <w:p w14:paraId="3471764B" w14:textId="77777777" w:rsidR="00073F6A" w:rsidRPr="00073F6A" w:rsidRDefault="00073F6A" w:rsidP="00073F6A">
      <w:pPr>
        <w:spacing w:after="240" w:line="240" w:lineRule="auto"/>
        <w:jc w:val="both"/>
      </w:pPr>
      <w:proofErr w:type="spellStart"/>
      <w:r w:rsidRPr="00073F6A">
        <w:rPr>
          <w:lang w:val="fr-FR"/>
        </w:rPr>
        <w:t>Holme</w:t>
      </w:r>
      <w:proofErr w:type="spellEnd"/>
      <w:r w:rsidRPr="00073F6A">
        <w:rPr>
          <w:lang w:val="fr-FR"/>
        </w:rPr>
        <w:t xml:space="preserve">, </w:t>
      </w:r>
      <w:proofErr w:type="spellStart"/>
      <w:r w:rsidRPr="00073F6A">
        <w:rPr>
          <w:lang w:val="fr-FR"/>
        </w:rPr>
        <w:t>Randle</w:t>
      </w:r>
      <w:proofErr w:type="spellEnd"/>
      <w:r w:rsidRPr="00073F6A">
        <w:rPr>
          <w:lang w:val="fr-FR"/>
        </w:rPr>
        <w:t xml:space="preserve">, </w:t>
      </w:r>
      <w:proofErr w:type="spellStart"/>
      <w:r w:rsidRPr="00073F6A">
        <w:rPr>
          <w:i/>
          <w:iCs/>
          <w:lang w:val="fr-FR"/>
        </w:rPr>
        <w:t>Academy</w:t>
      </w:r>
      <w:proofErr w:type="spellEnd"/>
      <w:r w:rsidRPr="00073F6A">
        <w:rPr>
          <w:i/>
          <w:iCs/>
          <w:lang w:val="fr-FR"/>
        </w:rPr>
        <w:t xml:space="preserve"> of </w:t>
      </w:r>
      <w:proofErr w:type="spellStart"/>
      <w:r w:rsidRPr="00073F6A">
        <w:rPr>
          <w:i/>
          <w:iCs/>
          <w:lang w:val="fr-FR"/>
        </w:rPr>
        <w:t>Armoury</w:t>
      </w:r>
      <w:proofErr w:type="spellEnd"/>
      <w:r w:rsidRPr="00073F6A">
        <w:rPr>
          <w:i/>
          <w:iCs/>
          <w:lang w:val="fr-FR"/>
        </w:rPr>
        <w:t xml:space="preserve">, </w:t>
      </w:r>
      <w:r w:rsidRPr="00073F6A">
        <w:rPr>
          <w:lang w:val="fr-FR"/>
        </w:rPr>
        <w:t>(London, 1688)</w:t>
      </w:r>
      <w:r w:rsidRPr="00073F6A">
        <w:t> </w:t>
      </w:r>
    </w:p>
    <w:p w14:paraId="7FD3F156" w14:textId="77777777" w:rsidR="00073F6A" w:rsidRPr="00073F6A" w:rsidRDefault="00073F6A" w:rsidP="00073F6A">
      <w:pPr>
        <w:spacing w:after="240" w:line="240" w:lineRule="auto"/>
        <w:jc w:val="both"/>
      </w:pPr>
      <w:r w:rsidRPr="00073F6A">
        <w:rPr>
          <w:lang w:val="en-US"/>
        </w:rPr>
        <w:t xml:space="preserve">Howgill, Francis, </w:t>
      </w:r>
      <w:proofErr w:type="gramStart"/>
      <w:r w:rsidRPr="00073F6A">
        <w:rPr>
          <w:i/>
          <w:iCs/>
          <w:lang w:val="en-US"/>
        </w:rPr>
        <w:t>This</w:t>
      </w:r>
      <w:proofErr w:type="gramEnd"/>
      <w:r w:rsidRPr="00073F6A">
        <w:rPr>
          <w:i/>
          <w:iCs/>
          <w:lang w:val="en-US"/>
        </w:rPr>
        <w:t xml:space="preserve"> is </w:t>
      </w:r>
      <w:proofErr w:type="spellStart"/>
      <w:r w:rsidRPr="00073F6A">
        <w:rPr>
          <w:i/>
          <w:iCs/>
          <w:lang w:val="en-US"/>
        </w:rPr>
        <w:t>onely</w:t>
      </w:r>
      <w:proofErr w:type="spellEnd"/>
      <w:r w:rsidRPr="00073F6A">
        <w:rPr>
          <w:i/>
          <w:iCs/>
          <w:lang w:val="en-US"/>
        </w:rPr>
        <w:t xml:space="preserve"> to </w:t>
      </w:r>
      <w:proofErr w:type="spellStart"/>
      <w:r w:rsidRPr="00073F6A">
        <w:rPr>
          <w:i/>
          <w:iCs/>
          <w:lang w:val="en-US"/>
        </w:rPr>
        <w:t>goe</w:t>
      </w:r>
      <w:proofErr w:type="spellEnd"/>
      <w:r w:rsidRPr="00073F6A">
        <w:rPr>
          <w:i/>
          <w:iCs/>
          <w:lang w:val="en-US"/>
        </w:rPr>
        <w:t xml:space="preserve"> amongst friends, </w:t>
      </w:r>
      <w:r w:rsidRPr="00073F6A">
        <w:rPr>
          <w:lang w:val="en-US"/>
        </w:rPr>
        <w:t>(London, 1656)</w:t>
      </w:r>
      <w:r w:rsidRPr="00073F6A">
        <w:t> </w:t>
      </w:r>
    </w:p>
    <w:p w14:paraId="00DE6522" w14:textId="77777777" w:rsidR="00073F6A" w:rsidRPr="00073F6A" w:rsidRDefault="00073F6A" w:rsidP="00073F6A">
      <w:pPr>
        <w:spacing w:after="240" w:line="240" w:lineRule="auto"/>
        <w:jc w:val="both"/>
      </w:pPr>
      <w:r w:rsidRPr="00073F6A">
        <w:rPr>
          <w:lang w:val="en-US"/>
        </w:rPr>
        <w:t>Kersey, John,</w:t>
      </w:r>
      <w:r w:rsidRPr="00073F6A">
        <w:rPr>
          <w:i/>
          <w:iCs/>
          <w:lang w:val="en-US"/>
        </w:rPr>
        <w:t xml:space="preserve"> Dictionarium Anglo-</w:t>
      </w:r>
      <w:proofErr w:type="spellStart"/>
      <w:r w:rsidRPr="00073F6A">
        <w:rPr>
          <w:i/>
          <w:iCs/>
          <w:lang w:val="en-US"/>
        </w:rPr>
        <w:t>Britannicum</w:t>
      </w:r>
      <w:proofErr w:type="spellEnd"/>
      <w:r w:rsidRPr="00073F6A">
        <w:rPr>
          <w:i/>
          <w:iCs/>
          <w:lang w:val="en-US"/>
        </w:rPr>
        <w:t xml:space="preserve">: or, A General English Dictionary, </w:t>
      </w:r>
      <w:r w:rsidRPr="00073F6A">
        <w:rPr>
          <w:lang w:val="en-US"/>
        </w:rPr>
        <w:t>(London, 1708)</w:t>
      </w:r>
      <w:r w:rsidRPr="00073F6A">
        <w:t> </w:t>
      </w:r>
    </w:p>
    <w:p w14:paraId="51048AE4" w14:textId="77777777" w:rsidR="00073F6A" w:rsidRPr="00073F6A" w:rsidRDefault="00073F6A" w:rsidP="00073F6A">
      <w:pPr>
        <w:spacing w:after="240" w:line="240" w:lineRule="auto"/>
        <w:jc w:val="both"/>
      </w:pPr>
      <w:r w:rsidRPr="00073F6A">
        <w:rPr>
          <w:lang w:val="fr-FR"/>
        </w:rPr>
        <w:t xml:space="preserve">Lilly, William, </w:t>
      </w:r>
      <w:r w:rsidRPr="00073F6A">
        <w:rPr>
          <w:i/>
          <w:iCs/>
          <w:lang w:val="fr-FR"/>
        </w:rPr>
        <w:t xml:space="preserve">Christian </w:t>
      </w:r>
      <w:proofErr w:type="spellStart"/>
      <w:r w:rsidRPr="00073F6A">
        <w:rPr>
          <w:i/>
          <w:iCs/>
          <w:lang w:val="fr-FR"/>
        </w:rPr>
        <w:t>Astrology</w:t>
      </w:r>
      <w:proofErr w:type="spellEnd"/>
      <w:r w:rsidRPr="00073F6A">
        <w:rPr>
          <w:i/>
          <w:iCs/>
          <w:lang w:val="fr-FR"/>
        </w:rPr>
        <w:t xml:space="preserve">, </w:t>
      </w:r>
      <w:r w:rsidRPr="00073F6A">
        <w:rPr>
          <w:lang w:val="fr-FR"/>
        </w:rPr>
        <w:t>(London, 1647)</w:t>
      </w:r>
      <w:r w:rsidRPr="00073F6A">
        <w:t> </w:t>
      </w:r>
    </w:p>
    <w:p w14:paraId="36513AC0" w14:textId="77777777" w:rsidR="00073F6A" w:rsidRPr="00073F6A" w:rsidRDefault="00073F6A" w:rsidP="00073F6A">
      <w:pPr>
        <w:spacing w:after="240" w:line="240" w:lineRule="auto"/>
        <w:jc w:val="both"/>
      </w:pPr>
      <w:r w:rsidRPr="00073F6A">
        <w:rPr>
          <w:lang w:val="en-US"/>
        </w:rPr>
        <w:t xml:space="preserve">Lower, William, </w:t>
      </w:r>
      <w:r w:rsidRPr="00073F6A">
        <w:rPr>
          <w:i/>
          <w:iCs/>
          <w:lang w:val="en-US"/>
        </w:rPr>
        <w:t xml:space="preserve">Three new </w:t>
      </w:r>
      <w:proofErr w:type="spellStart"/>
      <w:r w:rsidRPr="00073F6A">
        <w:rPr>
          <w:i/>
          <w:iCs/>
          <w:lang w:val="en-US"/>
        </w:rPr>
        <w:t>playes</w:t>
      </w:r>
      <w:proofErr w:type="spellEnd"/>
      <w:r w:rsidRPr="00073F6A">
        <w:rPr>
          <w:i/>
          <w:iCs/>
          <w:lang w:val="en-US"/>
        </w:rPr>
        <w:t xml:space="preserve">, Viz. </w:t>
      </w:r>
      <w:r w:rsidRPr="00073F6A">
        <w:rPr>
          <w:i/>
          <w:iCs/>
          <w:lang w:val="it-IT"/>
        </w:rPr>
        <w:t xml:space="preserve">The noble ingratitude. A pastoral-tragi-comedy. </w:t>
      </w:r>
      <w:r w:rsidRPr="00073F6A">
        <w:rPr>
          <w:i/>
          <w:iCs/>
          <w:lang w:val="en-US"/>
        </w:rPr>
        <w:t xml:space="preserve">The enchanted lovers. A pastoral. The amorous </w:t>
      </w:r>
      <w:proofErr w:type="spellStart"/>
      <w:r w:rsidRPr="00073F6A">
        <w:rPr>
          <w:i/>
          <w:iCs/>
          <w:lang w:val="en-US"/>
        </w:rPr>
        <w:t>fantasme</w:t>
      </w:r>
      <w:proofErr w:type="spellEnd"/>
      <w:r w:rsidRPr="00073F6A">
        <w:rPr>
          <w:i/>
          <w:iCs/>
          <w:lang w:val="en-US"/>
        </w:rPr>
        <w:t xml:space="preserve">. A </w:t>
      </w:r>
      <w:proofErr w:type="gramStart"/>
      <w:r w:rsidRPr="00073F6A">
        <w:rPr>
          <w:i/>
          <w:iCs/>
          <w:lang w:val="en-US"/>
        </w:rPr>
        <w:t>tragi-comedy</w:t>
      </w:r>
      <w:proofErr w:type="gramEnd"/>
      <w:r w:rsidRPr="00073F6A">
        <w:rPr>
          <w:i/>
          <w:iCs/>
          <w:lang w:val="en-US"/>
        </w:rPr>
        <w:t xml:space="preserve">., </w:t>
      </w:r>
      <w:r w:rsidRPr="00073F6A">
        <w:rPr>
          <w:lang w:val="en-US"/>
        </w:rPr>
        <w:t>(London, 1661)</w:t>
      </w:r>
      <w:r w:rsidRPr="00073F6A">
        <w:t> </w:t>
      </w:r>
    </w:p>
    <w:p w14:paraId="65479D22" w14:textId="77777777" w:rsidR="00073F6A" w:rsidRPr="00073F6A" w:rsidRDefault="00073F6A" w:rsidP="00073F6A">
      <w:pPr>
        <w:spacing w:after="240" w:line="240" w:lineRule="auto"/>
        <w:jc w:val="both"/>
      </w:pPr>
      <w:r w:rsidRPr="00073F6A">
        <w:rPr>
          <w:lang w:val="en-US"/>
        </w:rPr>
        <w:t xml:space="preserve">Lyly, John, </w:t>
      </w:r>
      <w:r w:rsidRPr="00073F6A">
        <w:rPr>
          <w:i/>
          <w:iCs/>
          <w:lang w:val="en-US"/>
        </w:rPr>
        <w:t xml:space="preserve">A </w:t>
      </w:r>
      <w:proofErr w:type="spellStart"/>
      <w:r w:rsidRPr="00073F6A">
        <w:rPr>
          <w:i/>
          <w:iCs/>
          <w:lang w:val="en-US"/>
        </w:rPr>
        <w:t>moste</w:t>
      </w:r>
      <w:proofErr w:type="spellEnd"/>
      <w:r w:rsidRPr="00073F6A">
        <w:rPr>
          <w:i/>
          <w:iCs/>
          <w:lang w:val="en-US"/>
        </w:rPr>
        <w:t xml:space="preserve"> excellent </w:t>
      </w:r>
      <w:proofErr w:type="spellStart"/>
      <w:r w:rsidRPr="00073F6A">
        <w:rPr>
          <w:i/>
          <w:iCs/>
          <w:lang w:val="en-US"/>
        </w:rPr>
        <w:t>comedie</w:t>
      </w:r>
      <w:proofErr w:type="spellEnd"/>
      <w:r w:rsidRPr="00073F6A">
        <w:rPr>
          <w:i/>
          <w:iCs/>
          <w:lang w:val="en-US"/>
        </w:rPr>
        <w:t xml:space="preserve"> of Alexander, Campaspe, and Diogenes played </w:t>
      </w:r>
      <w:proofErr w:type="spellStart"/>
      <w:r w:rsidRPr="00073F6A">
        <w:rPr>
          <w:i/>
          <w:iCs/>
          <w:lang w:val="en-US"/>
        </w:rPr>
        <w:t>beefore</w:t>
      </w:r>
      <w:proofErr w:type="spellEnd"/>
      <w:r w:rsidRPr="00073F6A">
        <w:rPr>
          <w:i/>
          <w:iCs/>
          <w:lang w:val="en-US"/>
        </w:rPr>
        <w:t xml:space="preserve"> the </w:t>
      </w:r>
      <w:proofErr w:type="spellStart"/>
      <w:r w:rsidRPr="00073F6A">
        <w:rPr>
          <w:i/>
          <w:iCs/>
          <w:lang w:val="en-US"/>
        </w:rPr>
        <w:t>Queenes</w:t>
      </w:r>
      <w:proofErr w:type="spellEnd"/>
      <w:r w:rsidRPr="00073F6A">
        <w:rPr>
          <w:i/>
          <w:iCs/>
          <w:lang w:val="en-US"/>
        </w:rPr>
        <w:t xml:space="preserve"> </w:t>
      </w:r>
      <w:proofErr w:type="spellStart"/>
      <w:r w:rsidRPr="00073F6A">
        <w:rPr>
          <w:i/>
          <w:iCs/>
          <w:lang w:val="en-US"/>
        </w:rPr>
        <w:t>Maiestie</w:t>
      </w:r>
      <w:proofErr w:type="spellEnd"/>
      <w:r w:rsidRPr="00073F6A">
        <w:rPr>
          <w:i/>
          <w:iCs/>
          <w:lang w:val="en-US"/>
        </w:rPr>
        <w:t xml:space="preserve"> on </w:t>
      </w:r>
      <w:proofErr w:type="spellStart"/>
      <w:r w:rsidRPr="00073F6A">
        <w:rPr>
          <w:i/>
          <w:iCs/>
          <w:lang w:val="en-US"/>
        </w:rPr>
        <w:t>twelfe</w:t>
      </w:r>
      <w:proofErr w:type="spellEnd"/>
      <w:r w:rsidRPr="00073F6A">
        <w:rPr>
          <w:i/>
          <w:iCs/>
          <w:lang w:val="en-US"/>
        </w:rPr>
        <w:t xml:space="preserve"> day at night, by her </w:t>
      </w:r>
      <w:proofErr w:type="spellStart"/>
      <w:r w:rsidRPr="00073F6A">
        <w:rPr>
          <w:i/>
          <w:iCs/>
          <w:lang w:val="en-US"/>
        </w:rPr>
        <w:t>Maiesties</w:t>
      </w:r>
      <w:proofErr w:type="spellEnd"/>
      <w:r w:rsidRPr="00073F6A">
        <w:rPr>
          <w:i/>
          <w:iCs/>
          <w:lang w:val="en-US"/>
        </w:rPr>
        <w:t xml:space="preserve"> children, and the children of Poules</w:t>
      </w:r>
      <w:r w:rsidRPr="00073F6A">
        <w:rPr>
          <w:lang w:val="en-US"/>
        </w:rPr>
        <w:t>, (London, 1584)</w:t>
      </w:r>
      <w:r w:rsidRPr="00073F6A">
        <w:t> </w:t>
      </w:r>
    </w:p>
    <w:p w14:paraId="076402D6" w14:textId="77777777" w:rsidR="00073F6A" w:rsidRPr="00073F6A" w:rsidRDefault="00073F6A" w:rsidP="00073F6A">
      <w:pPr>
        <w:spacing w:after="240" w:line="240" w:lineRule="auto"/>
        <w:jc w:val="both"/>
      </w:pPr>
      <w:r w:rsidRPr="00073F6A">
        <w:rPr>
          <w:lang w:val="en-US"/>
        </w:rPr>
        <w:lastRenderedPageBreak/>
        <w:t xml:space="preserve">Lyly, John, </w:t>
      </w:r>
      <w:proofErr w:type="spellStart"/>
      <w:r w:rsidRPr="00073F6A">
        <w:rPr>
          <w:i/>
          <w:iCs/>
          <w:lang w:val="en-US"/>
        </w:rPr>
        <w:t>Gallathea</w:t>
      </w:r>
      <w:proofErr w:type="spellEnd"/>
      <w:r w:rsidRPr="00073F6A">
        <w:rPr>
          <w:lang w:val="en-US"/>
        </w:rPr>
        <w:t xml:space="preserve"> </w:t>
      </w:r>
      <w:r w:rsidRPr="00073F6A">
        <w:rPr>
          <w:i/>
          <w:iCs/>
          <w:lang w:val="en-US"/>
        </w:rPr>
        <w:t xml:space="preserve">As it was </w:t>
      </w:r>
      <w:proofErr w:type="spellStart"/>
      <w:r w:rsidRPr="00073F6A">
        <w:rPr>
          <w:i/>
          <w:iCs/>
          <w:lang w:val="en-US"/>
        </w:rPr>
        <w:t>playde</w:t>
      </w:r>
      <w:proofErr w:type="spellEnd"/>
      <w:r w:rsidRPr="00073F6A">
        <w:rPr>
          <w:i/>
          <w:iCs/>
          <w:lang w:val="en-US"/>
        </w:rPr>
        <w:t xml:space="preserve"> before the </w:t>
      </w:r>
      <w:proofErr w:type="spellStart"/>
      <w:r w:rsidRPr="00073F6A">
        <w:rPr>
          <w:i/>
          <w:iCs/>
          <w:lang w:val="en-US"/>
        </w:rPr>
        <w:t>Queenes</w:t>
      </w:r>
      <w:proofErr w:type="spellEnd"/>
      <w:r w:rsidRPr="00073F6A">
        <w:rPr>
          <w:i/>
          <w:iCs/>
          <w:lang w:val="en-US"/>
        </w:rPr>
        <w:t xml:space="preserve"> </w:t>
      </w:r>
      <w:proofErr w:type="spellStart"/>
      <w:r w:rsidRPr="00073F6A">
        <w:rPr>
          <w:i/>
          <w:iCs/>
          <w:lang w:val="en-US"/>
        </w:rPr>
        <w:t>Maiestie</w:t>
      </w:r>
      <w:proofErr w:type="spellEnd"/>
      <w:r w:rsidRPr="00073F6A">
        <w:rPr>
          <w:i/>
          <w:iCs/>
          <w:lang w:val="en-US"/>
        </w:rPr>
        <w:t xml:space="preserve"> at Greene-</w:t>
      </w:r>
      <w:proofErr w:type="spellStart"/>
      <w:r w:rsidRPr="00073F6A">
        <w:rPr>
          <w:i/>
          <w:iCs/>
          <w:lang w:val="en-US"/>
        </w:rPr>
        <w:t>wiche</w:t>
      </w:r>
      <w:proofErr w:type="spellEnd"/>
      <w:r w:rsidRPr="00073F6A">
        <w:rPr>
          <w:i/>
          <w:iCs/>
          <w:lang w:val="en-US"/>
        </w:rPr>
        <w:t xml:space="preserve">, on </w:t>
      </w:r>
      <w:proofErr w:type="spellStart"/>
      <w:r w:rsidRPr="00073F6A">
        <w:rPr>
          <w:i/>
          <w:iCs/>
          <w:lang w:val="en-US"/>
        </w:rPr>
        <w:t>Newyeeres</w:t>
      </w:r>
      <w:proofErr w:type="spellEnd"/>
      <w:r w:rsidRPr="00073F6A">
        <w:rPr>
          <w:i/>
          <w:iCs/>
          <w:lang w:val="en-US"/>
        </w:rPr>
        <w:t xml:space="preserve"> day at night. By the </w:t>
      </w:r>
      <w:proofErr w:type="spellStart"/>
      <w:r w:rsidRPr="00073F6A">
        <w:rPr>
          <w:i/>
          <w:iCs/>
          <w:lang w:val="en-US"/>
        </w:rPr>
        <w:t>Chyldren</w:t>
      </w:r>
      <w:proofErr w:type="spellEnd"/>
      <w:r w:rsidRPr="00073F6A">
        <w:rPr>
          <w:i/>
          <w:iCs/>
          <w:lang w:val="en-US"/>
        </w:rPr>
        <w:t xml:space="preserve"> of Paules, </w:t>
      </w:r>
      <w:r w:rsidRPr="00073F6A">
        <w:rPr>
          <w:lang w:val="en-US"/>
        </w:rPr>
        <w:t>(London, 1592)</w:t>
      </w:r>
      <w:r w:rsidRPr="00073F6A">
        <w:t> </w:t>
      </w:r>
    </w:p>
    <w:p w14:paraId="22CD8B49" w14:textId="77777777" w:rsidR="00073F6A" w:rsidRPr="00073F6A" w:rsidRDefault="00073F6A" w:rsidP="00073F6A">
      <w:pPr>
        <w:spacing w:after="240" w:line="240" w:lineRule="auto"/>
        <w:jc w:val="both"/>
      </w:pPr>
      <w:r w:rsidRPr="00073F6A">
        <w:rPr>
          <w:lang w:val="fr-FR"/>
        </w:rPr>
        <w:t>Marshall, John D. (</w:t>
      </w:r>
      <w:proofErr w:type="spellStart"/>
      <w:r w:rsidRPr="00073F6A">
        <w:rPr>
          <w:lang w:val="fr-FR"/>
        </w:rPr>
        <w:t>ed</w:t>
      </w:r>
      <w:proofErr w:type="spellEnd"/>
      <w:r w:rsidRPr="00073F6A">
        <w:rPr>
          <w:lang w:val="fr-FR"/>
        </w:rPr>
        <w:t xml:space="preserve">.), </w:t>
      </w:r>
      <w:r w:rsidRPr="00073F6A">
        <w:rPr>
          <w:i/>
          <w:iCs/>
          <w:lang w:val="fr-FR"/>
        </w:rPr>
        <w:t xml:space="preserve">The </w:t>
      </w:r>
      <w:proofErr w:type="spellStart"/>
      <w:r w:rsidRPr="00073F6A">
        <w:rPr>
          <w:i/>
          <w:iCs/>
          <w:lang w:val="fr-FR"/>
        </w:rPr>
        <w:t>Autobiography</w:t>
      </w:r>
      <w:proofErr w:type="spellEnd"/>
      <w:r w:rsidRPr="00073F6A">
        <w:rPr>
          <w:i/>
          <w:iCs/>
          <w:lang w:val="fr-FR"/>
        </w:rPr>
        <w:t xml:space="preserve"> of William Stout of Lancaster, </w:t>
      </w:r>
      <w:r w:rsidRPr="00073F6A">
        <w:rPr>
          <w:lang w:val="fr-FR"/>
        </w:rPr>
        <w:t>(Manchester, 1967)</w:t>
      </w:r>
      <w:r w:rsidRPr="00073F6A">
        <w:t> </w:t>
      </w:r>
    </w:p>
    <w:p w14:paraId="7C06AC68" w14:textId="05C251B1" w:rsidR="00E662F3" w:rsidRDefault="00E662F3" w:rsidP="00073F6A">
      <w:pPr>
        <w:spacing w:after="240" w:line="240" w:lineRule="auto"/>
        <w:jc w:val="both"/>
        <w:rPr>
          <w:lang w:val="en-US"/>
        </w:rPr>
      </w:pPr>
      <w:r w:rsidRPr="00E662F3">
        <w:t>Moxon, Joseph</w:t>
      </w:r>
      <w:r>
        <w:t>,</w:t>
      </w:r>
      <w:r w:rsidRPr="00E662F3">
        <w:t xml:space="preserve"> </w:t>
      </w:r>
      <w:r w:rsidRPr="00E662F3">
        <w:rPr>
          <w:i/>
          <w:iCs/>
        </w:rPr>
        <w:t xml:space="preserve">A tutor to astronomy and geography, </w:t>
      </w:r>
      <w:r w:rsidRPr="00E662F3">
        <w:t>(London, 1698)</w:t>
      </w:r>
    </w:p>
    <w:p w14:paraId="42652432" w14:textId="14B8439D" w:rsidR="00073F6A" w:rsidRPr="00073F6A" w:rsidRDefault="00073F6A" w:rsidP="00073F6A">
      <w:pPr>
        <w:spacing w:after="240" w:line="240" w:lineRule="auto"/>
        <w:jc w:val="both"/>
      </w:pPr>
      <w:r w:rsidRPr="00073F6A">
        <w:rPr>
          <w:lang w:val="en-US"/>
        </w:rPr>
        <w:t>O.,</w:t>
      </w:r>
      <w:r w:rsidRPr="00073F6A">
        <w:rPr>
          <w:i/>
          <w:iCs/>
          <w:lang w:val="en-US"/>
        </w:rPr>
        <w:t xml:space="preserve"> </w:t>
      </w:r>
      <w:r w:rsidRPr="00073F6A">
        <w:rPr>
          <w:lang w:val="en-US"/>
        </w:rPr>
        <w:t xml:space="preserve">T., </w:t>
      </w:r>
      <w:r w:rsidRPr="00073F6A">
        <w:rPr>
          <w:i/>
          <w:iCs/>
          <w:lang w:val="en-US"/>
        </w:rPr>
        <w:t>Christ's voice to sinners: or, Christ waiting at the door of the sinner's heart for entrance,</w:t>
      </w:r>
      <w:r w:rsidRPr="00073F6A">
        <w:rPr>
          <w:lang w:val="en-US"/>
        </w:rPr>
        <w:t xml:space="preserve"> (London, 1680)</w:t>
      </w:r>
      <w:r w:rsidRPr="00073F6A">
        <w:t> </w:t>
      </w:r>
    </w:p>
    <w:p w14:paraId="3D2A603D" w14:textId="77777777" w:rsidR="00073F6A" w:rsidRPr="00073F6A" w:rsidRDefault="00073F6A" w:rsidP="00073F6A">
      <w:pPr>
        <w:spacing w:after="240" w:line="240" w:lineRule="auto"/>
        <w:jc w:val="both"/>
      </w:pPr>
      <w:r w:rsidRPr="00073F6A">
        <w:rPr>
          <w:lang w:val="en-US"/>
        </w:rPr>
        <w:t xml:space="preserve">Paget, John, </w:t>
      </w:r>
      <w:r w:rsidRPr="00073F6A">
        <w:rPr>
          <w:i/>
          <w:iCs/>
          <w:lang w:val="en-US"/>
        </w:rPr>
        <w:t xml:space="preserve">An arrow against the separation of the </w:t>
      </w:r>
      <w:proofErr w:type="spellStart"/>
      <w:r w:rsidRPr="00073F6A">
        <w:rPr>
          <w:i/>
          <w:iCs/>
          <w:lang w:val="en-US"/>
        </w:rPr>
        <w:t>Brownists</w:t>
      </w:r>
      <w:proofErr w:type="spellEnd"/>
      <w:r w:rsidRPr="00073F6A">
        <w:rPr>
          <w:i/>
          <w:iCs/>
          <w:lang w:val="en-US"/>
        </w:rPr>
        <w:t xml:space="preserve">, </w:t>
      </w:r>
      <w:r w:rsidRPr="00073F6A">
        <w:rPr>
          <w:lang w:val="en-US"/>
        </w:rPr>
        <w:t>(Amsterdam, 1618)</w:t>
      </w:r>
      <w:r w:rsidRPr="00073F6A">
        <w:t> </w:t>
      </w:r>
    </w:p>
    <w:p w14:paraId="1DBAE857" w14:textId="77777777" w:rsidR="00073F6A" w:rsidRPr="00073F6A" w:rsidRDefault="00073F6A" w:rsidP="00073F6A">
      <w:pPr>
        <w:spacing w:after="240" w:line="240" w:lineRule="auto"/>
        <w:jc w:val="both"/>
      </w:pPr>
      <w:r w:rsidRPr="00073F6A">
        <w:rPr>
          <w:lang w:val="fr-FR"/>
        </w:rPr>
        <w:t xml:space="preserve">Partridge, John, </w:t>
      </w:r>
      <w:proofErr w:type="spellStart"/>
      <w:proofErr w:type="gramStart"/>
      <w:r w:rsidRPr="00073F6A">
        <w:rPr>
          <w:i/>
          <w:iCs/>
          <w:lang w:val="fr-FR"/>
        </w:rPr>
        <w:t>Mikropanastrone</w:t>
      </w:r>
      <w:proofErr w:type="spellEnd"/>
      <w:r w:rsidRPr="00073F6A">
        <w:rPr>
          <w:i/>
          <w:iCs/>
          <w:lang w:val="fr-FR"/>
        </w:rPr>
        <w:t>:</w:t>
      </w:r>
      <w:proofErr w:type="gramEnd"/>
      <w:r w:rsidRPr="00073F6A">
        <w:rPr>
          <w:i/>
          <w:iCs/>
          <w:lang w:val="fr-FR"/>
        </w:rPr>
        <w:t xml:space="preserve"> Or an </w:t>
      </w:r>
      <w:proofErr w:type="spellStart"/>
      <w:r w:rsidRPr="00073F6A">
        <w:rPr>
          <w:i/>
          <w:iCs/>
          <w:lang w:val="fr-FR"/>
        </w:rPr>
        <w:t>astrological</w:t>
      </w:r>
      <w:proofErr w:type="spellEnd"/>
      <w:r w:rsidRPr="00073F6A">
        <w:rPr>
          <w:i/>
          <w:iCs/>
          <w:lang w:val="fr-FR"/>
        </w:rPr>
        <w:t xml:space="preserve"> vade </w:t>
      </w:r>
      <w:proofErr w:type="spellStart"/>
      <w:r w:rsidRPr="00073F6A">
        <w:rPr>
          <w:i/>
          <w:iCs/>
          <w:lang w:val="fr-FR"/>
        </w:rPr>
        <w:t>mecum</w:t>
      </w:r>
      <w:proofErr w:type="spellEnd"/>
      <w:r w:rsidRPr="00073F6A">
        <w:rPr>
          <w:i/>
          <w:iCs/>
          <w:lang w:val="fr-FR"/>
        </w:rPr>
        <w:t xml:space="preserve"> </w:t>
      </w:r>
      <w:proofErr w:type="spellStart"/>
      <w:r w:rsidRPr="00073F6A">
        <w:rPr>
          <w:i/>
          <w:iCs/>
          <w:lang w:val="fr-FR"/>
        </w:rPr>
        <w:t>briefly</w:t>
      </w:r>
      <w:proofErr w:type="spellEnd"/>
      <w:r w:rsidRPr="00073F6A">
        <w:rPr>
          <w:i/>
          <w:iCs/>
          <w:lang w:val="fr-FR"/>
        </w:rPr>
        <w:t xml:space="preserve"> </w:t>
      </w:r>
      <w:proofErr w:type="spellStart"/>
      <w:r w:rsidRPr="00073F6A">
        <w:rPr>
          <w:i/>
          <w:iCs/>
          <w:lang w:val="fr-FR"/>
        </w:rPr>
        <w:t>teaching</w:t>
      </w:r>
      <w:proofErr w:type="spellEnd"/>
      <w:r w:rsidRPr="00073F6A">
        <w:rPr>
          <w:i/>
          <w:iCs/>
          <w:lang w:val="fr-FR"/>
        </w:rPr>
        <w:t xml:space="preserve"> the </w:t>
      </w:r>
      <w:proofErr w:type="spellStart"/>
      <w:r w:rsidRPr="00073F6A">
        <w:rPr>
          <w:i/>
          <w:iCs/>
          <w:lang w:val="fr-FR"/>
        </w:rPr>
        <w:t>whole</w:t>
      </w:r>
      <w:proofErr w:type="spellEnd"/>
      <w:r w:rsidRPr="00073F6A">
        <w:rPr>
          <w:i/>
          <w:iCs/>
          <w:lang w:val="fr-FR"/>
        </w:rPr>
        <w:t xml:space="preserve"> art of </w:t>
      </w:r>
      <w:proofErr w:type="spellStart"/>
      <w:r w:rsidRPr="00073F6A">
        <w:rPr>
          <w:i/>
          <w:iCs/>
          <w:lang w:val="fr-FR"/>
        </w:rPr>
        <w:t>astrology</w:t>
      </w:r>
      <w:proofErr w:type="spellEnd"/>
      <w:r w:rsidRPr="00073F6A">
        <w:rPr>
          <w:i/>
          <w:iCs/>
          <w:lang w:val="fr-FR"/>
        </w:rPr>
        <w:t xml:space="preserve">’, </w:t>
      </w:r>
      <w:r w:rsidRPr="00073F6A">
        <w:rPr>
          <w:lang w:val="fr-FR"/>
        </w:rPr>
        <w:t>(London, 1692)</w:t>
      </w:r>
      <w:r w:rsidRPr="00073F6A">
        <w:t> </w:t>
      </w:r>
    </w:p>
    <w:p w14:paraId="267025D4" w14:textId="77777777" w:rsidR="00073F6A" w:rsidRPr="00073F6A" w:rsidRDefault="00073F6A" w:rsidP="00073F6A">
      <w:pPr>
        <w:spacing w:after="240" w:line="240" w:lineRule="auto"/>
        <w:jc w:val="both"/>
      </w:pPr>
      <w:r w:rsidRPr="00073F6A">
        <w:rPr>
          <w:lang w:val="en-US"/>
        </w:rPr>
        <w:t>Poole, Matthew,</w:t>
      </w:r>
      <w:r w:rsidRPr="00073F6A">
        <w:rPr>
          <w:i/>
          <w:iCs/>
          <w:lang w:val="en-US"/>
        </w:rPr>
        <w:t xml:space="preserve"> Annotations upon the Holy Bible, wherein the sacred text is inserted and various readings </w:t>
      </w:r>
      <w:proofErr w:type="spellStart"/>
      <w:r w:rsidRPr="00073F6A">
        <w:rPr>
          <w:i/>
          <w:iCs/>
          <w:lang w:val="en-US"/>
        </w:rPr>
        <w:t>annex’d</w:t>
      </w:r>
      <w:proofErr w:type="spellEnd"/>
      <w:r w:rsidRPr="00073F6A">
        <w:rPr>
          <w:i/>
          <w:iCs/>
          <w:lang w:val="en-US"/>
        </w:rPr>
        <w:t xml:space="preserve">, together with parallel scriptures, </w:t>
      </w:r>
      <w:r w:rsidRPr="00073F6A">
        <w:rPr>
          <w:lang w:val="en-US"/>
        </w:rPr>
        <w:t>(London, 1683)</w:t>
      </w:r>
      <w:r w:rsidRPr="00073F6A">
        <w:t> </w:t>
      </w:r>
    </w:p>
    <w:p w14:paraId="3767EFC9" w14:textId="77777777" w:rsidR="00073F6A" w:rsidRPr="00073F6A" w:rsidRDefault="00073F6A" w:rsidP="00073F6A">
      <w:pPr>
        <w:spacing w:after="240" w:line="240" w:lineRule="auto"/>
        <w:jc w:val="both"/>
      </w:pPr>
      <w:proofErr w:type="spellStart"/>
      <w:r w:rsidRPr="00073F6A">
        <w:rPr>
          <w:lang w:val="fr-FR"/>
        </w:rPr>
        <w:t>Prynne</w:t>
      </w:r>
      <w:proofErr w:type="spellEnd"/>
      <w:r w:rsidRPr="00073F6A">
        <w:rPr>
          <w:lang w:val="fr-FR"/>
        </w:rPr>
        <w:t xml:space="preserve">, William, </w:t>
      </w:r>
      <w:r w:rsidRPr="00073F6A">
        <w:rPr>
          <w:i/>
          <w:iCs/>
          <w:lang w:val="fr-FR"/>
        </w:rPr>
        <w:t xml:space="preserve">A </w:t>
      </w:r>
      <w:proofErr w:type="spellStart"/>
      <w:r w:rsidRPr="00073F6A">
        <w:rPr>
          <w:i/>
          <w:iCs/>
          <w:lang w:val="fr-FR"/>
        </w:rPr>
        <w:t>Counterplea</w:t>
      </w:r>
      <w:proofErr w:type="spellEnd"/>
      <w:r w:rsidRPr="00073F6A">
        <w:rPr>
          <w:i/>
          <w:iCs/>
          <w:lang w:val="fr-FR"/>
        </w:rPr>
        <w:t xml:space="preserve"> to the </w:t>
      </w:r>
      <w:proofErr w:type="spellStart"/>
      <w:r w:rsidRPr="00073F6A">
        <w:rPr>
          <w:i/>
          <w:iCs/>
          <w:lang w:val="fr-FR"/>
        </w:rPr>
        <w:t>Cowards</w:t>
      </w:r>
      <w:proofErr w:type="spellEnd"/>
      <w:r w:rsidRPr="00073F6A">
        <w:rPr>
          <w:i/>
          <w:iCs/>
          <w:lang w:val="fr-FR"/>
        </w:rPr>
        <w:t xml:space="preserve"> Apologie, </w:t>
      </w:r>
      <w:proofErr w:type="spellStart"/>
      <w:r w:rsidRPr="00073F6A">
        <w:rPr>
          <w:i/>
          <w:iCs/>
          <w:lang w:val="fr-FR"/>
        </w:rPr>
        <w:t>Manifesting</w:t>
      </w:r>
      <w:proofErr w:type="spellEnd"/>
      <w:r w:rsidRPr="00073F6A">
        <w:rPr>
          <w:i/>
          <w:iCs/>
          <w:lang w:val="fr-FR"/>
        </w:rPr>
        <w:t xml:space="preserve"> by an Ancient Record and </w:t>
      </w:r>
      <w:proofErr w:type="gramStart"/>
      <w:r w:rsidRPr="00073F6A">
        <w:rPr>
          <w:i/>
          <w:iCs/>
          <w:lang w:val="fr-FR"/>
        </w:rPr>
        <w:t>Law;</w:t>
      </w:r>
      <w:proofErr w:type="gramEnd"/>
      <w:r w:rsidRPr="00073F6A">
        <w:rPr>
          <w:i/>
          <w:iCs/>
          <w:lang w:val="fr-FR"/>
        </w:rPr>
        <w:t xml:space="preserve"> the </w:t>
      </w:r>
      <w:proofErr w:type="spellStart"/>
      <w:r w:rsidRPr="00073F6A">
        <w:rPr>
          <w:i/>
          <w:iCs/>
          <w:lang w:val="fr-FR"/>
        </w:rPr>
        <w:t>Unlawfullnesse</w:t>
      </w:r>
      <w:proofErr w:type="spellEnd"/>
      <w:r w:rsidRPr="00073F6A">
        <w:rPr>
          <w:i/>
          <w:iCs/>
          <w:lang w:val="fr-FR"/>
        </w:rPr>
        <w:t xml:space="preserve"> of Passing </w:t>
      </w:r>
      <w:proofErr w:type="spellStart"/>
      <w:r w:rsidRPr="00073F6A">
        <w:rPr>
          <w:i/>
          <w:iCs/>
          <w:lang w:val="fr-FR"/>
        </w:rPr>
        <w:t>Any</w:t>
      </w:r>
      <w:proofErr w:type="spellEnd"/>
      <w:r w:rsidRPr="00073F6A">
        <w:rPr>
          <w:i/>
          <w:iCs/>
          <w:lang w:val="fr-FR"/>
        </w:rPr>
        <w:t xml:space="preserve"> Vote or </w:t>
      </w:r>
      <w:proofErr w:type="spellStart"/>
      <w:r w:rsidRPr="00073F6A">
        <w:rPr>
          <w:i/>
          <w:iCs/>
          <w:lang w:val="fr-FR"/>
        </w:rPr>
        <w:t>Judgement</w:t>
      </w:r>
      <w:proofErr w:type="spellEnd"/>
      <w:r w:rsidRPr="00073F6A">
        <w:rPr>
          <w:i/>
          <w:iCs/>
          <w:lang w:val="fr-FR"/>
        </w:rPr>
        <w:t xml:space="preserve"> Against Law, or Conscience, for </w:t>
      </w:r>
      <w:proofErr w:type="spellStart"/>
      <w:r w:rsidRPr="00073F6A">
        <w:rPr>
          <w:i/>
          <w:iCs/>
          <w:lang w:val="fr-FR"/>
        </w:rPr>
        <w:t>Feare</w:t>
      </w:r>
      <w:proofErr w:type="spellEnd"/>
      <w:r w:rsidRPr="00073F6A">
        <w:rPr>
          <w:i/>
          <w:iCs/>
          <w:lang w:val="fr-FR"/>
        </w:rPr>
        <w:t xml:space="preserve"> of </w:t>
      </w:r>
      <w:proofErr w:type="spellStart"/>
      <w:r w:rsidRPr="00073F6A">
        <w:rPr>
          <w:i/>
          <w:iCs/>
          <w:lang w:val="fr-FR"/>
        </w:rPr>
        <w:t>Death</w:t>
      </w:r>
      <w:proofErr w:type="spellEnd"/>
      <w:r w:rsidRPr="00073F6A">
        <w:rPr>
          <w:i/>
          <w:iCs/>
          <w:lang w:val="fr-FR"/>
        </w:rPr>
        <w:t xml:space="preserve">, Danger, or </w:t>
      </w:r>
      <w:proofErr w:type="spellStart"/>
      <w:r w:rsidRPr="00073F6A">
        <w:rPr>
          <w:i/>
          <w:iCs/>
          <w:lang w:val="fr-FR"/>
        </w:rPr>
        <w:t>Any</w:t>
      </w:r>
      <w:proofErr w:type="spellEnd"/>
      <w:r w:rsidRPr="00073F6A">
        <w:rPr>
          <w:i/>
          <w:iCs/>
          <w:lang w:val="fr-FR"/>
        </w:rPr>
        <w:t xml:space="preserve"> </w:t>
      </w:r>
      <w:proofErr w:type="spellStart"/>
      <w:r w:rsidRPr="00073F6A">
        <w:rPr>
          <w:i/>
          <w:iCs/>
          <w:lang w:val="fr-FR"/>
        </w:rPr>
        <w:t>Forfeiture</w:t>
      </w:r>
      <w:proofErr w:type="spellEnd"/>
      <w:r w:rsidRPr="00073F6A">
        <w:rPr>
          <w:i/>
          <w:iCs/>
          <w:lang w:val="fr-FR"/>
        </w:rPr>
        <w:t xml:space="preserve">, in </w:t>
      </w:r>
      <w:proofErr w:type="spellStart"/>
      <w:r w:rsidRPr="00073F6A">
        <w:rPr>
          <w:i/>
          <w:iCs/>
          <w:lang w:val="fr-FR"/>
        </w:rPr>
        <w:t>Any</w:t>
      </w:r>
      <w:proofErr w:type="spellEnd"/>
      <w:r w:rsidRPr="00073F6A">
        <w:rPr>
          <w:i/>
          <w:iCs/>
          <w:lang w:val="fr-FR"/>
        </w:rPr>
        <w:t xml:space="preserve"> Court, </w:t>
      </w:r>
      <w:proofErr w:type="spellStart"/>
      <w:r w:rsidRPr="00073F6A">
        <w:rPr>
          <w:i/>
          <w:iCs/>
          <w:lang w:val="fr-FR"/>
        </w:rPr>
        <w:t>Counsell</w:t>
      </w:r>
      <w:proofErr w:type="spellEnd"/>
      <w:r w:rsidRPr="00073F6A">
        <w:rPr>
          <w:i/>
          <w:iCs/>
          <w:lang w:val="fr-FR"/>
        </w:rPr>
        <w:t xml:space="preserve"> or Judicature, </w:t>
      </w:r>
      <w:proofErr w:type="spellStart"/>
      <w:r w:rsidRPr="00073F6A">
        <w:rPr>
          <w:i/>
          <w:iCs/>
          <w:lang w:val="fr-FR"/>
        </w:rPr>
        <w:t>Especially</w:t>
      </w:r>
      <w:proofErr w:type="spellEnd"/>
      <w:r w:rsidRPr="00073F6A">
        <w:rPr>
          <w:i/>
          <w:iCs/>
          <w:lang w:val="fr-FR"/>
        </w:rPr>
        <w:t xml:space="preserve"> in the </w:t>
      </w:r>
      <w:proofErr w:type="spellStart"/>
      <w:r w:rsidRPr="00073F6A">
        <w:rPr>
          <w:i/>
          <w:iCs/>
          <w:lang w:val="fr-FR"/>
        </w:rPr>
        <w:t>Houses</w:t>
      </w:r>
      <w:proofErr w:type="spellEnd"/>
      <w:r w:rsidRPr="00073F6A">
        <w:rPr>
          <w:i/>
          <w:iCs/>
          <w:lang w:val="fr-FR"/>
        </w:rPr>
        <w:t xml:space="preserve"> of </w:t>
      </w:r>
      <w:proofErr w:type="spellStart"/>
      <w:r w:rsidRPr="00073F6A">
        <w:rPr>
          <w:i/>
          <w:iCs/>
          <w:lang w:val="fr-FR"/>
        </w:rPr>
        <w:t>Parliament</w:t>
      </w:r>
      <w:proofErr w:type="spellEnd"/>
      <w:r w:rsidRPr="00073F6A">
        <w:rPr>
          <w:i/>
          <w:iCs/>
          <w:lang w:val="fr-FR"/>
        </w:rPr>
        <w:t>,</w:t>
      </w:r>
      <w:r w:rsidRPr="00073F6A">
        <w:rPr>
          <w:lang w:val="fr-FR"/>
        </w:rPr>
        <w:t xml:space="preserve"> (London, 1647)</w:t>
      </w:r>
      <w:r w:rsidRPr="00073F6A">
        <w:t> </w:t>
      </w:r>
    </w:p>
    <w:p w14:paraId="2966CD95" w14:textId="77777777" w:rsidR="00073F6A" w:rsidRPr="00073F6A" w:rsidRDefault="00073F6A" w:rsidP="00073F6A">
      <w:pPr>
        <w:spacing w:after="240" w:line="240" w:lineRule="auto"/>
        <w:jc w:val="both"/>
      </w:pPr>
      <w:proofErr w:type="spellStart"/>
      <w:r w:rsidRPr="00073F6A">
        <w:rPr>
          <w:lang w:val="fr-FR"/>
        </w:rPr>
        <w:t>Rastell</w:t>
      </w:r>
      <w:proofErr w:type="spellEnd"/>
      <w:r w:rsidRPr="00073F6A">
        <w:rPr>
          <w:lang w:val="fr-FR"/>
        </w:rPr>
        <w:t xml:space="preserve">, John and William </w:t>
      </w:r>
      <w:proofErr w:type="spellStart"/>
      <w:r w:rsidRPr="00073F6A">
        <w:rPr>
          <w:lang w:val="fr-FR"/>
        </w:rPr>
        <w:t>Rastell</w:t>
      </w:r>
      <w:proofErr w:type="spellEnd"/>
      <w:r w:rsidRPr="00073F6A">
        <w:rPr>
          <w:lang w:val="fr-FR"/>
        </w:rPr>
        <w:t xml:space="preserve">, </w:t>
      </w:r>
      <w:r w:rsidRPr="00073F6A">
        <w:rPr>
          <w:i/>
          <w:iCs/>
          <w:lang w:val="fr-FR"/>
        </w:rPr>
        <w:t xml:space="preserve">Les termes de la </w:t>
      </w:r>
      <w:proofErr w:type="spellStart"/>
      <w:r w:rsidRPr="00073F6A">
        <w:rPr>
          <w:i/>
          <w:iCs/>
          <w:lang w:val="fr-FR"/>
        </w:rPr>
        <w:t>ley</w:t>
      </w:r>
      <w:proofErr w:type="spellEnd"/>
      <w:r w:rsidRPr="00073F6A">
        <w:rPr>
          <w:i/>
          <w:iCs/>
          <w:lang w:val="fr-FR"/>
        </w:rPr>
        <w:t xml:space="preserve">, </w:t>
      </w:r>
      <w:r w:rsidRPr="00073F6A">
        <w:rPr>
          <w:lang w:val="fr-FR"/>
        </w:rPr>
        <w:t>(London, 1641)</w:t>
      </w:r>
      <w:r w:rsidRPr="00073F6A">
        <w:t> </w:t>
      </w:r>
    </w:p>
    <w:p w14:paraId="67E9A59E" w14:textId="77777777" w:rsidR="00073F6A" w:rsidRPr="00073F6A" w:rsidRDefault="00073F6A" w:rsidP="00073F6A">
      <w:pPr>
        <w:spacing w:after="240" w:line="240" w:lineRule="auto"/>
        <w:jc w:val="both"/>
      </w:pPr>
      <w:r w:rsidRPr="00073F6A">
        <w:rPr>
          <w:lang w:val="fr-FR"/>
        </w:rPr>
        <w:t xml:space="preserve">Rogers, Daniel, </w:t>
      </w:r>
      <w:proofErr w:type="spellStart"/>
      <w:r w:rsidRPr="00073F6A">
        <w:rPr>
          <w:i/>
          <w:iCs/>
          <w:lang w:val="fr-FR"/>
        </w:rPr>
        <w:t>Matrimoniall</w:t>
      </w:r>
      <w:proofErr w:type="spellEnd"/>
      <w:r w:rsidRPr="00073F6A">
        <w:rPr>
          <w:i/>
          <w:iCs/>
          <w:lang w:val="fr-FR"/>
        </w:rPr>
        <w:t xml:space="preserve"> </w:t>
      </w:r>
      <w:proofErr w:type="spellStart"/>
      <w:proofErr w:type="gramStart"/>
      <w:r w:rsidRPr="00073F6A">
        <w:rPr>
          <w:i/>
          <w:iCs/>
          <w:lang w:val="fr-FR"/>
        </w:rPr>
        <w:t>Honour</w:t>
      </w:r>
      <w:proofErr w:type="spellEnd"/>
      <w:r w:rsidRPr="00073F6A">
        <w:rPr>
          <w:i/>
          <w:iCs/>
          <w:lang w:val="fr-FR"/>
        </w:rPr>
        <w:t>:</w:t>
      </w:r>
      <w:proofErr w:type="gramEnd"/>
      <w:r w:rsidRPr="00073F6A">
        <w:rPr>
          <w:i/>
          <w:iCs/>
          <w:lang w:val="fr-FR"/>
        </w:rPr>
        <w:t xml:space="preserve"> Or, the </w:t>
      </w:r>
      <w:proofErr w:type="spellStart"/>
      <w:r w:rsidRPr="00073F6A">
        <w:rPr>
          <w:i/>
          <w:iCs/>
          <w:lang w:val="fr-FR"/>
        </w:rPr>
        <w:t>mutuall</w:t>
      </w:r>
      <w:proofErr w:type="spellEnd"/>
      <w:r w:rsidRPr="00073F6A">
        <w:rPr>
          <w:i/>
          <w:iCs/>
          <w:lang w:val="fr-FR"/>
        </w:rPr>
        <w:t xml:space="preserve"> Crowne and </w:t>
      </w:r>
      <w:proofErr w:type="spellStart"/>
      <w:r w:rsidRPr="00073F6A">
        <w:rPr>
          <w:i/>
          <w:iCs/>
          <w:lang w:val="fr-FR"/>
        </w:rPr>
        <w:t>comfort</w:t>
      </w:r>
      <w:proofErr w:type="spellEnd"/>
      <w:r w:rsidRPr="00073F6A">
        <w:rPr>
          <w:i/>
          <w:iCs/>
          <w:lang w:val="fr-FR"/>
        </w:rPr>
        <w:t xml:space="preserve"> of </w:t>
      </w:r>
      <w:proofErr w:type="spellStart"/>
      <w:r w:rsidRPr="00073F6A">
        <w:rPr>
          <w:i/>
          <w:iCs/>
          <w:lang w:val="fr-FR"/>
        </w:rPr>
        <w:t>godly</w:t>
      </w:r>
      <w:proofErr w:type="spellEnd"/>
      <w:r w:rsidRPr="00073F6A">
        <w:rPr>
          <w:i/>
          <w:iCs/>
          <w:lang w:val="fr-FR"/>
        </w:rPr>
        <w:t xml:space="preserve">, </w:t>
      </w:r>
      <w:proofErr w:type="spellStart"/>
      <w:r w:rsidRPr="00073F6A">
        <w:rPr>
          <w:i/>
          <w:iCs/>
          <w:lang w:val="fr-FR"/>
        </w:rPr>
        <w:t>loyall</w:t>
      </w:r>
      <w:proofErr w:type="spellEnd"/>
      <w:r w:rsidRPr="00073F6A">
        <w:rPr>
          <w:i/>
          <w:iCs/>
          <w:lang w:val="fr-FR"/>
        </w:rPr>
        <w:t xml:space="preserve">, and chaste </w:t>
      </w:r>
      <w:proofErr w:type="spellStart"/>
      <w:r w:rsidRPr="00073F6A">
        <w:rPr>
          <w:i/>
          <w:iCs/>
          <w:lang w:val="fr-FR"/>
        </w:rPr>
        <w:t>Marriage</w:t>
      </w:r>
      <w:proofErr w:type="spellEnd"/>
      <w:r w:rsidRPr="00073F6A">
        <w:rPr>
          <w:i/>
          <w:iCs/>
          <w:lang w:val="fr-FR"/>
        </w:rPr>
        <w:t xml:space="preserve">, </w:t>
      </w:r>
      <w:r w:rsidRPr="00073F6A">
        <w:rPr>
          <w:lang w:val="fr-FR"/>
        </w:rPr>
        <w:t>(London, 1642)</w:t>
      </w:r>
      <w:r w:rsidRPr="00073F6A">
        <w:t> </w:t>
      </w:r>
    </w:p>
    <w:p w14:paraId="09838C19" w14:textId="77777777" w:rsidR="00073F6A" w:rsidRPr="00073F6A" w:rsidRDefault="00073F6A" w:rsidP="00073F6A">
      <w:pPr>
        <w:spacing w:after="240" w:line="240" w:lineRule="auto"/>
        <w:jc w:val="both"/>
      </w:pPr>
      <w:r w:rsidRPr="00073F6A">
        <w:rPr>
          <w:lang w:val="en-US"/>
        </w:rPr>
        <w:t xml:space="preserve">Smith, Henry, </w:t>
      </w:r>
      <w:proofErr w:type="spellStart"/>
      <w:r w:rsidRPr="00073F6A">
        <w:rPr>
          <w:i/>
          <w:iCs/>
          <w:lang w:val="en-US"/>
        </w:rPr>
        <w:t>Iacobs</w:t>
      </w:r>
      <w:proofErr w:type="spellEnd"/>
      <w:r w:rsidRPr="00073F6A">
        <w:rPr>
          <w:i/>
          <w:iCs/>
          <w:lang w:val="en-US"/>
        </w:rPr>
        <w:t xml:space="preserve"> ladder, or The </w:t>
      </w:r>
      <w:proofErr w:type="gramStart"/>
      <w:r w:rsidRPr="00073F6A">
        <w:rPr>
          <w:i/>
          <w:iCs/>
          <w:lang w:val="en-US"/>
        </w:rPr>
        <w:t>high way</w:t>
      </w:r>
      <w:proofErr w:type="gramEnd"/>
      <w:r w:rsidRPr="00073F6A">
        <w:rPr>
          <w:i/>
          <w:iCs/>
          <w:lang w:val="en-US"/>
        </w:rPr>
        <w:t xml:space="preserve"> to </w:t>
      </w:r>
      <w:proofErr w:type="spellStart"/>
      <w:r w:rsidRPr="00073F6A">
        <w:rPr>
          <w:i/>
          <w:iCs/>
          <w:lang w:val="en-US"/>
        </w:rPr>
        <w:t>heauen</w:t>
      </w:r>
      <w:proofErr w:type="spellEnd"/>
      <w:r w:rsidRPr="00073F6A">
        <w:rPr>
          <w:i/>
          <w:iCs/>
          <w:lang w:val="en-US"/>
        </w:rPr>
        <w:t xml:space="preserve"> Being the last sermon that Master Henry Smith made. And now published, not (as many forged things </w:t>
      </w:r>
      <w:proofErr w:type="spellStart"/>
      <w:r w:rsidRPr="00073F6A">
        <w:rPr>
          <w:i/>
          <w:iCs/>
          <w:lang w:val="en-US"/>
        </w:rPr>
        <w:t>haue</w:t>
      </w:r>
      <w:proofErr w:type="spellEnd"/>
      <w:r w:rsidRPr="00073F6A">
        <w:rPr>
          <w:i/>
          <w:iCs/>
          <w:lang w:val="en-US"/>
        </w:rPr>
        <w:t xml:space="preserve"> </w:t>
      </w:r>
      <w:proofErr w:type="spellStart"/>
      <w:r w:rsidRPr="00073F6A">
        <w:rPr>
          <w:i/>
          <w:iCs/>
          <w:lang w:val="en-US"/>
        </w:rPr>
        <w:t>beene</w:t>
      </w:r>
      <w:proofErr w:type="spellEnd"/>
      <w:r w:rsidRPr="00073F6A">
        <w:rPr>
          <w:i/>
          <w:iCs/>
          <w:lang w:val="en-US"/>
        </w:rPr>
        <w:t xml:space="preserve"> in his name) to </w:t>
      </w:r>
      <w:proofErr w:type="spellStart"/>
      <w:r w:rsidRPr="00073F6A">
        <w:rPr>
          <w:i/>
          <w:iCs/>
          <w:lang w:val="en-US"/>
        </w:rPr>
        <w:t>deceiue</w:t>
      </w:r>
      <w:proofErr w:type="spellEnd"/>
      <w:r w:rsidRPr="00073F6A">
        <w:rPr>
          <w:i/>
          <w:iCs/>
          <w:lang w:val="en-US"/>
        </w:rPr>
        <w:t xml:space="preserve"> the Christian reader, but to instruct and prepare him with </w:t>
      </w:r>
      <w:proofErr w:type="spellStart"/>
      <w:r w:rsidRPr="00073F6A">
        <w:rPr>
          <w:i/>
          <w:iCs/>
          <w:lang w:val="en-US"/>
        </w:rPr>
        <w:t>oyle</w:t>
      </w:r>
      <w:proofErr w:type="spellEnd"/>
      <w:r w:rsidRPr="00073F6A">
        <w:rPr>
          <w:i/>
          <w:iCs/>
          <w:lang w:val="en-US"/>
        </w:rPr>
        <w:t xml:space="preserve"> in his </w:t>
      </w:r>
      <w:proofErr w:type="spellStart"/>
      <w:r w:rsidRPr="00073F6A">
        <w:rPr>
          <w:i/>
          <w:iCs/>
          <w:lang w:val="en-US"/>
        </w:rPr>
        <w:t>lampe</w:t>
      </w:r>
      <w:proofErr w:type="spellEnd"/>
      <w:r w:rsidRPr="00073F6A">
        <w:rPr>
          <w:i/>
          <w:iCs/>
          <w:lang w:val="en-US"/>
        </w:rPr>
        <w:t xml:space="preserve">, </w:t>
      </w:r>
      <w:proofErr w:type="spellStart"/>
      <w:r w:rsidRPr="00073F6A">
        <w:rPr>
          <w:i/>
          <w:iCs/>
          <w:lang w:val="en-US"/>
        </w:rPr>
        <w:t>ioyfully</w:t>
      </w:r>
      <w:proofErr w:type="spellEnd"/>
      <w:r w:rsidRPr="00073F6A">
        <w:rPr>
          <w:i/>
          <w:iCs/>
          <w:lang w:val="en-US"/>
        </w:rPr>
        <w:t xml:space="preserve"> to </w:t>
      </w:r>
      <w:proofErr w:type="spellStart"/>
      <w:r w:rsidRPr="00073F6A">
        <w:rPr>
          <w:i/>
          <w:iCs/>
          <w:lang w:val="en-US"/>
        </w:rPr>
        <w:t>meete</w:t>
      </w:r>
      <w:proofErr w:type="spellEnd"/>
      <w:r w:rsidRPr="00073F6A">
        <w:rPr>
          <w:i/>
          <w:iCs/>
          <w:lang w:val="en-US"/>
        </w:rPr>
        <w:t xml:space="preserve"> the Lord Iesus in his second </w:t>
      </w:r>
      <w:proofErr w:type="spellStart"/>
      <w:r w:rsidRPr="00073F6A">
        <w:rPr>
          <w:i/>
          <w:iCs/>
          <w:lang w:val="en-US"/>
        </w:rPr>
        <w:t>comming</w:t>
      </w:r>
      <w:proofErr w:type="spellEnd"/>
      <w:r w:rsidRPr="00073F6A">
        <w:rPr>
          <w:lang w:val="en-US"/>
        </w:rPr>
        <w:t>, (London, 1595)</w:t>
      </w:r>
      <w:r w:rsidRPr="00073F6A">
        <w:t> </w:t>
      </w:r>
    </w:p>
    <w:p w14:paraId="16A24B90" w14:textId="77777777" w:rsidR="00073F6A" w:rsidRPr="00073F6A" w:rsidRDefault="00073F6A" w:rsidP="00073F6A">
      <w:pPr>
        <w:spacing w:after="240" w:line="240" w:lineRule="auto"/>
        <w:jc w:val="both"/>
      </w:pPr>
      <w:r w:rsidRPr="00073F6A">
        <w:rPr>
          <w:lang w:val="en-US"/>
        </w:rPr>
        <w:t xml:space="preserve">Stow, John, </w:t>
      </w:r>
      <w:r w:rsidRPr="00073F6A">
        <w:rPr>
          <w:i/>
          <w:iCs/>
          <w:lang w:val="en-US"/>
        </w:rPr>
        <w:t xml:space="preserve">A Survey of London, </w:t>
      </w:r>
      <w:r w:rsidRPr="00073F6A">
        <w:rPr>
          <w:lang w:val="en-US"/>
        </w:rPr>
        <w:t>(London, 1603)</w:t>
      </w:r>
      <w:r w:rsidRPr="00073F6A">
        <w:t> </w:t>
      </w:r>
    </w:p>
    <w:p w14:paraId="6B399ACB" w14:textId="77777777" w:rsidR="00073F6A" w:rsidRPr="00073F6A" w:rsidRDefault="00073F6A" w:rsidP="00073F6A">
      <w:pPr>
        <w:spacing w:after="240" w:line="240" w:lineRule="auto"/>
        <w:jc w:val="both"/>
      </w:pPr>
      <w:r w:rsidRPr="00073F6A">
        <w:rPr>
          <w:lang w:val="fr-FR"/>
        </w:rPr>
        <w:t>Swinburne, Henry,</w:t>
      </w:r>
      <w:r w:rsidRPr="00073F6A">
        <w:rPr>
          <w:i/>
          <w:iCs/>
          <w:lang w:val="fr-FR"/>
        </w:rPr>
        <w:t xml:space="preserve"> A </w:t>
      </w:r>
      <w:proofErr w:type="spellStart"/>
      <w:r w:rsidRPr="00073F6A">
        <w:rPr>
          <w:i/>
          <w:iCs/>
          <w:lang w:val="fr-FR"/>
        </w:rPr>
        <w:t>treatise</w:t>
      </w:r>
      <w:proofErr w:type="spellEnd"/>
      <w:r w:rsidRPr="00073F6A">
        <w:rPr>
          <w:i/>
          <w:iCs/>
          <w:lang w:val="fr-FR"/>
        </w:rPr>
        <w:t xml:space="preserve"> of spousals, or matrimonial </w:t>
      </w:r>
      <w:proofErr w:type="spellStart"/>
      <w:r w:rsidRPr="00073F6A">
        <w:rPr>
          <w:i/>
          <w:iCs/>
          <w:lang w:val="fr-FR"/>
        </w:rPr>
        <w:t>contracts</w:t>
      </w:r>
      <w:proofErr w:type="spellEnd"/>
      <w:r w:rsidRPr="00073F6A">
        <w:rPr>
          <w:i/>
          <w:iCs/>
          <w:lang w:val="fr-FR"/>
        </w:rPr>
        <w:t xml:space="preserve"> </w:t>
      </w:r>
      <w:proofErr w:type="spellStart"/>
      <w:r w:rsidRPr="00073F6A">
        <w:rPr>
          <w:i/>
          <w:iCs/>
          <w:lang w:val="fr-FR"/>
        </w:rPr>
        <w:t>wherein</w:t>
      </w:r>
      <w:proofErr w:type="spellEnd"/>
      <w:r w:rsidRPr="00073F6A">
        <w:rPr>
          <w:i/>
          <w:iCs/>
          <w:lang w:val="fr-FR"/>
        </w:rPr>
        <w:t xml:space="preserve"> all the questions </w:t>
      </w:r>
      <w:proofErr w:type="spellStart"/>
      <w:r w:rsidRPr="00073F6A">
        <w:rPr>
          <w:i/>
          <w:iCs/>
          <w:lang w:val="fr-FR"/>
        </w:rPr>
        <w:t>relating</w:t>
      </w:r>
      <w:proofErr w:type="spellEnd"/>
      <w:r w:rsidRPr="00073F6A">
        <w:rPr>
          <w:i/>
          <w:iCs/>
          <w:lang w:val="fr-FR"/>
        </w:rPr>
        <w:t xml:space="preserve"> to </w:t>
      </w:r>
      <w:proofErr w:type="spellStart"/>
      <w:r w:rsidRPr="00073F6A">
        <w:rPr>
          <w:i/>
          <w:iCs/>
          <w:lang w:val="fr-FR"/>
        </w:rPr>
        <w:t>that</w:t>
      </w:r>
      <w:proofErr w:type="spellEnd"/>
      <w:r w:rsidRPr="00073F6A">
        <w:rPr>
          <w:i/>
          <w:iCs/>
          <w:lang w:val="fr-FR"/>
        </w:rPr>
        <w:t xml:space="preserve"> </w:t>
      </w:r>
      <w:proofErr w:type="spellStart"/>
      <w:r w:rsidRPr="00073F6A">
        <w:rPr>
          <w:i/>
          <w:iCs/>
          <w:lang w:val="fr-FR"/>
        </w:rPr>
        <w:t>subject</w:t>
      </w:r>
      <w:proofErr w:type="spellEnd"/>
      <w:r w:rsidRPr="00073F6A">
        <w:rPr>
          <w:i/>
          <w:iCs/>
          <w:lang w:val="fr-FR"/>
        </w:rPr>
        <w:t xml:space="preserve"> are </w:t>
      </w:r>
      <w:proofErr w:type="spellStart"/>
      <w:r w:rsidRPr="00073F6A">
        <w:rPr>
          <w:i/>
          <w:iCs/>
          <w:lang w:val="fr-FR"/>
        </w:rPr>
        <w:t>ingeniously</w:t>
      </w:r>
      <w:proofErr w:type="spellEnd"/>
      <w:r w:rsidRPr="00073F6A">
        <w:rPr>
          <w:i/>
          <w:iCs/>
          <w:lang w:val="fr-FR"/>
        </w:rPr>
        <w:t xml:space="preserve"> </w:t>
      </w:r>
      <w:proofErr w:type="spellStart"/>
      <w:r w:rsidRPr="00073F6A">
        <w:rPr>
          <w:i/>
          <w:iCs/>
          <w:lang w:val="fr-FR"/>
        </w:rPr>
        <w:t>debated</w:t>
      </w:r>
      <w:proofErr w:type="spellEnd"/>
      <w:r w:rsidRPr="00073F6A">
        <w:rPr>
          <w:i/>
          <w:iCs/>
          <w:lang w:val="fr-FR"/>
        </w:rPr>
        <w:t xml:space="preserve"> and </w:t>
      </w:r>
      <w:proofErr w:type="spellStart"/>
      <w:r w:rsidRPr="00073F6A">
        <w:rPr>
          <w:i/>
          <w:iCs/>
          <w:lang w:val="fr-FR"/>
        </w:rPr>
        <w:t>resolved</w:t>
      </w:r>
      <w:proofErr w:type="spellEnd"/>
      <w:r w:rsidRPr="00073F6A">
        <w:rPr>
          <w:i/>
          <w:iCs/>
          <w:lang w:val="fr-FR"/>
        </w:rPr>
        <w:t xml:space="preserve">, </w:t>
      </w:r>
      <w:r w:rsidRPr="00073F6A">
        <w:rPr>
          <w:lang w:val="fr-FR"/>
        </w:rPr>
        <w:t>(London, 1686)</w:t>
      </w:r>
      <w:r w:rsidRPr="00073F6A">
        <w:t> </w:t>
      </w:r>
    </w:p>
    <w:p w14:paraId="1BF44287" w14:textId="22651EA6" w:rsidR="00073F6A" w:rsidRPr="00073F6A" w:rsidRDefault="00073F6A" w:rsidP="00073F6A">
      <w:pPr>
        <w:spacing w:after="240" w:line="240" w:lineRule="auto"/>
        <w:jc w:val="both"/>
      </w:pPr>
      <w:r w:rsidRPr="00073F6A">
        <w:rPr>
          <w:lang w:val="en-US"/>
        </w:rPr>
        <w:t xml:space="preserve">Taylor, Thomas, </w:t>
      </w:r>
      <w:r w:rsidRPr="00073F6A">
        <w:rPr>
          <w:i/>
          <w:iCs/>
          <w:lang w:val="en-US"/>
        </w:rPr>
        <w:t xml:space="preserve">Moses and Aaron, or, the types and shadows of our </w:t>
      </w:r>
      <w:proofErr w:type="spellStart"/>
      <w:r w:rsidRPr="00073F6A">
        <w:rPr>
          <w:i/>
          <w:iCs/>
          <w:lang w:val="en-US"/>
        </w:rPr>
        <w:t>Saviour</w:t>
      </w:r>
      <w:proofErr w:type="spellEnd"/>
      <w:r w:rsidRPr="00073F6A">
        <w:rPr>
          <w:i/>
          <w:iCs/>
          <w:lang w:val="en-US"/>
        </w:rPr>
        <w:t xml:space="preserve"> in the Old Testament opened and explained, </w:t>
      </w:r>
      <w:r w:rsidRPr="00073F6A">
        <w:rPr>
          <w:lang w:val="en-US"/>
        </w:rPr>
        <w:t>(London, 1653)</w:t>
      </w:r>
      <w:r w:rsidRPr="00073F6A">
        <w:t> </w:t>
      </w:r>
    </w:p>
    <w:p w14:paraId="04A8F45C" w14:textId="77777777" w:rsidR="00073F6A" w:rsidRPr="00073F6A" w:rsidRDefault="00073F6A" w:rsidP="00073F6A">
      <w:pPr>
        <w:spacing w:after="240" w:line="240" w:lineRule="auto"/>
        <w:jc w:val="both"/>
      </w:pPr>
      <w:proofErr w:type="spellStart"/>
      <w:r w:rsidRPr="00073F6A">
        <w:rPr>
          <w:lang w:val="en-US"/>
        </w:rPr>
        <w:t>Tillam</w:t>
      </w:r>
      <w:proofErr w:type="spellEnd"/>
      <w:r w:rsidRPr="00073F6A">
        <w:rPr>
          <w:lang w:val="en-US"/>
        </w:rPr>
        <w:t xml:space="preserve">, Thomas, </w:t>
      </w:r>
      <w:r w:rsidRPr="00073F6A">
        <w:rPr>
          <w:i/>
          <w:iCs/>
          <w:lang w:val="en-US"/>
        </w:rPr>
        <w:t xml:space="preserve">The seventh-day Sabbath sought out and celebrated, or, The saints last design upon the man of sin with their advance of Gods first institution to its primitive perfection ... : with the Christians glorious conquest over that mark of the beast, and recovery of the long-slighted seventh day to its antient glory, wherein Mr. </w:t>
      </w:r>
      <w:proofErr w:type="spellStart"/>
      <w:r w:rsidRPr="00073F6A">
        <w:rPr>
          <w:i/>
          <w:iCs/>
          <w:lang w:val="en-US"/>
        </w:rPr>
        <w:t>Aspinwal</w:t>
      </w:r>
      <w:proofErr w:type="spellEnd"/>
      <w:r w:rsidRPr="00073F6A">
        <w:rPr>
          <w:i/>
          <w:iCs/>
          <w:lang w:val="en-US"/>
        </w:rPr>
        <w:t xml:space="preserve"> may receive full answer to his late piece against the Sabbath, </w:t>
      </w:r>
      <w:r w:rsidRPr="00073F6A">
        <w:rPr>
          <w:lang w:val="en-US"/>
        </w:rPr>
        <w:t>(London, 1657)</w:t>
      </w:r>
      <w:r w:rsidRPr="00073F6A">
        <w:t> </w:t>
      </w:r>
    </w:p>
    <w:p w14:paraId="60B3338E" w14:textId="2C06F802" w:rsidR="00073F6A" w:rsidRPr="00073F6A" w:rsidRDefault="00073F6A" w:rsidP="00073F6A">
      <w:pPr>
        <w:spacing w:after="240" w:line="240" w:lineRule="auto"/>
        <w:jc w:val="both"/>
      </w:pPr>
      <w:r w:rsidRPr="00073F6A">
        <w:rPr>
          <w:lang w:val="en-US"/>
        </w:rPr>
        <w:t>Varet, Alexandre-Louis,</w:t>
      </w:r>
      <w:r w:rsidRPr="00073F6A">
        <w:rPr>
          <w:i/>
          <w:iCs/>
          <w:lang w:val="en-US"/>
        </w:rPr>
        <w:t xml:space="preserve"> </w:t>
      </w:r>
      <w:proofErr w:type="gramStart"/>
      <w:r w:rsidRPr="00073F6A">
        <w:rPr>
          <w:i/>
          <w:iCs/>
          <w:lang w:val="en-US"/>
        </w:rPr>
        <w:t>The</w:t>
      </w:r>
      <w:proofErr w:type="gramEnd"/>
      <w:r w:rsidRPr="00073F6A">
        <w:rPr>
          <w:i/>
          <w:iCs/>
          <w:lang w:val="en-US"/>
        </w:rPr>
        <w:t xml:space="preserve"> </w:t>
      </w:r>
      <w:proofErr w:type="spellStart"/>
      <w:r w:rsidRPr="00073F6A">
        <w:rPr>
          <w:i/>
          <w:iCs/>
          <w:lang w:val="en-US"/>
        </w:rPr>
        <w:t>nunns</w:t>
      </w:r>
      <w:proofErr w:type="spellEnd"/>
      <w:r w:rsidRPr="00073F6A">
        <w:rPr>
          <w:i/>
          <w:iCs/>
          <w:lang w:val="en-US"/>
        </w:rPr>
        <w:t xml:space="preserve"> complaint against the fryers being the charge given into the court of France, by the </w:t>
      </w:r>
      <w:proofErr w:type="spellStart"/>
      <w:r w:rsidRPr="00073F6A">
        <w:rPr>
          <w:i/>
          <w:iCs/>
          <w:lang w:val="en-US"/>
        </w:rPr>
        <w:t>nunns</w:t>
      </w:r>
      <w:proofErr w:type="spellEnd"/>
      <w:r w:rsidRPr="00073F6A">
        <w:rPr>
          <w:i/>
          <w:iCs/>
          <w:lang w:val="en-US"/>
        </w:rPr>
        <w:t xml:space="preserve"> of St. Katherine near Provins, against the Fathers Cordeliers </w:t>
      </w:r>
      <w:r w:rsidRPr="00073F6A">
        <w:rPr>
          <w:i/>
          <w:iCs/>
          <w:lang w:val="en-US"/>
        </w:rPr>
        <w:lastRenderedPageBreak/>
        <w:t xml:space="preserve">their </w:t>
      </w:r>
      <w:proofErr w:type="spellStart"/>
      <w:r w:rsidRPr="00073F6A">
        <w:rPr>
          <w:i/>
          <w:iCs/>
          <w:lang w:val="en-US"/>
        </w:rPr>
        <w:t>confessours</w:t>
      </w:r>
      <w:proofErr w:type="spellEnd"/>
      <w:r w:rsidRPr="00073F6A">
        <w:rPr>
          <w:i/>
          <w:iCs/>
          <w:lang w:val="en-US"/>
        </w:rPr>
        <w:t xml:space="preserve"> / several times printed in French, and now faithfully done into English</w:t>
      </w:r>
      <w:r w:rsidRPr="00073F6A">
        <w:rPr>
          <w:lang w:val="en-US"/>
        </w:rPr>
        <w:t>, (London, 1676)</w:t>
      </w:r>
      <w:r w:rsidRPr="00073F6A">
        <w:t> </w:t>
      </w:r>
    </w:p>
    <w:p w14:paraId="55CDA906" w14:textId="77777777" w:rsidR="00073F6A" w:rsidRPr="00073F6A" w:rsidRDefault="00073F6A" w:rsidP="00073F6A">
      <w:pPr>
        <w:spacing w:after="240" w:line="240" w:lineRule="auto"/>
        <w:jc w:val="both"/>
      </w:pPr>
      <w:r w:rsidRPr="00073F6A">
        <w:rPr>
          <w:lang w:val="en-US"/>
        </w:rPr>
        <w:t xml:space="preserve">Wall, John, </w:t>
      </w:r>
      <w:r w:rsidRPr="00073F6A">
        <w:rPr>
          <w:i/>
          <w:iCs/>
          <w:lang w:val="en-US"/>
        </w:rPr>
        <w:t>Christian reconcilement or God at peace with man in Christ, delivered in a sermon at St Mary's in Oxford,</w:t>
      </w:r>
      <w:r w:rsidRPr="00073F6A">
        <w:rPr>
          <w:lang w:val="en-US"/>
        </w:rPr>
        <w:t xml:space="preserve"> (Oxford, 1658)</w:t>
      </w:r>
      <w:r w:rsidRPr="00073F6A">
        <w:t> </w:t>
      </w:r>
    </w:p>
    <w:p w14:paraId="4DDA2E3C" w14:textId="77777777" w:rsidR="00073F6A" w:rsidRPr="00073F6A" w:rsidRDefault="00073F6A" w:rsidP="00073F6A">
      <w:pPr>
        <w:spacing w:after="240" w:line="240" w:lineRule="auto"/>
        <w:jc w:val="both"/>
      </w:pPr>
      <w:proofErr w:type="spellStart"/>
      <w:r w:rsidRPr="00073F6A">
        <w:rPr>
          <w:lang w:val="fr-FR"/>
        </w:rPr>
        <w:t>Wanley</w:t>
      </w:r>
      <w:proofErr w:type="spellEnd"/>
      <w:r w:rsidRPr="00073F6A">
        <w:rPr>
          <w:lang w:val="fr-FR"/>
        </w:rPr>
        <w:t xml:space="preserve">, Nathaniel, </w:t>
      </w:r>
      <w:r w:rsidRPr="00073F6A">
        <w:rPr>
          <w:i/>
          <w:iCs/>
          <w:lang w:val="fr-FR"/>
        </w:rPr>
        <w:t xml:space="preserve">The </w:t>
      </w:r>
      <w:proofErr w:type="spellStart"/>
      <w:r w:rsidRPr="00073F6A">
        <w:rPr>
          <w:i/>
          <w:iCs/>
          <w:lang w:val="fr-FR"/>
        </w:rPr>
        <w:t>wonders</w:t>
      </w:r>
      <w:proofErr w:type="spellEnd"/>
      <w:r w:rsidRPr="00073F6A">
        <w:rPr>
          <w:i/>
          <w:iCs/>
          <w:lang w:val="fr-FR"/>
        </w:rPr>
        <w:t xml:space="preserve"> of the </w:t>
      </w:r>
      <w:proofErr w:type="spellStart"/>
      <w:r w:rsidRPr="00073F6A">
        <w:rPr>
          <w:i/>
          <w:iCs/>
          <w:lang w:val="fr-FR"/>
        </w:rPr>
        <w:t>little</w:t>
      </w:r>
      <w:proofErr w:type="spellEnd"/>
      <w:r w:rsidRPr="00073F6A">
        <w:rPr>
          <w:i/>
          <w:iCs/>
          <w:lang w:val="fr-FR"/>
        </w:rPr>
        <w:t xml:space="preserve"> world, or, A </w:t>
      </w:r>
      <w:proofErr w:type="spellStart"/>
      <w:r w:rsidRPr="00073F6A">
        <w:rPr>
          <w:i/>
          <w:iCs/>
          <w:lang w:val="fr-FR"/>
        </w:rPr>
        <w:t>general</w:t>
      </w:r>
      <w:proofErr w:type="spellEnd"/>
      <w:r w:rsidRPr="00073F6A">
        <w:rPr>
          <w:i/>
          <w:iCs/>
          <w:lang w:val="fr-FR"/>
        </w:rPr>
        <w:t xml:space="preserve"> </w:t>
      </w:r>
      <w:proofErr w:type="spellStart"/>
      <w:r w:rsidRPr="00073F6A">
        <w:rPr>
          <w:i/>
          <w:iCs/>
          <w:lang w:val="fr-FR"/>
        </w:rPr>
        <w:t>history</w:t>
      </w:r>
      <w:proofErr w:type="spellEnd"/>
      <w:r w:rsidRPr="00073F6A">
        <w:rPr>
          <w:i/>
          <w:iCs/>
          <w:lang w:val="fr-FR"/>
        </w:rPr>
        <w:t xml:space="preserve"> of man in six books,</w:t>
      </w:r>
      <w:r w:rsidRPr="00073F6A">
        <w:rPr>
          <w:lang w:val="fr-FR"/>
        </w:rPr>
        <w:t xml:space="preserve"> (London, 1673)</w:t>
      </w:r>
      <w:r w:rsidRPr="00073F6A">
        <w:t> </w:t>
      </w:r>
    </w:p>
    <w:p w14:paraId="462C9295" w14:textId="77777777" w:rsidR="00073F6A" w:rsidRPr="00073F6A" w:rsidRDefault="00073F6A" w:rsidP="00073F6A">
      <w:pPr>
        <w:spacing w:after="240" w:line="240" w:lineRule="auto"/>
        <w:jc w:val="both"/>
      </w:pPr>
      <w:r w:rsidRPr="00073F6A">
        <w:rPr>
          <w:lang w:val="en-US"/>
        </w:rPr>
        <w:t xml:space="preserve">Watson, Thomas, </w:t>
      </w:r>
      <w:proofErr w:type="spellStart"/>
      <w:r w:rsidRPr="00073F6A">
        <w:rPr>
          <w:i/>
          <w:iCs/>
          <w:lang w:val="en-US"/>
        </w:rPr>
        <w:t>Autarkeia</w:t>
      </w:r>
      <w:proofErr w:type="spellEnd"/>
      <w:r w:rsidRPr="00073F6A">
        <w:rPr>
          <w:i/>
          <w:iCs/>
          <w:lang w:val="en-US"/>
        </w:rPr>
        <w:t xml:space="preserve">, or, The art of divine contentment, </w:t>
      </w:r>
      <w:r w:rsidRPr="00073F6A">
        <w:rPr>
          <w:lang w:val="en-US"/>
        </w:rPr>
        <w:t>(London, 1654)</w:t>
      </w:r>
      <w:r w:rsidRPr="00073F6A">
        <w:t> </w:t>
      </w:r>
    </w:p>
    <w:p w14:paraId="37002F5A" w14:textId="77777777" w:rsidR="00073F6A" w:rsidRPr="00073F6A" w:rsidRDefault="00073F6A" w:rsidP="00073F6A">
      <w:pPr>
        <w:spacing w:after="240" w:line="240" w:lineRule="auto"/>
        <w:jc w:val="both"/>
      </w:pPr>
      <w:r w:rsidRPr="00073F6A">
        <w:rPr>
          <w:lang w:val="en-US"/>
        </w:rPr>
        <w:t xml:space="preserve">Wells, John, </w:t>
      </w:r>
      <w:proofErr w:type="gramStart"/>
      <w:r w:rsidRPr="00073F6A">
        <w:rPr>
          <w:i/>
          <w:iCs/>
          <w:lang w:val="en-US"/>
        </w:rPr>
        <w:t>The</w:t>
      </w:r>
      <w:proofErr w:type="gramEnd"/>
      <w:r w:rsidRPr="00073F6A">
        <w:rPr>
          <w:i/>
          <w:iCs/>
          <w:lang w:val="en-US"/>
        </w:rPr>
        <w:t xml:space="preserve"> practical Sabbatarian, or, Sabbath-holiness crowned with superlative happiness,</w:t>
      </w:r>
      <w:r w:rsidRPr="00073F6A">
        <w:rPr>
          <w:lang w:val="en-US"/>
        </w:rPr>
        <w:t xml:space="preserve"> (London, 1668)</w:t>
      </w:r>
      <w:r w:rsidRPr="00073F6A">
        <w:t> </w:t>
      </w:r>
    </w:p>
    <w:p w14:paraId="1D2565A4" w14:textId="77777777" w:rsidR="00073F6A" w:rsidRPr="00073F6A" w:rsidRDefault="00073F6A" w:rsidP="00073F6A">
      <w:pPr>
        <w:spacing w:after="240" w:line="240" w:lineRule="auto"/>
        <w:jc w:val="both"/>
      </w:pPr>
      <w:r w:rsidRPr="00073F6A">
        <w:rPr>
          <w:lang w:val="en-US"/>
        </w:rPr>
        <w:t xml:space="preserve">Wilkinson, Henry, </w:t>
      </w:r>
      <w:r w:rsidRPr="00073F6A">
        <w:rPr>
          <w:i/>
          <w:iCs/>
          <w:lang w:val="en-US"/>
        </w:rPr>
        <w:t xml:space="preserve">The </w:t>
      </w:r>
      <w:proofErr w:type="spellStart"/>
      <w:r w:rsidRPr="00073F6A">
        <w:rPr>
          <w:i/>
          <w:iCs/>
          <w:lang w:val="en-US"/>
        </w:rPr>
        <w:t>gainefull</w:t>
      </w:r>
      <w:proofErr w:type="spellEnd"/>
      <w:r w:rsidRPr="00073F6A">
        <w:rPr>
          <w:i/>
          <w:iCs/>
          <w:lang w:val="en-US"/>
        </w:rPr>
        <w:t xml:space="preserve"> cost. As it was delivered in a sermon preached before the Right </w:t>
      </w:r>
      <w:proofErr w:type="spellStart"/>
      <w:r w:rsidRPr="00073F6A">
        <w:rPr>
          <w:i/>
          <w:iCs/>
          <w:lang w:val="en-US"/>
        </w:rPr>
        <w:t>Honourable</w:t>
      </w:r>
      <w:proofErr w:type="spellEnd"/>
      <w:r w:rsidRPr="00073F6A">
        <w:rPr>
          <w:i/>
          <w:iCs/>
          <w:lang w:val="en-US"/>
        </w:rPr>
        <w:t xml:space="preserve"> House of Lords, in the Abbey Church of Westminster, on Wednesday the 27 of November, being the day appointed for solemn and </w:t>
      </w:r>
      <w:proofErr w:type="spellStart"/>
      <w:r w:rsidRPr="00073F6A">
        <w:rPr>
          <w:i/>
          <w:iCs/>
          <w:lang w:val="en-US"/>
        </w:rPr>
        <w:t>publike</w:t>
      </w:r>
      <w:proofErr w:type="spellEnd"/>
      <w:r w:rsidRPr="00073F6A">
        <w:rPr>
          <w:i/>
          <w:iCs/>
          <w:lang w:val="en-US"/>
        </w:rPr>
        <w:t xml:space="preserve"> humiliation, </w:t>
      </w:r>
      <w:r w:rsidRPr="00073F6A">
        <w:rPr>
          <w:lang w:val="en-US"/>
        </w:rPr>
        <w:t>(London, 1644)</w:t>
      </w:r>
      <w:r w:rsidRPr="00073F6A">
        <w:t> </w:t>
      </w:r>
    </w:p>
    <w:p w14:paraId="3EB9052B" w14:textId="77777777" w:rsidR="00073F6A" w:rsidRPr="00073F6A" w:rsidRDefault="00073F6A" w:rsidP="00073F6A">
      <w:pPr>
        <w:spacing w:after="240" w:line="240" w:lineRule="auto"/>
        <w:jc w:val="both"/>
      </w:pPr>
      <w:r w:rsidRPr="00073F6A">
        <w:rPr>
          <w:lang w:val="fr-FR"/>
        </w:rPr>
        <w:t xml:space="preserve">Willis, John, </w:t>
      </w:r>
      <w:proofErr w:type="spellStart"/>
      <w:r w:rsidRPr="00073F6A">
        <w:rPr>
          <w:i/>
          <w:iCs/>
          <w:lang w:val="fr-FR"/>
        </w:rPr>
        <w:t>Mnemonica</w:t>
      </w:r>
      <w:proofErr w:type="spellEnd"/>
      <w:r w:rsidRPr="00073F6A">
        <w:rPr>
          <w:i/>
          <w:iCs/>
          <w:lang w:val="fr-FR"/>
        </w:rPr>
        <w:t xml:space="preserve">, or, The art of memory </w:t>
      </w:r>
      <w:proofErr w:type="spellStart"/>
      <w:r w:rsidRPr="00073F6A">
        <w:rPr>
          <w:i/>
          <w:iCs/>
          <w:lang w:val="fr-FR"/>
        </w:rPr>
        <w:t>drained</w:t>
      </w:r>
      <w:proofErr w:type="spellEnd"/>
      <w:r w:rsidRPr="00073F6A">
        <w:rPr>
          <w:i/>
          <w:iCs/>
          <w:lang w:val="fr-FR"/>
        </w:rPr>
        <w:t xml:space="preserve"> out of the pure </w:t>
      </w:r>
      <w:proofErr w:type="spellStart"/>
      <w:r w:rsidRPr="00073F6A">
        <w:rPr>
          <w:i/>
          <w:iCs/>
          <w:lang w:val="fr-FR"/>
        </w:rPr>
        <w:t>fountains</w:t>
      </w:r>
      <w:proofErr w:type="spellEnd"/>
      <w:r w:rsidRPr="00073F6A">
        <w:rPr>
          <w:i/>
          <w:iCs/>
          <w:lang w:val="fr-FR"/>
        </w:rPr>
        <w:t xml:space="preserve"> of art &amp; nature, </w:t>
      </w:r>
      <w:proofErr w:type="spellStart"/>
      <w:r w:rsidRPr="00073F6A">
        <w:rPr>
          <w:i/>
          <w:iCs/>
          <w:lang w:val="fr-FR"/>
        </w:rPr>
        <w:t>digested</w:t>
      </w:r>
      <w:proofErr w:type="spellEnd"/>
      <w:r w:rsidRPr="00073F6A">
        <w:rPr>
          <w:i/>
          <w:iCs/>
          <w:lang w:val="fr-FR"/>
        </w:rPr>
        <w:t xml:space="preserve"> </w:t>
      </w:r>
      <w:proofErr w:type="spellStart"/>
      <w:r w:rsidRPr="00073F6A">
        <w:rPr>
          <w:i/>
          <w:iCs/>
          <w:lang w:val="fr-FR"/>
        </w:rPr>
        <w:t>into</w:t>
      </w:r>
      <w:proofErr w:type="spellEnd"/>
      <w:r w:rsidRPr="00073F6A">
        <w:rPr>
          <w:i/>
          <w:iCs/>
          <w:lang w:val="fr-FR"/>
        </w:rPr>
        <w:t xml:space="preserve"> </w:t>
      </w:r>
      <w:proofErr w:type="spellStart"/>
      <w:r w:rsidRPr="00073F6A">
        <w:rPr>
          <w:i/>
          <w:iCs/>
          <w:lang w:val="fr-FR"/>
        </w:rPr>
        <w:t>three</w:t>
      </w:r>
      <w:proofErr w:type="spellEnd"/>
      <w:r w:rsidRPr="00073F6A">
        <w:rPr>
          <w:i/>
          <w:iCs/>
          <w:lang w:val="fr-FR"/>
        </w:rPr>
        <w:t xml:space="preserve"> books : </w:t>
      </w:r>
      <w:proofErr w:type="spellStart"/>
      <w:r w:rsidRPr="00073F6A">
        <w:rPr>
          <w:i/>
          <w:iCs/>
          <w:lang w:val="fr-FR"/>
        </w:rPr>
        <w:t>also</w:t>
      </w:r>
      <w:proofErr w:type="spellEnd"/>
      <w:r w:rsidRPr="00073F6A">
        <w:rPr>
          <w:i/>
          <w:iCs/>
          <w:lang w:val="fr-FR"/>
        </w:rPr>
        <w:t xml:space="preserve"> a </w:t>
      </w:r>
      <w:proofErr w:type="spellStart"/>
      <w:r w:rsidRPr="00073F6A">
        <w:rPr>
          <w:i/>
          <w:iCs/>
          <w:lang w:val="fr-FR"/>
        </w:rPr>
        <w:t>physical</w:t>
      </w:r>
      <w:proofErr w:type="spellEnd"/>
      <w:r w:rsidRPr="00073F6A">
        <w:rPr>
          <w:i/>
          <w:iCs/>
          <w:lang w:val="fr-FR"/>
        </w:rPr>
        <w:t xml:space="preserve"> </w:t>
      </w:r>
      <w:proofErr w:type="spellStart"/>
      <w:r w:rsidRPr="00073F6A">
        <w:rPr>
          <w:i/>
          <w:iCs/>
          <w:lang w:val="fr-FR"/>
        </w:rPr>
        <w:t>treatise</w:t>
      </w:r>
      <w:proofErr w:type="spellEnd"/>
      <w:r w:rsidRPr="00073F6A">
        <w:rPr>
          <w:i/>
          <w:iCs/>
          <w:lang w:val="fr-FR"/>
        </w:rPr>
        <w:t xml:space="preserve"> of </w:t>
      </w:r>
      <w:proofErr w:type="spellStart"/>
      <w:r w:rsidRPr="00073F6A">
        <w:rPr>
          <w:i/>
          <w:iCs/>
          <w:lang w:val="fr-FR"/>
        </w:rPr>
        <w:t>cherishing</w:t>
      </w:r>
      <w:proofErr w:type="spellEnd"/>
      <w:r w:rsidRPr="00073F6A">
        <w:rPr>
          <w:i/>
          <w:iCs/>
          <w:lang w:val="fr-FR"/>
        </w:rPr>
        <w:t xml:space="preserve"> </w:t>
      </w:r>
      <w:proofErr w:type="spellStart"/>
      <w:r w:rsidRPr="00073F6A">
        <w:rPr>
          <w:i/>
          <w:iCs/>
          <w:lang w:val="fr-FR"/>
        </w:rPr>
        <w:t>natural</w:t>
      </w:r>
      <w:proofErr w:type="spellEnd"/>
      <w:r w:rsidRPr="00073F6A">
        <w:rPr>
          <w:i/>
          <w:iCs/>
          <w:lang w:val="fr-FR"/>
        </w:rPr>
        <w:t xml:space="preserve"> memory, </w:t>
      </w:r>
      <w:proofErr w:type="spellStart"/>
      <w:r w:rsidRPr="00073F6A">
        <w:rPr>
          <w:i/>
          <w:iCs/>
          <w:lang w:val="fr-FR"/>
        </w:rPr>
        <w:t>diligently</w:t>
      </w:r>
      <w:proofErr w:type="spellEnd"/>
      <w:r w:rsidRPr="00073F6A">
        <w:rPr>
          <w:i/>
          <w:iCs/>
          <w:lang w:val="fr-FR"/>
        </w:rPr>
        <w:t xml:space="preserve"> </w:t>
      </w:r>
      <w:proofErr w:type="spellStart"/>
      <w:r w:rsidRPr="00073F6A">
        <w:rPr>
          <w:i/>
          <w:iCs/>
          <w:lang w:val="fr-FR"/>
        </w:rPr>
        <w:t>collected</w:t>
      </w:r>
      <w:proofErr w:type="spellEnd"/>
      <w:r w:rsidRPr="00073F6A">
        <w:rPr>
          <w:i/>
          <w:iCs/>
          <w:lang w:val="fr-FR"/>
        </w:rPr>
        <w:t xml:space="preserve"> out of divers </w:t>
      </w:r>
      <w:proofErr w:type="spellStart"/>
      <w:r w:rsidRPr="00073F6A">
        <w:rPr>
          <w:i/>
          <w:iCs/>
          <w:lang w:val="fr-FR"/>
        </w:rPr>
        <w:t>learned</w:t>
      </w:r>
      <w:proofErr w:type="spellEnd"/>
      <w:r w:rsidRPr="00073F6A">
        <w:rPr>
          <w:i/>
          <w:iCs/>
          <w:lang w:val="fr-FR"/>
        </w:rPr>
        <w:t xml:space="preserve"> mens </w:t>
      </w:r>
      <w:proofErr w:type="spellStart"/>
      <w:r w:rsidRPr="00073F6A">
        <w:rPr>
          <w:i/>
          <w:iCs/>
          <w:lang w:val="fr-FR"/>
        </w:rPr>
        <w:t>writings</w:t>
      </w:r>
      <w:proofErr w:type="spellEnd"/>
      <w:r w:rsidRPr="00073F6A">
        <w:rPr>
          <w:i/>
          <w:iCs/>
          <w:lang w:val="fr-FR"/>
        </w:rPr>
        <w:t xml:space="preserve">, </w:t>
      </w:r>
      <w:r w:rsidRPr="00073F6A">
        <w:rPr>
          <w:lang w:val="fr-FR"/>
        </w:rPr>
        <w:t>(London, 1661)</w:t>
      </w:r>
      <w:r w:rsidRPr="00073F6A">
        <w:t> </w:t>
      </w:r>
    </w:p>
    <w:p w14:paraId="5B080C20" w14:textId="77777777" w:rsidR="00073F6A" w:rsidRPr="00073F6A" w:rsidRDefault="00073F6A" w:rsidP="00073F6A">
      <w:pPr>
        <w:spacing w:after="240" w:line="240" w:lineRule="auto"/>
        <w:jc w:val="both"/>
      </w:pPr>
      <w:r w:rsidRPr="00073F6A">
        <w:rPr>
          <w:lang w:val="en-US"/>
        </w:rPr>
        <w:t xml:space="preserve">Wither, George, </w:t>
      </w:r>
      <w:r w:rsidRPr="00073F6A">
        <w:rPr>
          <w:i/>
          <w:iCs/>
          <w:lang w:val="en-US"/>
        </w:rPr>
        <w:t xml:space="preserve">Fidelia, </w:t>
      </w:r>
      <w:r w:rsidRPr="00073F6A">
        <w:rPr>
          <w:lang w:val="en-US"/>
        </w:rPr>
        <w:t>(London, 1619)</w:t>
      </w:r>
      <w:r w:rsidRPr="00073F6A">
        <w:t> </w:t>
      </w:r>
    </w:p>
    <w:p w14:paraId="6048B9BF" w14:textId="77777777" w:rsidR="00073F6A" w:rsidRPr="009D4C90" w:rsidRDefault="00073F6A" w:rsidP="009D4C90">
      <w:pPr>
        <w:spacing w:after="240" w:line="240" w:lineRule="auto"/>
        <w:jc w:val="both"/>
        <w:rPr>
          <w:b/>
          <w:bCs/>
        </w:rPr>
      </w:pPr>
    </w:p>
    <w:p w14:paraId="78DC7AA7" w14:textId="77777777" w:rsidR="00992C45" w:rsidRPr="00FA7B37" w:rsidRDefault="00992C45" w:rsidP="00992C45">
      <w:pPr>
        <w:spacing w:after="0" w:line="480" w:lineRule="auto"/>
        <w:jc w:val="both"/>
        <w:rPr>
          <w:b/>
          <w:bCs/>
          <w:u w:val="single"/>
        </w:rPr>
      </w:pPr>
      <w:r w:rsidRPr="00FA7B37">
        <w:rPr>
          <w:b/>
          <w:bCs/>
          <w:u w:val="single"/>
        </w:rPr>
        <w:t>Secondary Sources </w:t>
      </w:r>
    </w:p>
    <w:p w14:paraId="3D5A5DD1" w14:textId="77777777" w:rsidR="00992C45" w:rsidRPr="00992C45" w:rsidRDefault="00992C45" w:rsidP="0028398D">
      <w:pPr>
        <w:spacing w:after="240" w:line="240" w:lineRule="auto"/>
        <w:jc w:val="both"/>
      </w:pPr>
      <w:proofErr w:type="spellStart"/>
      <w:r w:rsidRPr="00992C45">
        <w:rPr>
          <w:lang w:val="fr-FR"/>
        </w:rPr>
        <w:t>Abels</w:t>
      </w:r>
      <w:proofErr w:type="spellEnd"/>
      <w:r w:rsidRPr="00992C45">
        <w:rPr>
          <w:lang w:val="fr-FR"/>
        </w:rPr>
        <w:t>, Richard, '</w:t>
      </w:r>
      <w:proofErr w:type="spellStart"/>
      <w:r w:rsidRPr="00992C45">
        <w:rPr>
          <w:lang w:val="fr-FR"/>
        </w:rPr>
        <w:t>Heriot</w:t>
      </w:r>
      <w:proofErr w:type="spellEnd"/>
      <w:r w:rsidRPr="00992C45">
        <w:rPr>
          <w:lang w:val="fr-FR"/>
        </w:rPr>
        <w:t xml:space="preserve">', in Michael </w:t>
      </w:r>
      <w:proofErr w:type="spellStart"/>
      <w:r w:rsidRPr="00992C45">
        <w:rPr>
          <w:lang w:val="fr-FR"/>
        </w:rPr>
        <w:t>Lapidge</w:t>
      </w:r>
      <w:proofErr w:type="spellEnd"/>
      <w:r w:rsidRPr="00992C45">
        <w:rPr>
          <w:lang w:val="fr-FR"/>
        </w:rPr>
        <w:t xml:space="preserve">, John Blair, Simon Keynes, and Donald </w:t>
      </w:r>
      <w:proofErr w:type="spellStart"/>
      <w:r w:rsidRPr="00992C45">
        <w:rPr>
          <w:lang w:val="fr-FR"/>
        </w:rPr>
        <w:t>Scragg</w:t>
      </w:r>
      <w:proofErr w:type="spellEnd"/>
      <w:r w:rsidRPr="00992C45">
        <w:rPr>
          <w:lang w:val="fr-FR"/>
        </w:rPr>
        <w:t xml:space="preserve"> (</w:t>
      </w:r>
      <w:proofErr w:type="spellStart"/>
      <w:r w:rsidRPr="00992C45">
        <w:rPr>
          <w:lang w:val="fr-FR"/>
        </w:rPr>
        <w:t>eds</w:t>
      </w:r>
      <w:proofErr w:type="spellEnd"/>
      <w:r w:rsidRPr="00992C45">
        <w:rPr>
          <w:lang w:val="fr-FR"/>
        </w:rPr>
        <w:t xml:space="preserve">), </w:t>
      </w:r>
      <w:r w:rsidRPr="00992C45">
        <w:rPr>
          <w:i/>
          <w:iCs/>
          <w:lang w:val="fr-FR"/>
        </w:rPr>
        <w:t xml:space="preserve">The </w:t>
      </w:r>
      <w:proofErr w:type="spellStart"/>
      <w:r w:rsidRPr="00992C45">
        <w:rPr>
          <w:i/>
          <w:iCs/>
          <w:lang w:val="fr-FR"/>
        </w:rPr>
        <w:t>Wiley</w:t>
      </w:r>
      <w:proofErr w:type="spellEnd"/>
      <w:r w:rsidRPr="00992C45">
        <w:rPr>
          <w:i/>
          <w:iCs/>
          <w:lang w:val="fr-FR"/>
        </w:rPr>
        <w:t xml:space="preserve"> Blackwell </w:t>
      </w:r>
      <w:proofErr w:type="spellStart"/>
      <w:r w:rsidRPr="00992C45">
        <w:rPr>
          <w:i/>
          <w:iCs/>
          <w:lang w:val="fr-FR"/>
        </w:rPr>
        <w:t>Encyclopedia</w:t>
      </w:r>
      <w:proofErr w:type="spellEnd"/>
      <w:r w:rsidRPr="00992C45">
        <w:rPr>
          <w:i/>
          <w:iCs/>
          <w:lang w:val="fr-FR"/>
        </w:rPr>
        <w:t xml:space="preserve"> of Anglo-Saxon </w:t>
      </w:r>
      <w:proofErr w:type="spellStart"/>
      <w:r w:rsidRPr="00992C45">
        <w:rPr>
          <w:i/>
          <w:iCs/>
          <w:lang w:val="fr-FR"/>
        </w:rPr>
        <w:t>England</w:t>
      </w:r>
      <w:proofErr w:type="spellEnd"/>
      <w:r w:rsidRPr="00992C45">
        <w:rPr>
          <w:lang w:val="fr-FR"/>
        </w:rPr>
        <w:t>, (Chichester, 2013), pp.241-240</w:t>
      </w:r>
      <w:r w:rsidRPr="00992C45">
        <w:t> </w:t>
      </w:r>
    </w:p>
    <w:p w14:paraId="4ECDEC39" w14:textId="77777777" w:rsidR="00992C45" w:rsidRPr="00992C45" w:rsidRDefault="00992C45" w:rsidP="0028398D">
      <w:pPr>
        <w:spacing w:after="240" w:line="240" w:lineRule="auto"/>
        <w:jc w:val="both"/>
      </w:pPr>
      <w:proofErr w:type="spellStart"/>
      <w:r w:rsidRPr="00992C45">
        <w:rPr>
          <w:lang w:val="fr-FR"/>
        </w:rPr>
        <w:t>Addy</w:t>
      </w:r>
      <w:proofErr w:type="spellEnd"/>
      <w:r w:rsidRPr="00992C45">
        <w:rPr>
          <w:lang w:val="fr-FR"/>
        </w:rPr>
        <w:t xml:space="preserve">, John, </w:t>
      </w:r>
      <w:proofErr w:type="spellStart"/>
      <w:r w:rsidRPr="00992C45">
        <w:rPr>
          <w:i/>
          <w:iCs/>
          <w:lang w:val="fr-FR"/>
        </w:rPr>
        <w:t>Death</w:t>
      </w:r>
      <w:proofErr w:type="spellEnd"/>
      <w:r w:rsidRPr="00992C45">
        <w:rPr>
          <w:i/>
          <w:iCs/>
          <w:lang w:val="fr-FR"/>
        </w:rPr>
        <w:t xml:space="preserve">, Money and the </w:t>
      </w:r>
      <w:proofErr w:type="spellStart"/>
      <w:proofErr w:type="gramStart"/>
      <w:r w:rsidRPr="00992C45">
        <w:rPr>
          <w:i/>
          <w:iCs/>
          <w:lang w:val="fr-FR"/>
        </w:rPr>
        <w:t>Vultures</w:t>
      </w:r>
      <w:proofErr w:type="spellEnd"/>
      <w:r w:rsidRPr="00992C45">
        <w:rPr>
          <w:i/>
          <w:iCs/>
          <w:lang w:val="fr-FR"/>
        </w:rPr>
        <w:t>:</w:t>
      </w:r>
      <w:proofErr w:type="gramEnd"/>
      <w:r w:rsidRPr="00992C45">
        <w:rPr>
          <w:i/>
          <w:iCs/>
          <w:lang w:val="fr-FR"/>
        </w:rPr>
        <w:t xml:space="preserve"> </w:t>
      </w:r>
      <w:proofErr w:type="spellStart"/>
      <w:r w:rsidRPr="00992C45">
        <w:rPr>
          <w:i/>
          <w:iCs/>
          <w:lang w:val="fr-FR"/>
        </w:rPr>
        <w:t>Inheritance</w:t>
      </w:r>
      <w:proofErr w:type="spellEnd"/>
      <w:r w:rsidRPr="00992C45">
        <w:rPr>
          <w:i/>
          <w:iCs/>
          <w:lang w:val="fr-FR"/>
        </w:rPr>
        <w:t xml:space="preserve"> and Avarice 1660-1750, </w:t>
      </w:r>
      <w:r w:rsidRPr="00992C45">
        <w:rPr>
          <w:lang w:val="fr-FR"/>
        </w:rPr>
        <w:t>(London, 2013)</w:t>
      </w:r>
      <w:r w:rsidRPr="00992C45">
        <w:t> </w:t>
      </w:r>
    </w:p>
    <w:p w14:paraId="4CEC239E" w14:textId="77777777" w:rsidR="00992C45" w:rsidRPr="00992C45" w:rsidRDefault="00992C45" w:rsidP="0028398D">
      <w:pPr>
        <w:spacing w:after="240" w:line="240" w:lineRule="auto"/>
        <w:jc w:val="both"/>
      </w:pPr>
      <w:r w:rsidRPr="00992C45">
        <w:rPr>
          <w:lang w:val="en-US"/>
        </w:rPr>
        <w:t xml:space="preserve">Addy, John, </w:t>
      </w:r>
      <w:r w:rsidRPr="00992C45">
        <w:rPr>
          <w:i/>
          <w:iCs/>
          <w:lang w:val="en-US"/>
        </w:rPr>
        <w:t xml:space="preserve">Sin &amp; Society in the Seventeenth Century, </w:t>
      </w:r>
      <w:r w:rsidRPr="00992C45">
        <w:rPr>
          <w:lang w:val="en-US"/>
        </w:rPr>
        <w:t>(Abingdon, 1989)</w:t>
      </w:r>
      <w:r w:rsidRPr="00992C45">
        <w:t> </w:t>
      </w:r>
    </w:p>
    <w:p w14:paraId="1A1F473B" w14:textId="77777777" w:rsidR="00992C45" w:rsidRPr="00992C45" w:rsidRDefault="00992C45" w:rsidP="0028398D">
      <w:pPr>
        <w:spacing w:after="240" w:line="240" w:lineRule="auto"/>
        <w:jc w:val="both"/>
      </w:pPr>
      <w:r w:rsidRPr="00992C45">
        <w:rPr>
          <w:lang w:val="en-US"/>
        </w:rPr>
        <w:t xml:space="preserve">Alcock, Nat and Linda Hall, </w:t>
      </w:r>
      <w:r w:rsidRPr="00992C45">
        <w:rPr>
          <w:i/>
          <w:iCs/>
          <w:lang w:val="en-US"/>
        </w:rPr>
        <w:t xml:space="preserve">Fixtures and Fittings in Dated Houses 1567-1763, </w:t>
      </w:r>
      <w:r w:rsidRPr="00992C45">
        <w:rPr>
          <w:lang w:val="en-US"/>
        </w:rPr>
        <w:t>(York, 1994)</w:t>
      </w:r>
      <w:r w:rsidRPr="00992C45">
        <w:t> </w:t>
      </w:r>
    </w:p>
    <w:p w14:paraId="3CFC6C50" w14:textId="77777777" w:rsidR="00992C45" w:rsidRPr="00992C45" w:rsidRDefault="00992C45" w:rsidP="0028398D">
      <w:pPr>
        <w:spacing w:after="240" w:line="240" w:lineRule="auto"/>
        <w:jc w:val="both"/>
      </w:pPr>
      <w:r w:rsidRPr="00992C45">
        <w:rPr>
          <w:lang w:val="en-US"/>
        </w:rPr>
        <w:t xml:space="preserve">Alcock, </w:t>
      </w:r>
      <w:proofErr w:type="gramStart"/>
      <w:r w:rsidRPr="00992C45">
        <w:rPr>
          <w:lang w:val="en-US"/>
        </w:rPr>
        <w:t>Nat, ‘</w:t>
      </w:r>
      <w:proofErr w:type="gramEnd"/>
      <w:r w:rsidRPr="00992C45">
        <w:rPr>
          <w:lang w:val="en-US"/>
        </w:rPr>
        <w:t xml:space="preserve">The Great Rebuilding and its later stages’, </w:t>
      </w:r>
      <w:r w:rsidRPr="00992C45">
        <w:rPr>
          <w:i/>
          <w:iCs/>
          <w:lang w:val="en-US"/>
        </w:rPr>
        <w:t xml:space="preserve">Vernacular Architecture, </w:t>
      </w:r>
      <w:r w:rsidRPr="00992C45">
        <w:rPr>
          <w:lang w:val="en-US"/>
        </w:rPr>
        <w:t>Vol. 14, No. 1, (1983), pp.45-48</w:t>
      </w:r>
      <w:r w:rsidRPr="00992C45">
        <w:t> </w:t>
      </w:r>
    </w:p>
    <w:p w14:paraId="3AD416A6" w14:textId="77777777" w:rsidR="00992C45" w:rsidRPr="00992C45" w:rsidRDefault="00992C45" w:rsidP="0028398D">
      <w:pPr>
        <w:spacing w:after="240" w:line="240" w:lineRule="auto"/>
        <w:jc w:val="both"/>
      </w:pPr>
      <w:r w:rsidRPr="00992C45">
        <w:rPr>
          <w:lang w:val="en-US"/>
        </w:rPr>
        <w:t xml:space="preserve">Allen Rosecrans, Jennifer, ‘Wearing the universe: symbolic markings in early modern England’, in Jane Caplan (ed.), </w:t>
      </w:r>
      <w:r w:rsidRPr="00992C45">
        <w:rPr>
          <w:i/>
          <w:iCs/>
          <w:lang w:val="en-US"/>
        </w:rPr>
        <w:t xml:space="preserve">Written on the Body: The Tattoo in European and American History, </w:t>
      </w:r>
      <w:r w:rsidRPr="00992C45">
        <w:rPr>
          <w:lang w:val="en-US"/>
        </w:rPr>
        <w:t>(London, 2000), pp.46-60</w:t>
      </w:r>
      <w:r w:rsidRPr="00992C45">
        <w:t> </w:t>
      </w:r>
    </w:p>
    <w:p w14:paraId="7575B31F" w14:textId="77777777" w:rsidR="00992C45" w:rsidRPr="00992C45" w:rsidRDefault="00992C45" w:rsidP="0028398D">
      <w:pPr>
        <w:spacing w:after="240" w:line="240" w:lineRule="auto"/>
        <w:jc w:val="both"/>
      </w:pPr>
      <w:proofErr w:type="spellStart"/>
      <w:r w:rsidRPr="00992C45">
        <w:rPr>
          <w:lang w:val="fr-FR"/>
        </w:rPr>
        <w:t>Allsopp</w:t>
      </w:r>
      <w:proofErr w:type="spellEnd"/>
      <w:r w:rsidRPr="00992C45">
        <w:rPr>
          <w:lang w:val="fr-FR"/>
        </w:rPr>
        <w:t xml:space="preserve">, Niall, ‘The </w:t>
      </w:r>
      <w:proofErr w:type="spellStart"/>
      <w:r w:rsidRPr="00992C45">
        <w:rPr>
          <w:lang w:val="fr-FR"/>
        </w:rPr>
        <w:t>Review</w:t>
      </w:r>
      <w:proofErr w:type="spellEnd"/>
      <w:r w:rsidRPr="00992C45">
        <w:rPr>
          <w:lang w:val="fr-FR"/>
        </w:rPr>
        <w:t xml:space="preserve"> of English </w:t>
      </w:r>
      <w:proofErr w:type="spellStart"/>
      <w:r w:rsidRPr="00992C45">
        <w:rPr>
          <w:lang w:val="fr-FR"/>
        </w:rPr>
        <w:t>Studies</w:t>
      </w:r>
      <w:proofErr w:type="spellEnd"/>
      <w:r w:rsidRPr="00992C45">
        <w:rPr>
          <w:lang w:val="fr-FR"/>
        </w:rPr>
        <w:t xml:space="preserve"> </w:t>
      </w:r>
      <w:proofErr w:type="spellStart"/>
      <w:r w:rsidRPr="00992C45">
        <w:rPr>
          <w:lang w:val="fr-FR"/>
        </w:rPr>
        <w:t>Prize</w:t>
      </w:r>
      <w:proofErr w:type="spellEnd"/>
      <w:r w:rsidRPr="00992C45">
        <w:rPr>
          <w:lang w:val="fr-FR"/>
        </w:rPr>
        <w:t xml:space="preserve"> </w:t>
      </w:r>
      <w:proofErr w:type="gramStart"/>
      <w:r w:rsidRPr="00992C45">
        <w:rPr>
          <w:lang w:val="fr-FR"/>
        </w:rPr>
        <w:t>Essay:</w:t>
      </w:r>
      <w:proofErr w:type="gramEnd"/>
      <w:r w:rsidRPr="00992C45">
        <w:rPr>
          <w:lang w:val="fr-FR"/>
        </w:rPr>
        <w:t xml:space="preserve"> </w:t>
      </w:r>
      <w:proofErr w:type="spellStart"/>
      <w:r w:rsidRPr="00992C45">
        <w:rPr>
          <w:lang w:val="fr-FR"/>
        </w:rPr>
        <w:t>Threshold</w:t>
      </w:r>
      <w:proofErr w:type="spellEnd"/>
      <w:r w:rsidRPr="00992C45">
        <w:rPr>
          <w:lang w:val="fr-FR"/>
        </w:rPr>
        <w:t xml:space="preserve"> </w:t>
      </w:r>
      <w:proofErr w:type="spellStart"/>
      <w:r w:rsidRPr="00992C45">
        <w:rPr>
          <w:lang w:val="fr-FR"/>
        </w:rPr>
        <w:t>rituals</w:t>
      </w:r>
      <w:proofErr w:type="spellEnd"/>
      <w:r w:rsidRPr="00992C45">
        <w:rPr>
          <w:lang w:val="fr-FR"/>
        </w:rPr>
        <w:t xml:space="preserve"> in </w:t>
      </w:r>
      <w:proofErr w:type="spellStart"/>
      <w:r w:rsidRPr="00992C45">
        <w:rPr>
          <w:lang w:val="fr-FR"/>
        </w:rPr>
        <w:t>early</w:t>
      </w:r>
      <w:proofErr w:type="spellEnd"/>
      <w:r w:rsidRPr="00992C45">
        <w:rPr>
          <w:lang w:val="fr-FR"/>
        </w:rPr>
        <w:t xml:space="preserve"> modern </w:t>
      </w:r>
      <w:proofErr w:type="spellStart"/>
      <w:proofErr w:type="gramStart"/>
      <w:r w:rsidRPr="00992C45">
        <w:rPr>
          <w:lang w:val="fr-FR"/>
        </w:rPr>
        <w:t>England</w:t>
      </w:r>
      <w:proofErr w:type="spellEnd"/>
      <w:r w:rsidRPr="00992C45">
        <w:rPr>
          <w:lang w:val="fr-FR"/>
        </w:rPr>
        <w:t>:</w:t>
      </w:r>
      <w:proofErr w:type="gramEnd"/>
      <w:r w:rsidRPr="00992C45">
        <w:rPr>
          <w:lang w:val="fr-FR"/>
        </w:rPr>
        <w:t xml:space="preserve"> </w:t>
      </w:r>
      <w:proofErr w:type="spellStart"/>
      <w:r w:rsidRPr="00992C45">
        <w:rPr>
          <w:lang w:val="fr-FR"/>
        </w:rPr>
        <w:t>a</w:t>
      </w:r>
      <w:proofErr w:type="spellEnd"/>
      <w:r w:rsidRPr="00992C45">
        <w:rPr>
          <w:lang w:val="fr-FR"/>
        </w:rPr>
        <w:t xml:space="preserve"> case </w:t>
      </w:r>
      <w:proofErr w:type="spellStart"/>
      <w:r w:rsidRPr="00992C45">
        <w:rPr>
          <w:lang w:val="fr-FR"/>
        </w:rPr>
        <w:t>study</w:t>
      </w:r>
      <w:proofErr w:type="spellEnd"/>
      <w:r w:rsidRPr="00992C45">
        <w:rPr>
          <w:lang w:val="fr-FR"/>
        </w:rPr>
        <w:t xml:space="preserve"> in Robert Herrick’, </w:t>
      </w:r>
      <w:r w:rsidRPr="00992C45">
        <w:rPr>
          <w:i/>
          <w:iCs/>
          <w:lang w:val="fr-FR"/>
        </w:rPr>
        <w:t xml:space="preserve">The </w:t>
      </w:r>
      <w:proofErr w:type="spellStart"/>
      <w:r w:rsidRPr="00992C45">
        <w:rPr>
          <w:i/>
          <w:iCs/>
          <w:lang w:val="fr-FR"/>
        </w:rPr>
        <w:t>Review</w:t>
      </w:r>
      <w:proofErr w:type="spellEnd"/>
      <w:r w:rsidRPr="00992C45">
        <w:rPr>
          <w:i/>
          <w:iCs/>
          <w:lang w:val="fr-FR"/>
        </w:rPr>
        <w:t xml:space="preserve"> of English </w:t>
      </w:r>
      <w:proofErr w:type="spellStart"/>
      <w:r w:rsidRPr="00992C45">
        <w:rPr>
          <w:i/>
          <w:iCs/>
          <w:lang w:val="fr-FR"/>
        </w:rPr>
        <w:t>Studies</w:t>
      </w:r>
      <w:proofErr w:type="spellEnd"/>
      <w:r w:rsidRPr="00992C45">
        <w:rPr>
          <w:lang w:val="fr-FR"/>
        </w:rPr>
        <w:t>, Vol. 68., No. 285, (2016), pp.405-427</w:t>
      </w:r>
      <w:r w:rsidRPr="00992C45">
        <w:t> </w:t>
      </w:r>
    </w:p>
    <w:p w14:paraId="3F659DC7" w14:textId="77777777" w:rsidR="00992C45" w:rsidRPr="00992C45" w:rsidRDefault="00992C45" w:rsidP="0028398D">
      <w:pPr>
        <w:spacing w:after="240" w:line="240" w:lineRule="auto"/>
        <w:jc w:val="both"/>
      </w:pPr>
      <w:r w:rsidRPr="00992C45">
        <w:rPr>
          <w:lang w:val="en-US"/>
        </w:rPr>
        <w:lastRenderedPageBreak/>
        <w:t xml:space="preserve">Angus, Bill, ‘The apotropaic “witch posts” of early modern Yorkshire: a contextualization’, </w:t>
      </w:r>
      <w:r w:rsidRPr="00992C45">
        <w:rPr>
          <w:i/>
          <w:iCs/>
          <w:lang w:val="en-US"/>
        </w:rPr>
        <w:t>Material Religion,</w:t>
      </w:r>
      <w:r w:rsidRPr="00992C45">
        <w:rPr>
          <w:lang w:val="en-US"/>
        </w:rPr>
        <w:t xml:space="preserve"> Vol. 14, No. 1, (2018), pp.55-82</w:t>
      </w:r>
      <w:r w:rsidRPr="00992C45">
        <w:t> </w:t>
      </w:r>
    </w:p>
    <w:p w14:paraId="3862BC53" w14:textId="77777777" w:rsidR="00992C45" w:rsidRPr="00992C45" w:rsidRDefault="00992C45" w:rsidP="0028398D">
      <w:pPr>
        <w:spacing w:after="240" w:line="240" w:lineRule="auto"/>
        <w:jc w:val="both"/>
      </w:pPr>
      <w:proofErr w:type="spellStart"/>
      <w:r w:rsidRPr="00992C45">
        <w:rPr>
          <w:lang w:val="fr-FR"/>
        </w:rPr>
        <w:t>Arkell</w:t>
      </w:r>
      <w:proofErr w:type="spellEnd"/>
      <w:r w:rsidRPr="00992C45">
        <w:rPr>
          <w:lang w:val="fr-FR"/>
        </w:rPr>
        <w:t>, Tom, ‘</w:t>
      </w:r>
      <w:proofErr w:type="spellStart"/>
      <w:r w:rsidRPr="00992C45">
        <w:rPr>
          <w:lang w:val="fr-FR"/>
        </w:rPr>
        <w:t>Multiplying</w:t>
      </w:r>
      <w:proofErr w:type="spellEnd"/>
      <w:r w:rsidRPr="00992C45">
        <w:rPr>
          <w:lang w:val="fr-FR"/>
        </w:rPr>
        <w:t xml:space="preserve"> </w:t>
      </w:r>
      <w:proofErr w:type="spellStart"/>
      <w:r w:rsidRPr="00992C45">
        <w:rPr>
          <w:lang w:val="fr-FR"/>
        </w:rPr>
        <w:t>factors</w:t>
      </w:r>
      <w:proofErr w:type="spellEnd"/>
      <w:r w:rsidRPr="00992C45">
        <w:rPr>
          <w:lang w:val="fr-FR"/>
        </w:rPr>
        <w:t xml:space="preserve"> for </w:t>
      </w:r>
      <w:proofErr w:type="spellStart"/>
      <w:r w:rsidRPr="00992C45">
        <w:rPr>
          <w:lang w:val="fr-FR"/>
        </w:rPr>
        <w:t>estimating</w:t>
      </w:r>
      <w:proofErr w:type="spellEnd"/>
      <w:r w:rsidRPr="00992C45">
        <w:rPr>
          <w:lang w:val="fr-FR"/>
        </w:rPr>
        <w:t xml:space="preserve"> population </w:t>
      </w:r>
      <w:proofErr w:type="spellStart"/>
      <w:r w:rsidRPr="00992C45">
        <w:rPr>
          <w:lang w:val="fr-FR"/>
        </w:rPr>
        <w:t>totals</w:t>
      </w:r>
      <w:proofErr w:type="spellEnd"/>
      <w:r w:rsidRPr="00992C45">
        <w:rPr>
          <w:lang w:val="fr-FR"/>
        </w:rPr>
        <w:t xml:space="preserve"> </w:t>
      </w:r>
      <w:proofErr w:type="spellStart"/>
      <w:r w:rsidRPr="00992C45">
        <w:rPr>
          <w:lang w:val="fr-FR"/>
        </w:rPr>
        <w:t>from</w:t>
      </w:r>
      <w:proofErr w:type="spellEnd"/>
      <w:r w:rsidRPr="00992C45">
        <w:rPr>
          <w:lang w:val="fr-FR"/>
        </w:rPr>
        <w:t xml:space="preserve"> the </w:t>
      </w:r>
      <w:proofErr w:type="spellStart"/>
      <w:r w:rsidRPr="00992C45">
        <w:rPr>
          <w:lang w:val="fr-FR"/>
        </w:rPr>
        <w:t>hearth</w:t>
      </w:r>
      <w:proofErr w:type="spellEnd"/>
      <w:r w:rsidRPr="00992C45">
        <w:rPr>
          <w:lang w:val="fr-FR"/>
        </w:rPr>
        <w:t xml:space="preserve"> </w:t>
      </w:r>
      <w:proofErr w:type="spellStart"/>
      <w:r w:rsidRPr="00992C45">
        <w:rPr>
          <w:lang w:val="fr-FR"/>
        </w:rPr>
        <w:t>tax</w:t>
      </w:r>
      <w:proofErr w:type="spellEnd"/>
      <w:r w:rsidRPr="00992C45">
        <w:rPr>
          <w:lang w:val="fr-FR"/>
        </w:rPr>
        <w:t xml:space="preserve">’, </w:t>
      </w:r>
      <w:r w:rsidRPr="00992C45">
        <w:rPr>
          <w:i/>
          <w:iCs/>
          <w:lang w:val="fr-FR"/>
        </w:rPr>
        <w:t xml:space="preserve">Local Population </w:t>
      </w:r>
      <w:proofErr w:type="spellStart"/>
      <w:r w:rsidRPr="00992C45">
        <w:rPr>
          <w:i/>
          <w:iCs/>
          <w:lang w:val="fr-FR"/>
        </w:rPr>
        <w:t>Studies</w:t>
      </w:r>
      <w:proofErr w:type="spellEnd"/>
      <w:r w:rsidRPr="00992C45">
        <w:rPr>
          <w:i/>
          <w:iCs/>
          <w:lang w:val="fr-FR"/>
        </w:rPr>
        <w:t xml:space="preserve">, </w:t>
      </w:r>
      <w:r w:rsidRPr="00992C45">
        <w:rPr>
          <w:lang w:val="fr-FR"/>
        </w:rPr>
        <w:t>No. 28, (1982), pp.51-57</w:t>
      </w:r>
      <w:r w:rsidRPr="00992C45">
        <w:t> </w:t>
      </w:r>
    </w:p>
    <w:p w14:paraId="3EDF9E9C" w14:textId="77777777" w:rsidR="00992C45" w:rsidRPr="00992C45" w:rsidRDefault="00992C45" w:rsidP="0028398D">
      <w:pPr>
        <w:spacing w:after="240" w:line="240" w:lineRule="auto"/>
        <w:jc w:val="both"/>
      </w:pPr>
      <w:r w:rsidRPr="00992C45">
        <w:rPr>
          <w:lang w:val="en-US"/>
        </w:rPr>
        <w:t>Baldwin, Martha R</w:t>
      </w:r>
      <w:proofErr w:type="gramStart"/>
      <w:r w:rsidRPr="00992C45">
        <w:rPr>
          <w:lang w:val="en-US"/>
        </w:rPr>
        <w:t>., ‘</w:t>
      </w:r>
      <w:proofErr w:type="gramEnd"/>
      <w:r w:rsidRPr="00992C45">
        <w:rPr>
          <w:lang w:val="en-US"/>
        </w:rPr>
        <w:t xml:space="preserve">Toads and plague: amulet therapy in seventeenth-century medicine’, </w:t>
      </w:r>
      <w:r w:rsidRPr="00992C45">
        <w:rPr>
          <w:i/>
          <w:iCs/>
          <w:lang w:val="en-US"/>
        </w:rPr>
        <w:t xml:space="preserve">Bulletin of the History of Medicine, </w:t>
      </w:r>
      <w:r w:rsidRPr="00992C45">
        <w:rPr>
          <w:lang w:val="en-US"/>
        </w:rPr>
        <w:t>Vol. 67, No. 2, (1993), pp.227-247</w:t>
      </w:r>
      <w:r w:rsidRPr="00992C45">
        <w:t> </w:t>
      </w:r>
    </w:p>
    <w:p w14:paraId="23D49413" w14:textId="77777777" w:rsidR="00992C45" w:rsidRPr="00992C45" w:rsidRDefault="00992C45" w:rsidP="0028398D">
      <w:pPr>
        <w:spacing w:after="240" w:line="240" w:lineRule="auto"/>
        <w:jc w:val="both"/>
      </w:pPr>
      <w:r w:rsidRPr="00992C45">
        <w:rPr>
          <w:lang w:val="en-US"/>
        </w:rPr>
        <w:t xml:space="preserve">Barclay, Katie </w:t>
      </w:r>
      <w:proofErr w:type="gramStart"/>
      <w:r w:rsidRPr="00992C45">
        <w:rPr>
          <w:lang w:val="en-US"/>
        </w:rPr>
        <w:t>and  Bronwyn</w:t>
      </w:r>
      <w:proofErr w:type="gramEnd"/>
      <w:r w:rsidRPr="00992C45">
        <w:rPr>
          <w:lang w:val="en-US"/>
        </w:rPr>
        <w:t xml:space="preserve"> Reddan (eds), </w:t>
      </w:r>
      <w:r w:rsidRPr="00992C45">
        <w:rPr>
          <w:i/>
          <w:iCs/>
          <w:lang w:val="en-US"/>
        </w:rPr>
        <w:t xml:space="preserve">The Feeling Heart in Medieval and Early Modern Europe: Meaning, Embodiment, and Making, </w:t>
      </w:r>
      <w:r w:rsidRPr="00992C45">
        <w:rPr>
          <w:lang w:val="en-US"/>
        </w:rPr>
        <w:t>(Berlin, 2020)</w:t>
      </w:r>
      <w:r w:rsidRPr="00992C45">
        <w:t> </w:t>
      </w:r>
    </w:p>
    <w:p w14:paraId="2D4168BB" w14:textId="77777777" w:rsidR="00992C45" w:rsidRPr="00992C45" w:rsidRDefault="00992C45" w:rsidP="0028398D">
      <w:pPr>
        <w:spacing w:after="240" w:line="240" w:lineRule="auto"/>
        <w:jc w:val="both"/>
      </w:pPr>
      <w:r w:rsidRPr="00992C45">
        <w:rPr>
          <w:lang w:val="en-US"/>
        </w:rPr>
        <w:t xml:space="preserve">Barker, David, ‘“The usual classes of useful articles”: Staffordshire ceramics reconsidered’, </w:t>
      </w:r>
      <w:r w:rsidRPr="00992C45">
        <w:rPr>
          <w:i/>
          <w:iCs/>
          <w:lang w:val="en-US"/>
        </w:rPr>
        <w:t xml:space="preserve">Ceramics in America, </w:t>
      </w:r>
      <w:r w:rsidRPr="00992C45">
        <w:rPr>
          <w:lang w:val="en-US"/>
        </w:rPr>
        <w:t>Vol. 1, (2001), pp.72-93</w:t>
      </w:r>
      <w:r w:rsidRPr="00992C45">
        <w:t> </w:t>
      </w:r>
    </w:p>
    <w:p w14:paraId="415BA0E1" w14:textId="77777777" w:rsidR="00992C45" w:rsidRPr="00992C45" w:rsidRDefault="00992C45" w:rsidP="0028398D">
      <w:pPr>
        <w:spacing w:after="240" w:line="240" w:lineRule="auto"/>
        <w:jc w:val="both"/>
      </w:pPr>
      <w:r w:rsidRPr="00992C45">
        <w:rPr>
          <w:lang w:val="en-US"/>
        </w:rPr>
        <w:t xml:space="preserve">Barry, Jonathan and Christopher Brooks (eds), </w:t>
      </w:r>
      <w:r w:rsidRPr="00992C45">
        <w:rPr>
          <w:i/>
          <w:iCs/>
          <w:lang w:val="en-US"/>
        </w:rPr>
        <w:t xml:space="preserve">The Middling Sort of People: Culture, Society and Politics in England 1550-1800, </w:t>
      </w:r>
      <w:r w:rsidRPr="00992C45">
        <w:rPr>
          <w:lang w:val="en-US"/>
        </w:rPr>
        <w:t>(Basingstoke, 1994)</w:t>
      </w:r>
      <w:r w:rsidRPr="00992C45">
        <w:t> </w:t>
      </w:r>
    </w:p>
    <w:p w14:paraId="7337B47F" w14:textId="77777777" w:rsidR="00992C45" w:rsidRPr="00992C45" w:rsidRDefault="00992C45" w:rsidP="0028398D">
      <w:pPr>
        <w:spacing w:after="240" w:line="240" w:lineRule="auto"/>
        <w:jc w:val="both"/>
      </w:pPr>
      <w:r w:rsidRPr="00992C45">
        <w:rPr>
          <w:lang w:val="fr-FR"/>
        </w:rPr>
        <w:t xml:space="preserve">Barry, Jonathan and Elizabeth Parkinson, ‘Part </w:t>
      </w:r>
      <w:proofErr w:type="gramStart"/>
      <w:r w:rsidRPr="00992C45">
        <w:rPr>
          <w:lang w:val="fr-FR"/>
        </w:rPr>
        <w:t>I:</w:t>
      </w:r>
      <w:proofErr w:type="gramEnd"/>
      <w:r w:rsidRPr="00992C45">
        <w:rPr>
          <w:lang w:val="fr-FR"/>
        </w:rPr>
        <w:t xml:space="preserve"> Bristol </w:t>
      </w:r>
      <w:proofErr w:type="spellStart"/>
      <w:r w:rsidRPr="00992C45">
        <w:rPr>
          <w:lang w:val="fr-FR"/>
        </w:rPr>
        <w:t>hearth</w:t>
      </w:r>
      <w:proofErr w:type="spellEnd"/>
      <w:r w:rsidRPr="00992C45">
        <w:rPr>
          <w:lang w:val="fr-FR"/>
        </w:rPr>
        <w:t xml:space="preserve"> </w:t>
      </w:r>
      <w:proofErr w:type="spellStart"/>
      <w:proofErr w:type="gramStart"/>
      <w:r w:rsidRPr="00992C45">
        <w:rPr>
          <w:lang w:val="fr-FR"/>
        </w:rPr>
        <w:t>tax</w:t>
      </w:r>
      <w:proofErr w:type="spellEnd"/>
      <w:r w:rsidRPr="00992C45">
        <w:rPr>
          <w:lang w:val="fr-FR"/>
        </w:rPr>
        <w:t>:</w:t>
      </w:r>
      <w:proofErr w:type="gramEnd"/>
      <w:r w:rsidRPr="00992C45">
        <w:rPr>
          <w:lang w:val="fr-FR"/>
        </w:rPr>
        <w:t xml:space="preserve"> 1662-1689’, in Roger </w:t>
      </w:r>
      <w:proofErr w:type="spellStart"/>
      <w:r w:rsidRPr="00992C45">
        <w:rPr>
          <w:lang w:val="fr-FR"/>
        </w:rPr>
        <w:t>Leech</w:t>
      </w:r>
      <w:proofErr w:type="spellEnd"/>
      <w:r w:rsidRPr="00992C45">
        <w:rPr>
          <w:lang w:val="fr-FR"/>
        </w:rPr>
        <w:t>, Jonathan Barry, Alison Brown and Elizabeth Parkinson (</w:t>
      </w:r>
      <w:proofErr w:type="spellStart"/>
      <w:r w:rsidRPr="00992C45">
        <w:rPr>
          <w:lang w:val="fr-FR"/>
        </w:rPr>
        <w:t>eds</w:t>
      </w:r>
      <w:proofErr w:type="spellEnd"/>
      <w:r w:rsidRPr="00992C45">
        <w:rPr>
          <w:lang w:val="fr-FR"/>
        </w:rPr>
        <w:t xml:space="preserve">), </w:t>
      </w:r>
      <w:r w:rsidRPr="00992C45">
        <w:rPr>
          <w:i/>
          <w:iCs/>
          <w:lang w:val="fr-FR"/>
        </w:rPr>
        <w:t xml:space="preserve">The Bristol </w:t>
      </w:r>
      <w:proofErr w:type="spellStart"/>
      <w:r w:rsidRPr="00992C45">
        <w:rPr>
          <w:i/>
          <w:iCs/>
          <w:lang w:val="fr-FR"/>
        </w:rPr>
        <w:t>Hearth</w:t>
      </w:r>
      <w:proofErr w:type="spellEnd"/>
      <w:r w:rsidRPr="00992C45">
        <w:rPr>
          <w:i/>
          <w:iCs/>
          <w:lang w:val="fr-FR"/>
        </w:rPr>
        <w:t xml:space="preserve"> </w:t>
      </w:r>
      <w:proofErr w:type="spellStart"/>
      <w:r w:rsidRPr="00992C45">
        <w:rPr>
          <w:i/>
          <w:iCs/>
          <w:lang w:val="fr-FR"/>
        </w:rPr>
        <w:t>Tax</w:t>
      </w:r>
      <w:proofErr w:type="spellEnd"/>
      <w:r w:rsidRPr="00992C45">
        <w:rPr>
          <w:i/>
          <w:iCs/>
          <w:lang w:val="fr-FR"/>
        </w:rPr>
        <w:t xml:space="preserve">, 1662-1673, </w:t>
      </w:r>
      <w:r w:rsidRPr="00992C45">
        <w:rPr>
          <w:lang w:val="fr-FR"/>
        </w:rPr>
        <w:t>(Bristol, 2017), pp.8-40</w:t>
      </w:r>
      <w:r w:rsidRPr="00992C45">
        <w:t> </w:t>
      </w:r>
    </w:p>
    <w:p w14:paraId="3B146765" w14:textId="77777777" w:rsidR="00992C45" w:rsidRPr="00992C45" w:rsidRDefault="00992C45" w:rsidP="0028398D">
      <w:pPr>
        <w:spacing w:after="240" w:line="240" w:lineRule="auto"/>
        <w:jc w:val="both"/>
      </w:pPr>
      <w:r w:rsidRPr="00992C45">
        <w:rPr>
          <w:lang w:val="fr-FR"/>
        </w:rPr>
        <w:t>Beer, Barrett,</w:t>
      </w:r>
      <w:r w:rsidRPr="00992C45">
        <w:rPr>
          <w:i/>
          <w:iCs/>
          <w:lang w:val="fr-FR"/>
        </w:rPr>
        <w:t xml:space="preserve"> Tudor </w:t>
      </w:r>
      <w:proofErr w:type="spellStart"/>
      <w:r w:rsidRPr="00992C45">
        <w:rPr>
          <w:i/>
          <w:iCs/>
          <w:lang w:val="fr-FR"/>
        </w:rPr>
        <w:t>England</w:t>
      </w:r>
      <w:proofErr w:type="spellEnd"/>
      <w:r w:rsidRPr="00992C45">
        <w:rPr>
          <w:i/>
          <w:iCs/>
          <w:lang w:val="fr-FR"/>
        </w:rPr>
        <w:t xml:space="preserve"> </w:t>
      </w:r>
      <w:proofErr w:type="spellStart"/>
      <w:proofErr w:type="gramStart"/>
      <w:r w:rsidRPr="00992C45">
        <w:rPr>
          <w:i/>
          <w:iCs/>
          <w:lang w:val="fr-FR"/>
        </w:rPr>
        <w:t>Observed</w:t>
      </w:r>
      <w:proofErr w:type="spellEnd"/>
      <w:r w:rsidRPr="00992C45">
        <w:rPr>
          <w:i/>
          <w:iCs/>
          <w:lang w:val="fr-FR"/>
        </w:rPr>
        <w:t>:</w:t>
      </w:r>
      <w:proofErr w:type="gramEnd"/>
      <w:r w:rsidRPr="00992C45">
        <w:rPr>
          <w:i/>
          <w:iCs/>
          <w:lang w:val="fr-FR"/>
        </w:rPr>
        <w:t xml:space="preserve"> The World of John </w:t>
      </w:r>
      <w:proofErr w:type="spellStart"/>
      <w:r w:rsidRPr="00992C45">
        <w:rPr>
          <w:i/>
          <w:iCs/>
          <w:lang w:val="fr-FR"/>
        </w:rPr>
        <w:t>Stow</w:t>
      </w:r>
      <w:proofErr w:type="spellEnd"/>
      <w:r w:rsidRPr="00992C45">
        <w:rPr>
          <w:i/>
          <w:iCs/>
          <w:lang w:val="fr-FR"/>
        </w:rPr>
        <w:t xml:space="preserve">, </w:t>
      </w:r>
      <w:r w:rsidRPr="00992C45">
        <w:rPr>
          <w:lang w:val="fr-FR"/>
        </w:rPr>
        <w:t>(</w:t>
      </w:r>
      <w:proofErr w:type="spellStart"/>
      <w:r w:rsidRPr="00992C45">
        <w:rPr>
          <w:lang w:val="fr-FR"/>
        </w:rPr>
        <w:t>Stroud</w:t>
      </w:r>
      <w:proofErr w:type="spellEnd"/>
      <w:r w:rsidRPr="00992C45">
        <w:rPr>
          <w:lang w:val="fr-FR"/>
        </w:rPr>
        <w:t>, 1998)</w:t>
      </w:r>
      <w:r w:rsidRPr="00992C45">
        <w:t> </w:t>
      </w:r>
    </w:p>
    <w:p w14:paraId="18CF5FE4" w14:textId="77777777" w:rsidR="00992C45" w:rsidRPr="00992C45" w:rsidRDefault="00992C45" w:rsidP="0028398D">
      <w:pPr>
        <w:spacing w:after="240" w:line="240" w:lineRule="auto"/>
        <w:jc w:val="both"/>
      </w:pPr>
      <w:proofErr w:type="spellStart"/>
      <w:r w:rsidRPr="00992C45">
        <w:rPr>
          <w:lang w:val="en-US"/>
        </w:rPr>
        <w:t>Begiato</w:t>
      </w:r>
      <w:proofErr w:type="spellEnd"/>
      <w:r w:rsidRPr="00992C45">
        <w:rPr>
          <w:lang w:val="en-US"/>
        </w:rPr>
        <w:t xml:space="preserve">, Joanne, ‘“So now you are wed enough”:  clandestine unions in the north-west of England in the first half of the eighteenth century’, in Michael Lobban, Joanne </w:t>
      </w:r>
      <w:proofErr w:type="spellStart"/>
      <w:r w:rsidRPr="00992C45">
        <w:rPr>
          <w:lang w:val="en-US"/>
        </w:rPr>
        <w:t>Begiato</w:t>
      </w:r>
      <w:proofErr w:type="spellEnd"/>
      <w:r w:rsidRPr="00992C45">
        <w:rPr>
          <w:lang w:val="en-US"/>
        </w:rPr>
        <w:t xml:space="preserve"> and Adrian Green (eds), </w:t>
      </w:r>
      <w:r w:rsidRPr="00992C45">
        <w:rPr>
          <w:i/>
          <w:iCs/>
          <w:lang w:val="en-US"/>
        </w:rPr>
        <w:t xml:space="preserve">Law, Lawyers and Litigants in Early Modern England: Essays in Memory of Christopher W. Brooks, </w:t>
      </w:r>
      <w:r w:rsidRPr="00992C45">
        <w:rPr>
          <w:lang w:val="en-US"/>
        </w:rPr>
        <w:t>(Cambridge, 2019), pp.207-228</w:t>
      </w:r>
      <w:r w:rsidRPr="00992C45">
        <w:t> </w:t>
      </w:r>
    </w:p>
    <w:p w14:paraId="669E6B44" w14:textId="77777777" w:rsidR="00992C45" w:rsidRPr="00992C45" w:rsidRDefault="00992C45" w:rsidP="0028398D">
      <w:pPr>
        <w:spacing w:after="240" w:line="240" w:lineRule="auto"/>
        <w:jc w:val="both"/>
      </w:pPr>
      <w:proofErr w:type="spellStart"/>
      <w:r w:rsidRPr="00992C45">
        <w:rPr>
          <w:lang w:val="en-US"/>
        </w:rPr>
        <w:t>Begiato</w:t>
      </w:r>
      <w:proofErr w:type="spellEnd"/>
      <w:r w:rsidRPr="00992C45">
        <w:rPr>
          <w:lang w:val="en-US"/>
        </w:rPr>
        <w:t xml:space="preserve">, Joanne, </w:t>
      </w:r>
      <w:r w:rsidRPr="00992C45">
        <w:rPr>
          <w:i/>
          <w:iCs/>
          <w:lang w:val="en-US"/>
        </w:rPr>
        <w:t xml:space="preserve">Unquiet Lives: Marriage and Marriage Breakdown in England, 1660–1800, </w:t>
      </w:r>
      <w:r w:rsidRPr="00992C45">
        <w:rPr>
          <w:lang w:val="en-US"/>
        </w:rPr>
        <w:t>(Cambridge, 2009)</w:t>
      </w:r>
      <w:r w:rsidRPr="00992C45">
        <w:t> </w:t>
      </w:r>
    </w:p>
    <w:p w14:paraId="66860DCE" w14:textId="77777777" w:rsidR="00992C45" w:rsidRPr="00992C45" w:rsidRDefault="00992C45" w:rsidP="0028398D">
      <w:pPr>
        <w:spacing w:after="240" w:line="240" w:lineRule="auto"/>
        <w:jc w:val="both"/>
      </w:pPr>
      <w:r w:rsidRPr="00992C45">
        <w:rPr>
          <w:lang w:val="en-US"/>
        </w:rPr>
        <w:t xml:space="preserve">Bendall, Sarah Anne, ‘To write a </w:t>
      </w:r>
      <w:proofErr w:type="spellStart"/>
      <w:r w:rsidRPr="00992C45">
        <w:rPr>
          <w:lang w:val="en-US"/>
        </w:rPr>
        <w:t>distick</w:t>
      </w:r>
      <w:proofErr w:type="spellEnd"/>
      <w:r w:rsidRPr="00992C45">
        <w:rPr>
          <w:lang w:val="en-US"/>
        </w:rPr>
        <w:t xml:space="preserve"> upon </w:t>
      </w:r>
      <w:proofErr w:type="gramStart"/>
      <w:r w:rsidRPr="00992C45">
        <w:rPr>
          <w:lang w:val="en-US"/>
        </w:rPr>
        <w:t>it:</w:t>
      </w:r>
      <w:proofErr w:type="gramEnd"/>
      <w:r w:rsidRPr="00992C45">
        <w:rPr>
          <w:lang w:val="en-US"/>
        </w:rPr>
        <w:t xml:space="preserve"> busks and the language of courtship and sexual desire in sixteenth- and seventeenth-century England’, </w:t>
      </w:r>
      <w:r w:rsidRPr="00992C45">
        <w:rPr>
          <w:i/>
          <w:iCs/>
          <w:lang w:val="en-US"/>
        </w:rPr>
        <w:t xml:space="preserve">Gender and History, </w:t>
      </w:r>
      <w:r w:rsidRPr="00992C45">
        <w:rPr>
          <w:lang w:val="en-US"/>
        </w:rPr>
        <w:t>Vol. 26, No. 2, (2014), pp.199-222</w:t>
      </w:r>
      <w:r w:rsidRPr="00992C45">
        <w:t> </w:t>
      </w:r>
    </w:p>
    <w:p w14:paraId="3FCC8C93" w14:textId="77777777" w:rsidR="00992C45" w:rsidRPr="00992C45" w:rsidRDefault="00992C45" w:rsidP="0028398D">
      <w:pPr>
        <w:spacing w:after="240" w:line="240" w:lineRule="auto"/>
        <w:jc w:val="both"/>
      </w:pPr>
      <w:r w:rsidRPr="00992C45">
        <w:rPr>
          <w:lang w:val="en-US"/>
        </w:rPr>
        <w:t xml:space="preserve">Bennett, Judith M., </w:t>
      </w:r>
      <w:r w:rsidRPr="00992C45">
        <w:rPr>
          <w:i/>
          <w:iCs/>
          <w:lang w:val="en-US"/>
        </w:rPr>
        <w:t xml:space="preserve">Ale, Beer, and Brewsters in England: Women’s Work in a Changing World, 1300-1600, </w:t>
      </w:r>
      <w:r w:rsidRPr="00992C45">
        <w:rPr>
          <w:lang w:val="en-US"/>
        </w:rPr>
        <w:t>(Oxford, 1996)</w:t>
      </w:r>
      <w:r w:rsidRPr="00992C45">
        <w:t> </w:t>
      </w:r>
    </w:p>
    <w:p w14:paraId="2539BD18" w14:textId="77777777" w:rsidR="00992C45" w:rsidRPr="00992C45" w:rsidRDefault="00992C45" w:rsidP="0028398D">
      <w:pPr>
        <w:spacing w:after="240" w:line="240" w:lineRule="auto"/>
        <w:jc w:val="both"/>
      </w:pPr>
      <w:r w:rsidRPr="00992C45">
        <w:rPr>
          <w:lang w:val="en-US"/>
        </w:rPr>
        <w:t>Ben-</w:t>
      </w:r>
      <w:proofErr w:type="gramStart"/>
      <w:r w:rsidRPr="00992C45">
        <w:rPr>
          <w:lang w:val="en-US"/>
        </w:rPr>
        <w:t>Or,</w:t>
      </w:r>
      <w:proofErr w:type="gramEnd"/>
      <w:r w:rsidRPr="00992C45">
        <w:rPr>
          <w:lang w:val="en-US"/>
        </w:rPr>
        <w:t xml:space="preserve"> Idit, ‘Women’s work on small change: privately issued currency by women in mid-seventeenth century London’, </w:t>
      </w:r>
      <w:r w:rsidRPr="00992C45">
        <w:rPr>
          <w:i/>
          <w:iCs/>
          <w:lang w:val="en-US"/>
        </w:rPr>
        <w:t xml:space="preserve">Humanities and Social Sciences Communication, </w:t>
      </w:r>
      <w:r w:rsidRPr="00992C45">
        <w:rPr>
          <w:lang w:val="en-US"/>
        </w:rPr>
        <w:t>Vol. 9, No.107, (2022), pp.1-10</w:t>
      </w:r>
      <w:r w:rsidRPr="00992C45">
        <w:t> </w:t>
      </w:r>
    </w:p>
    <w:p w14:paraId="33180574" w14:textId="77777777" w:rsidR="00992C45" w:rsidRPr="00992C45" w:rsidRDefault="00992C45" w:rsidP="0028398D">
      <w:pPr>
        <w:spacing w:after="240" w:line="240" w:lineRule="auto"/>
        <w:jc w:val="both"/>
      </w:pPr>
      <w:r w:rsidRPr="00992C45">
        <w:rPr>
          <w:lang w:val="en-US"/>
        </w:rPr>
        <w:t xml:space="preserve">Berry, George, </w:t>
      </w:r>
      <w:r w:rsidRPr="00992C45">
        <w:rPr>
          <w:i/>
          <w:iCs/>
          <w:lang w:val="en-US"/>
        </w:rPr>
        <w:t xml:space="preserve">Discovering Trade Tokens, </w:t>
      </w:r>
      <w:r w:rsidRPr="00992C45">
        <w:rPr>
          <w:lang w:val="en-US"/>
        </w:rPr>
        <w:t>(Princes Risborough, 1969)</w:t>
      </w:r>
      <w:r w:rsidRPr="00992C45">
        <w:t> </w:t>
      </w:r>
    </w:p>
    <w:p w14:paraId="3B9614C6" w14:textId="77777777" w:rsidR="00992C45" w:rsidRPr="00992C45" w:rsidRDefault="00992C45" w:rsidP="0028398D">
      <w:pPr>
        <w:spacing w:after="240" w:line="240" w:lineRule="auto"/>
        <w:jc w:val="both"/>
      </w:pPr>
      <w:r w:rsidRPr="00992C45">
        <w:rPr>
          <w:lang w:val="fr-FR"/>
        </w:rPr>
        <w:t xml:space="preserve">Bevan </w:t>
      </w:r>
      <w:proofErr w:type="spellStart"/>
      <w:r w:rsidRPr="00992C45">
        <w:rPr>
          <w:lang w:val="fr-FR"/>
        </w:rPr>
        <w:t>Zletar</w:t>
      </w:r>
      <w:proofErr w:type="spellEnd"/>
      <w:r w:rsidRPr="00992C45">
        <w:rPr>
          <w:lang w:val="fr-FR"/>
        </w:rPr>
        <w:t xml:space="preserve">, </w:t>
      </w:r>
      <w:proofErr w:type="spellStart"/>
      <w:r w:rsidRPr="00992C45">
        <w:rPr>
          <w:lang w:val="fr-FR"/>
        </w:rPr>
        <w:t>Antoinina</w:t>
      </w:r>
      <w:proofErr w:type="spellEnd"/>
      <w:r w:rsidRPr="00992C45">
        <w:rPr>
          <w:lang w:val="fr-FR"/>
        </w:rPr>
        <w:t xml:space="preserve">, ‘Anne Clifford and </w:t>
      </w:r>
      <w:proofErr w:type="spellStart"/>
      <w:r w:rsidRPr="00992C45">
        <w:rPr>
          <w:lang w:val="fr-FR"/>
        </w:rPr>
        <w:t>her</w:t>
      </w:r>
      <w:proofErr w:type="spellEnd"/>
      <w:r w:rsidRPr="00992C45">
        <w:rPr>
          <w:lang w:val="fr-FR"/>
        </w:rPr>
        <w:t xml:space="preserve"> Bible’, </w:t>
      </w:r>
      <w:proofErr w:type="spellStart"/>
      <w:r w:rsidRPr="00992C45">
        <w:rPr>
          <w:i/>
          <w:iCs/>
          <w:lang w:val="fr-FR"/>
        </w:rPr>
        <w:t>Studies</w:t>
      </w:r>
      <w:proofErr w:type="spellEnd"/>
      <w:r w:rsidRPr="00992C45">
        <w:rPr>
          <w:i/>
          <w:iCs/>
          <w:lang w:val="fr-FR"/>
        </w:rPr>
        <w:t xml:space="preserve"> in English </w:t>
      </w:r>
      <w:proofErr w:type="spellStart"/>
      <w:r w:rsidRPr="00992C45">
        <w:rPr>
          <w:i/>
          <w:iCs/>
          <w:lang w:val="fr-FR"/>
        </w:rPr>
        <w:t>Literature</w:t>
      </w:r>
      <w:proofErr w:type="spellEnd"/>
      <w:r w:rsidRPr="00992C45">
        <w:rPr>
          <w:i/>
          <w:iCs/>
          <w:lang w:val="fr-FR"/>
        </w:rPr>
        <w:t xml:space="preserve"> 1500-1900, </w:t>
      </w:r>
      <w:r w:rsidRPr="00992C45">
        <w:rPr>
          <w:lang w:val="fr-FR"/>
        </w:rPr>
        <w:t>Vol. 57, No. 1, (2017), pp.157-180</w:t>
      </w:r>
      <w:r w:rsidRPr="00992C45">
        <w:t> </w:t>
      </w:r>
    </w:p>
    <w:p w14:paraId="07A7BD69" w14:textId="77777777" w:rsidR="00992C45" w:rsidRPr="00992C45" w:rsidRDefault="00992C45" w:rsidP="0028398D">
      <w:pPr>
        <w:spacing w:after="240" w:line="240" w:lineRule="auto"/>
        <w:jc w:val="both"/>
      </w:pPr>
      <w:proofErr w:type="spellStart"/>
      <w:r w:rsidRPr="00992C45">
        <w:rPr>
          <w:lang w:val="fr-FR"/>
        </w:rPr>
        <w:t>Biggs</w:t>
      </w:r>
      <w:proofErr w:type="spellEnd"/>
      <w:r w:rsidRPr="00992C45">
        <w:rPr>
          <w:lang w:val="fr-FR"/>
        </w:rPr>
        <w:t>, Carmel, ‘</w:t>
      </w:r>
      <w:proofErr w:type="spellStart"/>
      <w:r w:rsidRPr="00992C45">
        <w:rPr>
          <w:lang w:val="fr-FR"/>
        </w:rPr>
        <w:t>Early</w:t>
      </w:r>
      <w:proofErr w:type="spellEnd"/>
      <w:r w:rsidRPr="00992C45">
        <w:rPr>
          <w:lang w:val="fr-FR"/>
        </w:rPr>
        <w:t xml:space="preserve"> modern </w:t>
      </w:r>
      <w:proofErr w:type="spellStart"/>
      <w:proofErr w:type="gramStart"/>
      <w:r w:rsidRPr="00992C45">
        <w:rPr>
          <w:lang w:val="fr-FR"/>
        </w:rPr>
        <w:t>Blakesley</w:t>
      </w:r>
      <w:proofErr w:type="spellEnd"/>
      <w:r w:rsidRPr="00992C45">
        <w:rPr>
          <w:lang w:val="fr-FR"/>
        </w:rPr>
        <w:t>:</w:t>
      </w:r>
      <w:proofErr w:type="gramEnd"/>
      <w:r w:rsidRPr="00992C45">
        <w:rPr>
          <w:lang w:val="fr-FR"/>
        </w:rPr>
        <w:t xml:space="preserve"> </w:t>
      </w:r>
      <w:proofErr w:type="spellStart"/>
      <w:r w:rsidRPr="00992C45">
        <w:rPr>
          <w:lang w:val="fr-FR"/>
        </w:rPr>
        <w:t>a</w:t>
      </w:r>
      <w:proofErr w:type="spellEnd"/>
      <w:r w:rsidRPr="00992C45">
        <w:rPr>
          <w:lang w:val="fr-FR"/>
        </w:rPr>
        <w:t xml:space="preserve"> </w:t>
      </w:r>
      <w:proofErr w:type="spellStart"/>
      <w:r w:rsidRPr="00992C45">
        <w:rPr>
          <w:lang w:val="fr-FR"/>
        </w:rPr>
        <w:t>study</w:t>
      </w:r>
      <w:proofErr w:type="spellEnd"/>
      <w:r w:rsidRPr="00992C45">
        <w:rPr>
          <w:lang w:val="fr-FR"/>
        </w:rPr>
        <w:t xml:space="preserve"> </w:t>
      </w:r>
      <w:proofErr w:type="spellStart"/>
      <w:r w:rsidRPr="00992C45">
        <w:rPr>
          <w:lang w:val="fr-FR"/>
        </w:rPr>
        <w:t>based</w:t>
      </w:r>
      <w:proofErr w:type="spellEnd"/>
      <w:r w:rsidRPr="00992C45">
        <w:rPr>
          <w:lang w:val="fr-FR"/>
        </w:rPr>
        <w:t xml:space="preserve"> on </w:t>
      </w:r>
      <w:proofErr w:type="spellStart"/>
      <w:r w:rsidRPr="00992C45">
        <w:rPr>
          <w:lang w:val="fr-FR"/>
        </w:rPr>
        <w:t>wills</w:t>
      </w:r>
      <w:proofErr w:type="spellEnd"/>
      <w:r w:rsidRPr="00992C45">
        <w:rPr>
          <w:lang w:val="fr-FR"/>
        </w:rPr>
        <w:t xml:space="preserve"> 1543-1700', </w:t>
      </w:r>
      <w:r w:rsidRPr="00992C45">
        <w:rPr>
          <w:i/>
          <w:iCs/>
          <w:lang w:val="fr-FR"/>
        </w:rPr>
        <w:t xml:space="preserve">Northamptonshire Past and </w:t>
      </w:r>
      <w:proofErr w:type="spellStart"/>
      <w:r w:rsidRPr="00992C45">
        <w:rPr>
          <w:i/>
          <w:iCs/>
          <w:lang w:val="fr-FR"/>
        </w:rPr>
        <w:t>Present</w:t>
      </w:r>
      <w:proofErr w:type="spellEnd"/>
      <w:r w:rsidRPr="00992C45">
        <w:rPr>
          <w:i/>
          <w:iCs/>
          <w:lang w:val="fr-FR"/>
        </w:rPr>
        <w:t xml:space="preserve">, </w:t>
      </w:r>
      <w:r w:rsidRPr="00992C45">
        <w:rPr>
          <w:lang w:val="fr-FR"/>
        </w:rPr>
        <w:t>Vol. 58, (2005),</w:t>
      </w:r>
      <w:r w:rsidRPr="00992C45">
        <w:rPr>
          <w:i/>
          <w:iCs/>
          <w:lang w:val="fr-FR"/>
        </w:rPr>
        <w:t xml:space="preserve"> </w:t>
      </w:r>
      <w:r w:rsidRPr="00992C45">
        <w:rPr>
          <w:lang w:val="fr-FR"/>
        </w:rPr>
        <w:t>pp.37-53</w:t>
      </w:r>
      <w:r w:rsidRPr="00992C45">
        <w:t> </w:t>
      </w:r>
    </w:p>
    <w:p w14:paraId="491A1194" w14:textId="77777777" w:rsidR="00992C45" w:rsidRPr="00992C45" w:rsidRDefault="00992C45" w:rsidP="0028398D">
      <w:pPr>
        <w:spacing w:after="240" w:line="240" w:lineRule="auto"/>
        <w:jc w:val="both"/>
      </w:pPr>
      <w:r w:rsidRPr="00992C45">
        <w:rPr>
          <w:lang w:val="en-US"/>
        </w:rPr>
        <w:lastRenderedPageBreak/>
        <w:t xml:space="preserve">Blagrave, Joseph, </w:t>
      </w:r>
      <w:r w:rsidRPr="00992C45">
        <w:rPr>
          <w:i/>
          <w:iCs/>
          <w:lang w:val="en-US"/>
        </w:rPr>
        <w:t xml:space="preserve">Blagraves astrological practice of physick discovering the true way to cure all kinds of diseases and infirmities being performed by such herbs and plants which grow within our own nation, </w:t>
      </w:r>
      <w:r w:rsidRPr="00992C45">
        <w:rPr>
          <w:lang w:val="en-US"/>
        </w:rPr>
        <w:t>(London, 1671)</w:t>
      </w:r>
      <w:r w:rsidRPr="00992C45">
        <w:t> </w:t>
      </w:r>
    </w:p>
    <w:p w14:paraId="08212998" w14:textId="77777777" w:rsidR="00992C45" w:rsidRPr="00992C45" w:rsidRDefault="00992C45" w:rsidP="0028398D">
      <w:pPr>
        <w:spacing w:after="240" w:line="240" w:lineRule="auto"/>
        <w:jc w:val="both"/>
      </w:pPr>
      <w:proofErr w:type="spellStart"/>
      <w:r w:rsidRPr="00992C45">
        <w:rPr>
          <w:lang w:val="fr-FR"/>
        </w:rPr>
        <w:t>Blundel</w:t>
      </w:r>
      <w:proofErr w:type="spellEnd"/>
      <w:r w:rsidRPr="00992C45">
        <w:rPr>
          <w:lang w:val="fr-FR"/>
        </w:rPr>
        <w:t xml:space="preserve">, Richard and Angela </w:t>
      </w:r>
      <w:proofErr w:type="spellStart"/>
      <w:r w:rsidRPr="00992C45">
        <w:rPr>
          <w:lang w:val="fr-FR"/>
        </w:rPr>
        <w:t>Tregear</w:t>
      </w:r>
      <w:proofErr w:type="spellEnd"/>
      <w:r w:rsidRPr="00992C45">
        <w:rPr>
          <w:lang w:val="fr-FR"/>
        </w:rPr>
        <w:t>, ‘</w:t>
      </w:r>
      <w:proofErr w:type="spellStart"/>
      <w:r w:rsidRPr="00992C45">
        <w:rPr>
          <w:lang w:val="fr-FR"/>
        </w:rPr>
        <w:t>From</w:t>
      </w:r>
      <w:proofErr w:type="spellEnd"/>
      <w:r w:rsidRPr="00992C45">
        <w:rPr>
          <w:lang w:val="fr-FR"/>
        </w:rPr>
        <w:t xml:space="preserve"> artisans to “</w:t>
      </w:r>
      <w:proofErr w:type="spellStart"/>
      <w:r w:rsidRPr="00992C45">
        <w:rPr>
          <w:lang w:val="fr-FR"/>
        </w:rPr>
        <w:t>factories</w:t>
      </w:r>
      <w:proofErr w:type="spellEnd"/>
      <w:proofErr w:type="gramStart"/>
      <w:r w:rsidRPr="00992C45">
        <w:rPr>
          <w:lang w:val="fr-FR"/>
        </w:rPr>
        <w:t>”:</w:t>
      </w:r>
      <w:proofErr w:type="gramEnd"/>
      <w:r w:rsidRPr="00992C45">
        <w:rPr>
          <w:lang w:val="fr-FR"/>
        </w:rPr>
        <w:t xml:space="preserve"> the </w:t>
      </w:r>
      <w:proofErr w:type="spellStart"/>
      <w:r w:rsidRPr="00992C45">
        <w:rPr>
          <w:lang w:val="fr-FR"/>
        </w:rPr>
        <w:t>interpenetration</w:t>
      </w:r>
      <w:proofErr w:type="spellEnd"/>
      <w:r w:rsidRPr="00992C45">
        <w:rPr>
          <w:lang w:val="fr-FR"/>
        </w:rPr>
        <w:t xml:space="preserve"> of </w:t>
      </w:r>
      <w:proofErr w:type="spellStart"/>
      <w:r w:rsidRPr="00992C45">
        <w:rPr>
          <w:lang w:val="fr-FR"/>
        </w:rPr>
        <w:t>craft</w:t>
      </w:r>
      <w:proofErr w:type="spellEnd"/>
      <w:r w:rsidRPr="00992C45">
        <w:rPr>
          <w:lang w:val="fr-FR"/>
        </w:rPr>
        <w:t xml:space="preserve"> and </w:t>
      </w:r>
      <w:proofErr w:type="spellStart"/>
      <w:r w:rsidRPr="00992C45">
        <w:rPr>
          <w:lang w:val="fr-FR"/>
        </w:rPr>
        <w:t>industry</w:t>
      </w:r>
      <w:proofErr w:type="spellEnd"/>
      <w:r w:rsidRPr="00992C45">
        <w:rPr>
          <w:lang w:val="fr-FR"/>
        </w:rPr>
        <w:t xml:space="preserve"> in English </w:t>
      </w:r>
      <w:proofErr w:type="spellStart"/>
      <w:r w:rsidRPr="00992C45">
        <w:rPr>
          <w:lang w:val="fr-FR"/>
        </w:rPr>
        <w:t>cheese-making</w:t>
      </w:r>
      <w:proofErr w:type="spellEnd"/>
      <w:r w:rsidRPr="00992C45">
        <w:rPr>
          <w:lang w:val="fr-FR"/>
        </w:rPr>
        <w:t xml:space="preserve">, 1650-1950’, </w:t>
      </w:r>
      <w:r w:rsidRPr="00992C45">
        <w:rPr>
          <w:i/>
          <w:iCs/>
          <w:lang w:val="fr-FR"/>
        </w:rPr>
        <w:t xml:space="preserve">Enterprise &amp; Society, </w:t>
      </w:r>
      <w:r w:rsidRPr="00992C45">
        <w:rPr>
          <w:lang w:val="fr-FR"/>
        </w:rPr>
        <w:t>Vol. 7, No. 4, (2006), pp.705-739</w:t>
      </w:r>
      <w:r w:rsidRPr="00992C45">
        <w:t> </w:t>
      </w:r>
    </w:p>
    <w:p w14:paraId="7B4562FD" w14:textId="77777777" w:rsidR="00992C45" w:rsidRPr="00992C45" w:rsidRDefault="00992C45" w:rsidP="0028398D">
      <w:pPr>
        <w:spacing w:after="240" w:line="240" w:lineRule="auto"/>
        <w:jc w:val="both"/>
      </w:pPr>
      <w:proofErr w:type="spellStart"/>
      <w:r w:rsidRPr="00992C45">
        <w:rPr>
          <w:lang w:val="fr-FR"/>
        </w:rPr>
        <w:t>Bonfield</w:t>
      </w:r>
      <w:proofErr w:type="spellEnd"/>
      <w:r w:rsidRPr="00992C45">
        <w:rPr>
          <w:lang w:val="fr-FR"/>
        </w:rPr>
        <w:t>, Lloyd, ‘</w:t>
      </w:r>
      <w:proofErr w:type="spellStart"/>
      <w:r w:rsidRPr="00992C45">
        <w:rPr>
          <w:lang w:val="fr-FR"/>
        </w:rPr>
        <w:t>Contrasting</w:t>
      </w:r>
      <w:proofErr w:type="spellEnd"/>
      <w:r w:rsidRPr="00992C45">
        <w:rPr>
          <w:lang w:val="fr-FR"/>
        </w:rPr>
        <w:t xml:space="preserve"> </w:t>
      </w:r>
      <w:proofErr w:type="gramStart"/>
      <w:r w:rsidRPr="00992C45">
        <w:rPr>
          <w:lang w:val="fr-FR"/>
        </w:rPr>
        <w:t>sources:</w:t>
      </w:r>
      <w:proofErr w:type="gramEnd"/>
      <w:r w:rsidRPr="00992C45">
        <w:rPr>
          <w:lang w:val="fr-FR"/>
        </w:rPr>
        <w:t xml:space="preserve"> court </w:t>
      </w:r>
      <w:proofErr w:type="spellStart"/>
      <w:r w:rsidRPr="00992C45">
        <w:rPr>
          <w:lang w:val="fr-FR"/>
        </w:rPr>
        <w:t>rolls</w:t>
      </w:r>
      <w:proofErr w:type="spellEnd"/>
      <w:r w:rsidRPr="00992C45">
        <w:rPr>
          <w:lang w:val="fr-FR"/>
        </w:rPr>
        <w:t xml:space="preserve"> and </w:t>
      </w:r>
      <w:proofErr w:type="spellStart"/>
      <w:r w:rsidRPr="00992C45">
        <w:rPr>
          <w:lang w:val="fr-FR"/>
        </w:rPr>
        <w:t>settlements</w:t>
      </w:r>
      <w:proofErr w:type="spellEnd"/>
      <w:r w:rsidRPr="00992C45">
        <w:rPr>
          <w:lang w:val="fr-FR"/>
        </w:rPr>
        <w:t xml:space="preserve"> as </w:t>
      </w:r>
      <w:proofErr w:type="spellStart"/>
      <w:r w:rsidRPr="00992C45">
        <w:rPr>
          <w:lang w:val="fr-FR"/>
        </w:rPr>
        <w:t>evidence</w:t>
      </w:r>
      <w:proofErr w:type="spellEnd"/>
      <w:r w:rsidRPr="00992C45">
        <w:rPr>
          <w:lang w:val="fr-FR"/>
        </w:rPr>
        <w:t xml:space="preserve"> of </w:t>
      </w:r>
      <w:proofErr w:type="spellStart"/>
      <w:r w:rsidRPr="00992C45">
        <w:rPr>
          <w:lang w:val="fr-FR"/>
        </w:rPr>
        <w:t>hereditary</w:t>
      </w:r>
      <w:proofErr w:type="spellEnd"/>
      <w:r w:rsidRPr="00992C45">
        <w:rPr>
          <w:lang w:val="fr-FR"/>
        </w:rPr>
        <w:t xml:space="preserve"> transmission of land </w:t>
      </w:r>
      <w:proofErr w:type="spellStart"/>
      <w:r w:rsidRPr="00992C45">
        <w:rPr>
          <w:lang w:val="fr-FR"/>
        </w:rPr>
        <w:t>amongst</w:t>
      </w:r>
      <w:proofErr w:type="spellEnd"/>
      <w:r w:rsidRPr="00992C45">
        <w:rPr>
          <w:lang w:val="fr-FR"/>
        </w:rPr>
        <w:t xml:space="preserve"> </w:t>
      </w:r>
      <w:proofErr w:type="spellStart"/>
      <w:r w:rsidRPr="00992C45">
        <w:rPr>
          <w:lang w:val="fr-FR"/>
        </w:rPr>
        <w:t>small</w:t>
      </w:r>
      <w:proofErr w:type="spellEnd"/>
      <w:r w:rsidRPr="00992C45">
        <w:rPr>
          <w:lang w:val="fr-FR"/>
        </w:rPr>
        <w:t xml:space="preserve"> </w:t>
      </w:r>
      <w:proofErr w:type="spellStart"/>
      <w:r w:rsidRPr="00992C45">
        <w:rPr>
          <w:lang w:val="fr-FR"/>
        </w:rPr>
        <w:t>landowners</w:t>
      </w:r>
      <w:proofErr w:type="spellEnd"/>
      <w:r w:rsidRPr="00992C45">
        <w:rPr>
          <w:lang w:val="fr-FR"/>
        </w:rPr>
        <w:t xml:space="preserve"> in </w:t>
      </w:r>
      <w:proofErr w:type="spellStart"/>
      <w:r w:rsidRPr="00992C45">
        <w:rPr>
          <w:lang w:val="fr-FR"/>
        </w:rPr>
        <w:t>early</w:t>
      </w:r>
      <w:proofErr w:type="spellEnd"/>
      <w:r w:rsidRPr="00992C45">
        <w:rPr>
          <w:lang w:val="fr-FR"/>
        </w:rPr>
        <w:t xml:space="preserve"> modern </w:t>
      </w:r>
      <w:proofErr w:type="spellStart"/>
      <w:r w:rsidRPr="00992C45">
        <w:rPr>
          <w:lang w:val="fr-FR"/>
        </w:rPr>
        <w:t>England</w:t>
      </w:r>
      <w:proofErr w:type="spellEnd"/>
      <w:r w:rsidRPr="00992C45">
        <w:rPr>
          <w:lang w:val="fr-FR"/>
        </w:rPr>
        <w:t xml:space="preserve">’, </w:t>
      </w:r>
      <w:proofErr w:type="spellStart"/>
      <w:r w:rsidRPr="00992C45">
        <w:rPr>
          <w:i/>
          <w:iCs/>
          <w:lang w:val="fr-FR"/>
        </w:rPr>
        <w:t>University</w:t>
      </w:r>
      <w:proofErr w:type="spellEnd"/>
      <w:r w:rsidRPr="00992C45">
        <w:rPr>
          <w:i/>
          <w:iCs/>
          <w:lang w:val="fr-FR"/>
        </w:rPr>
        <w:t xml:space="preserve"> of Illinois Law </w:t>
      </w:r>
      <w:proofErr w:type="spellStart"/>
      <w:r w:rsidRPr="00992C45">
        <w:rPr>
          <w:i/>
          <w:iCs/>
          <w:lang w:val="fr-FR"/>
        </w:rPr>
        <w:t>Review</w:t>
      </w:r>
      <w:proofErr w:type="spellEnd"/>
      <w:r w:rsidRPr="00992C45">
        <w:rPr>
          <w:i/>
          <w:iCs/>
          <w:lang w:val="fr-FR"/>
        </w:rPr>
        <w:t xml:space="preserve">, </w:t>
      </w:r>
      <w:r w:rsidRPr="00992C45">
        <w:rPr>
          <w:lang w:val="fr-FR"/>
        </w:rPr>
        <w:t xml:space="preserve">Vol. 1984, No. 3, (1984), </w:t>
      </w:r>
      <w:r w:rsidRPr="00992C45">
        <w:rPr>
          <w:i/>
          <w:iCs/>
          <w:lang w:val="fr-FR"/>
        </w:rPr>
        <w:t xml:space="preserve">A Symposium in Legal </w:t>
      </w:r>
      <w:proofErr w:type="spellStart"/>
      <w:proofErr w:type="gramStart"/>
      <w:r w:rsidRPr="00992C45">
        <w:rPr>
          <w:i/>
          <w:iCs/>
          <w:lang w:val="fr-FR"/>
        </w:rPr>
        <w:t>History</w:t>
      </w:r>
      <w:proofErr w:type="spellEnd"/>
      <w:r w:rsidRPr="00992C45">
        <w:rPr>
          <w:i/>
          <w:iCs/>
          <w:lang w:val="fr-FR"/>
        </w:rPr>
        <w:t>:</w:t>
      </w:r>
      <w:proofErr w:type="gramEnd"/>
      <w:r w:rsidRPr="00992C45">
        <w:rPr>
          <w:i/>
          <w:iCs/>
          <w:lang w:val="fr-FR"/>
        </w:rPr>
        <w:t xml:space="preserve"> English Common </w:t>
      </w:r>
      <w:proofErr w:type="gramStart"/>
      <w:r w:rsidRPr="00992C45">
        <w:rPr>
          <w:i/>
          <w:iCs/>
          <w:lang w:val="fr-FR"/>
        </w:rPr>
        <w:t>Law:</w:t>
      </w:r>
      <w:proofErr w:type="gramEnd"/>
      <w:r w:rsidRPr="00992C45">
        <w:rPr>
          <w:i/>
          <w:iCs/>
          <w:lang w:val="fr-FR"/>
        </w:rPr>
        <w:t xml:space="preserve"> </w:t>
      </w:r>
      <w:proofErr w:type="spellStart"/>
      <w:r w:rsidRPr="00992C45">
        <w:rPr>
          <w:i/>
          <w:iCs/>
          <w:lang w:val="fr-FR"/>
        </w:rPr>
        <w:t>Studies</w:t>
      </w:r>
      <w:proofErr w:type="spellEnd"/>
      <w:r w:rsidRPr="00992C45">
        <w:rPr>
          <w:i/>
          <w:iCs/>
          <w:lang w:val="fr-FR"/>
        </w:rPr>
        <w:t xml:space="preserve"> in the Sources, </w:t>
      </w:r>
      <w:r w:rsidRPr="00992C45">
        <w:rPr>
          <w:lang w:val="fr-FR"/>
        </w:rPr>
        <w:t>pp.639-658</w:t>
      </w:r>
      <w:r w:rsidRPr="00992C45">
        <w:t> </w:t>
      </w:r>
    </w:p>
    <w:p w14:paraId="2FF37BA6" w14:textId="77777777" w:rsidR="00992C45" w:rsidRPr="00992C45" w:rsidRDefault="00992C45" w:rsidP="0028398D">
      <w:pPr>
        <w:spacing w:after="240" w:line="240" w:lineRule="auto"/>
        <w:jc w:val="both"/>
      </w:pPr>
      <w:proofErr w:type="spellStart"/>
      <w:r w:rsidRPr="00992C45">
        <w:rPr>
          <w:lang w:val="en-US"/>
        </w:rPr>
        <w:t>Borsay</w:t>
      </w:r>
      <w:proofErr w:type="spellEnd"/>
      <w:r w:rsidRPr="00992C45">
        <w:rPr>
          <w:lang w:val="en-US"/>
        </w:rPr>
        <w:t xml:space="preserve">, Peter and Lindsay J. Proudfoot, </w:t>
      </w:r>
      <w:r w:rsidRPr="00992C45">
        <w:rPr>
          <w:i/>
          <w:iCs/>
          <w:lang w:val="en-US"/>
        </w:rPr>
        <w:t xml:space="preserve">Provincial Towns in Early Modern England and Ireland: Change, Convergence and Divergence, </w:t>
      </w:r>
      <w:r w:rsidRPr="00992C45">
        <w:rPr>
          <w:lang w:val="en-US"/>
        </w:rPr>
        <w:t>(Oxford, 2012)</w:t>
      </w:r>
      <w:r w:rsidRPr="00992C45">
        <w:t> </w:t>
      </w:r>
    </w:p>
    <w:p w14:paraId="2ADB4CF9" w14:textId="77777777" w:rsidR="00992C45" w:rsidRPr="00992C45" w:rsidRDefault="00992C45" w:rsidP="0028398D">
      <w:pPr>
        <w:spacing w:after="240" w:line="240" w:lineRule="auto"/>
        <w:jc w:val="both"/>
      </w:pPr>
      <w:r w:rsidRPr="00992C45">
        <w:rPr>
          <w:lang w:val="en-US"/>
        </w:rPr>
        <w:t>Bottero, Wendy, ‘</w:t>
      </w:r>
      <w:proofErr w:type="spellStart"/>
      <w:r w:rsidRPr="00992C45">
        <w:rPr>
          <w:lang w:val="en-US"/>
        </w:rPr>
        <w:t>Practising</w:t>
      </w:r>
      <w:proofErr w:type="spellEnd"/>
      <w:r w:rsidRPr="00992C45">
        <w:rPr>
          <w:lang w:val="en-US"/>
        </w:rPr>
        <w:t xml:space="preserve"> family history: ‘identity’ as a category of social practice’, </w:t>
      </w:r>
      <w:r w:rsidRPr="00992C45">
        <w:rPr>
          <w:i/>
          <w:iCs/>
          <w:lang w:val="en-US"/>
        </w:rPr>
        <w:t xml:space="preserve">The British Journal of Sociology, </w:t>
      </w:r>
      <w:r w:rsidRPr="00992C45">
        <w:rPr>
          <w:lang w:val="en-US"/>
        </w:rPr>
        <w:t>Vol. 66, No. 3, (2015), pp.534-556</w:t>
      </w:r>
      <w:r w:rsidRPr="00992C45">
        <w:t> </w:t>
      </w:r>
    </w:p>
    <w:p w14:paraId="3A24B2BE" w14:textId="77777777" w:rsidR="00992C45" w:rsidRPr="00992C45" w:rsidRDefault="00992C45" w:rsidP="0028398D">
      <w:pPr>
        <w:spacing w:after="240" w:line="240" w:lineRule="auto"/>
        <w:jc w:val="both"/>
      </w:pPr>
      <w:r w:rsidRPr="00992C45">
        <w:rPr>
          <w:lang w:val="en-US"/>
        </w:rPr>
        <w:t xml:space="preserve">Bourdieu, Pierre, ‘On the family as a realized category’, </w:t>
      </w:r>
      <w:r w:rsidRPr="00992C45">
        <w:rPr>
          <w:i/>
          <w:iCs/>
          <w:lang w:val="en-US"/>
        </w:rPr>
        <w:t xml:space="preserve">Theory, Culture &amp; Society, </w:t>
      </w:r>
      <w:r w:rsidRPr="00992C45">
        <w:rPr>
          <w:lang w:val="en-US"/>
        </w:rPr>
        <w:t>Vol. 13, No. 3, (1996), pp.19-26</w:t>
      </w:r>
      <w:r w:rsidRPr="00992C45">
        <w:t> </w:t>
      </w:r>
    </w:p>
    <w:p w14:paraId="2CE9E509" w14:textId="77777777" w:rsidR="00992C45" w:rsidRPr="00992C45" w:rsidRDefault="00992C45" w:rsidP="0028398D">
      <w:pPr>
        <w:spacing w:after="240" w:line="240" w:lineRule="auto"/>
        <w:jc w:val="both"/>
      </w:pPr>
      <w:r w:rsidRPr="00992C45">
        <w:rPr>
          <w:lang w:val="en-US"/>
        </w:rPr>
        <w:t xml:space="preserve">Bourdieu, Pierre, </w:t>
      </w:r>
      <w:r w:rsidRPr="00992C45">
        <w:rPr>
          <w:i/>
          <w:iCs/>
          <w:lang w:val="en-US"/>
        </w:rPr>
        <w:t xml:space="preserve">Language and Symbolic Power, </w:t>
      </w:r>
      <w:r w:rsidRPr="00992C45">
        <w:rPr>
          <w:lang w:val="en-US"/>
        </w:rPr>
        <w:t>(Cambridge, 1992)</w:t>
      </w:r>
      <w:r w:rsidRPr="00992C45">
        <w:t> </w:t>
      </w:r>
    </w:p>
    <w:p w14:paraId="24046516" w14:textId="77777777" w:rsidR="00992C45" w:rsidRPr="00992C45" w:rsidRDefault="00992C45" w:rsidP="0028398D">
      <w:pPr>
        <w:spacing w:after="240" w:line="240" w:lineRule="auto"/>
        <w:jc w:val="both"/>
      </w:pPr>
      <w:r w:rsidRPr="00992C45">
        <w:rPr>
          <w:lang w:val="en-US"/>
        </w:rPr>
        <w:t>Bourdieu, Pierre,</w:t>
      </w:r>
      <w:r w:rsidRPr="00992C45">
        <w:rPr>
          <w:i/>
          <w:iCs/>
          <w:lang w:val="en-US"/>
        </w:rPr>
        <w:t xml:space="preserve"> Outline of a Theory of Practice, </w:t>
      </w:r>
      <w:r w:rsidRPr="00992C45">
        <w:rPr>
          <w:lang w:val="en-US"/>
        </w:rPr>
        <w:t>(Cambridge, 1977)</w:t>
      </w:r>
      <w:r w:rsidRPr="00992C45">
        <w:t> </w:t>
      </w:r>
    </w:p>
    <w:p w14:paraId="31A73370" w14:textId="77777777" w:rsidR="00992C45" w:rsidRPr="00992C45" w:rsidRDefault="00992C45" w:rsidP="0028398D">
      <w:pPr>
        <w:spacing w:after="240" w:line="240" w:lineRule="auto"/>
        <w:jc w:val="both"/>
      </w:pPr>
      <w:r w:rsidRPr="00992C45">
        <w:rPr>
          <w:lang w:val="en-US"/>
        </w:rPr>
        <w:t xml:space="preserve">Bourdieu, Pierre, </w:t>
      </w:r>
      <w:r w:rsidRPr="00992C45">
        <w:rPr>
          <w:i/>
          <w:iCs/>
          <w:lang w:val="en-US"/>
        </w:rPr>
        <w:t xml:space="preserve">The Logic of Practice, </w:t>
      </w:r>
      <w:r w:rsidRPr="00992C45">
        <w:rPr>
          <w:lang w:val="en-US"/>
        </w:rPr>
        <w:t>(Cambridge, 1990)</w:t>
      </w:r>
      <w:r w:rsidRPr="00992C45">
        <w:t> </w:t>
      </w:r>
    </w:p>
    <w:p w14:paraId="766D22C8" w14:textId="77777777" w:rsidR="00992C45" w:rsidRPr="00992C45" w:rsidRDefault="00992C45" w:rsidP="0028398D">
      <w:pPr>
        <w:spacing w:after="240" w:line="240" w:lineRule="auto"/>
        <w:jc w:val="both"/>
      </w:pPr>
      <w:r w:rsidRPr="00992C45">
        <w:rPr>
          <w:lang w:val="en-US"/>
        </w:rPr>
        <w:t xml:space="preserve">Boyne, William, </w:t>
      </w:r>
      <w:r w:rsidRPr="00992C45">
        <w:rPr>
          <w:i/>
          <w:iCs/>
          <w:lang w:val="en-US"/>
        </w:rPr>
        <w:t xml:space="preserve">Trade tokens issued in the seventeenth century in England, Wales, and Ireland, by corporations, merchants, tradesmen, etc., Vol. 2, </w:t>
      </w:r>
      <w:r w:rsidRPr="00992C45">
        <w:rPr>
          <w:lang w:val="en-US"/>
        </w:rPr>
        <w:t>(London, 1889)</w:t>
      </w:r>
      <w:r w:rsidRPr="00992C45">
        <w:t> </w:t>
      </w:r>
    </w:p>
    <w:p w14:paraId="53DC3D5A" w14:textId="77777777" w:rsidR="00992C45" w:rsidRPr="00992C45" w:rsidRDefault="00992C45" w:rsidP="0028398D">
      <w:pPr>
        <w:spacing w:after="240" w:line="240" w:lineRule="auto"/>
        <w:jc w:val="both"/>
      </w:pPr>
      <w:r w:rsidRPr="00992C45">
        <w:rPr>
          <w:lang w:val="en-US"/>
        </w:rPr>
        <w:t>Braun von Stumm, Gustave, "</w:t>
      </w:r>
      <w:proofErr w:type="spellStart"/>
      <w:r w:rsidRPr="00992C45">
        <w:rPr>
          <w:lang w:val="en-US"/>
        </w:rPr>
        <w:t>L'origine</w:t>
      </w:r>
      <w:proofErr w:type="spellEnd"/>
      <w:r w:rsidRPr="00992C45">
        <w:rPr>
          <w:lang w:val="en-US"/>
        </w:rPr>
        <w:t xml:space="preserve"> de la fleur de </w:t>
      </w:r>
      <w:proofErr w:type="spellStart"/>
      <w:r w:rsidRPr="00992C45">
        <w:rPr>
          <w:lang w:val="en-US"/>
        </w:rPr>
        <w:t>lis</w:t>
      </w:r>
      <w:proofErr w:type="spellEnd"/>
      <w:r w:rsidRPr="00992C45">
        <w:rPr>
          <w:lang w:val="en-US"/>
        </w:rPr>
        <w:t xml:space="preserve"> de rois de France du point de </w:t>
      </w:r>
      <w:proofErr w:type="spellStart"/>
      <w:r w:rsidRPr="00992C45">
        <w:rPr>
          <w:lang w:val="en-US"/>
        </w:rPr>
        <w:t>vue</w:t>
      </w:r>
      <w:proofErr w:type="spellEnd"/>
      <w:r w:rsidRPr="00992C45">
        <w:rPr>
          <w:lang w:val="en-US"/>
        </w:rPr>
        <w:t xml:space="preserve"> </w:t>
      </w:r>
      <w:proofErr w:type="spellStart"/>
      <w:r w:rsidRPr="00992C45">
        <w:rPr>
          <w:lang w:val="en-US"/>
        </w:rPr>
        <w:t>numismatique</w:t>
      </w:r>
      <w:proofErr w:type="spellEnd"/>
      <w:r w:rsidRPr="00992C45">
        <w:rPr>
          <w:lang w:val="en-US"/>
        </w:rPr>
        <w:t xml:space="preserve">", </w:t>
      </w:r>
      <w:r w:rsidRPr="00992C45">
        <w:rPr>
          <w:i/>
          <w:iCs/>
          <w:lang w:val="en-US"/>
        </w:rPr>
        <w:t xml:space="preserve">Revue </w:t>
      </w:r>
      <w:proofErr w:type="spellStart"/>
      <w:r w:rsidRPr="00992C45">
        <w:rPr>
          <w:i/>
          <w:iCs/>
          <w:lang w:val="en-US"/>
        </w:rPr>
        <w:t>Numismatique</w:t>
      </w:r>
      <w:proofErr w:type="spellEnd"/>
      <w:r w:rsidRPr="00992C45">
        <w:rPr>
          <w:lang w:val="en-US"/>
        </w:rPr>
        <w:t>, Vol. 13, (1951), pp .43-58</w:t>
      </w:r>
      <w:r w:rsidRPr="00992C45">
        <w:t> </w:t>
      </w:r>
    </w:p>
    <w:p w14:paraId="127F3ADF" w14:textId="5F633F11" w:rsidR="00997B19" w:rsidRDefault="00997B19" w:rsidP="0028398D">
      <w:pPr>
        <w:spacing w:after="240" w:line="240" w:lineRule="auto"/>
        <w:jc w:val="both"/>
        <w:rPr>
          <w:lang w:val="en-US"/>
        </w:rPr>
      </w:pPr>
      <w:r w:rsidRPr="00997B19">
        <w:t>Brierley</w:t>
      </w:r>
      <w:r>
        <w:t xml:space="preserve">, </w:t>
      </w:r>
      <w:r w:rsidRPr="00997B19">
        <w:t xml:space="preserve">Henry (ed.), </w:t>
      </w:r>
      <w:r w:rsidRPr="00997B19">
        <w:rPr>
          <w:i/>
          <w:iCs/>
        </w:rPr>
        <w:t xml:space="preserve">The Registers of the Parish Church of Bolton-le-Sands in the County of Lancaster, 1665-1736, </w:t>
      </w:r>
      <w:r w:rsidRPr="00997B19">
        <w:t>(Lancaster, 1911)</w:t>
      </w:r>
    </w:p>
    <w:p w14:paraId="432A98B6" w14:textId="10291109" w:rsidR="00992C45" w:rsidRPr="00992C45" w:rsidRDefault="00992C45" w:rsidP="0028398D">
      <w:pPr>
        <w:spacing w:after="240" w:line="240" w:lineRule="auto"/>
        <w:jc w:val="both"/>
      </w:pPr>
      <w:r w:rsidRPr="00992C45">
        <w:rPr>
          <w:lang w:val="en-US"/>
        </w:rPr>
        <w:t xml:space="preserve">Britton, Frank, </w:t>
      </w:r>
      <w:r w:rsidRPr="00992C45">
        <w:rPr>
          <w:i/>
          <w:iCs/>
          <w:lang w:val="en-US"/>
        </w:rPr>
        <w:t xml:space="preserve">London Delftware, </w:t>
      </w:r>
      <w:r w:rsidRPr="00992C45">
        <w:rPr>
          <w:lang w:val="en-US"/>
        </w:rPr>
        <w:t>(London, 1987)</w:t>
      </w:r>
      <w:r w:rsidRPr="00992C45">
        <w:t> </w:t>
      </w:r>
    </w:p>
    <w:p w14:paraId="543150FD" w14:textId="77777777" w:rsidR="00992C45" w:rsidRPr="00992C45" w:rsidRDefault="00992C45" w:rsidP="0028398D">
      <w:pPr>
        <w:spacing w:after="240" w:line="240" w:lineRule="auto"/>
        <w:jc w:val="both"/>
      </w:pPr>
      <w:r w:rsidRPr="00992C45">
        <w:rPr>
          <w:lang w:val="en-US"/>
        </w:rPr>
        <w:t xml:space="preserve">Brodie, Antonia, ‘Marking and memory: an embroidered sheet in the collection of the Victoria and Albert Museum’, </w:t>
      </w:r>
      <w:r w:rsidRPr="00992C45">
        <w:rPr>
          <w:i/>
          <w:iCs/>
          <w:lang w:val="en-US"/>
        </w:rPr>
        <w:t xml:space="preserve">Textile: Cloth and Culture, </w:t>
      </w:r>
      <w:r w:rsidRPr="00992C45">
        <w:rPr>
          <w:lang w:val="en-US"/>
        </w:rPr>
        <w:t>Vol. 14, No. 2, (2016), pp.160-175</w:t>
      </w:r>
      <w:r w:rsidRPr="00992C45">
        <w:t> </w:t>
      </w:r>
    </w:p>
    <w:p w14:paraId="02FCCFB5" w14:textId="77777777" w:rsidR="00992C45" w:rsidRPr="00992C45" w:rsidRDefault="00992C45" w:rsidP="0028398D">
      <w:pPr>
        <w:spacing w:after="240" w:line="240" w:lineRule="auto"/>
        <w:jc w:val="both"/>
      </w:pPr>
      <w:r w:rsidRPr="00992C45">
        <w:rPr>
          <w:lang w:val="en-US"/>
        </w:rPr>
        <w:t xml:space="preserve">Brunskill, Ronald W., </w:t>
      </w:r>
      <w:r w:rsidRPr="00992C45">
        <w:rPr>
          <w:i/>
          <w:iCs/>
          <w:lang w:val="en-US"/>
        </w:rPr>
        <w:t xml:space="preserve">Traditional Buildings of Britain, </w:t>
      </w:r>
      <w:r w:rsidRPr="00992C45">
        <w:rPr>
          <w:lang w:val="en-US"/>
        </w:rPr>
        <w:t>(London, 1981)</w:t>
      </w:r>
      <w:r w:rsidRPr="00992C45">
        <w:t> </w:t>
      </w:r>
    </w:p>
    <w:p w14:paraId="37B90568" w14:textId="77777777" w:rsidR="00992C45" w:rsidRPr="00992C45" w:rsidRDefault="00992C45" w:rsidP="0028398D">
      <w:pPr>
        <w:spacing w:after="240" w:line="240" w:lineRule="auto"/>
        <w:jc w:val="both"/>
      </w:pPr>
      <w:r w:rsidRPr="00992C45">
        <w:rPr>
          <w:lang w:val="en-US"/>
        </w:rPr>
        <w:t xml:space="preserve">Brunskill, Ronald W., </w:t>
      </w:r>
      <w:r w:rsidRPr="00992C45">
        <w:rPr>
          <w:i/>
          <w:iCs/>
          <w:lang w:val="en-US"/>
        </w:rPr>
        <w:t xml:space="preserve">Vernacular Architecture: An Illustrated Handbook, </w:t>
      </w:r>
      <w:r w:rsidRPr="00992C45">
        <w:rPr>
          <w:lang w:val="en-US"/>
        </w:rPr>
        <w:t>(London, 1970)</w:t>
      </w:r>
      <w:r w:rsidRPr="00992C45">
        <w:t> </w:t>
      </w:r>
    </w:p>
    <w:p w14:paraId="50113888" w14:textId="77777777" w:rsidR="00992C45" w:rsidRPr="00992C45" w:rsidRDefault="00992C45" w:rsidP="0028398D">
      <w:pPr>
        <w:spacing w:after="240" w:line="240" w:lineRule="auto"/>
        <w:jc w:val="both"/>
      </w:pPr>
      <w:r w:rsidRPr="00992C45">
        <w:rPr>
          <w:lang w:val="en-US"/>
        </w:rPr>
        <w:t xml:space="preserve">Burke, John, </w:t>
      </w:r>
      <w:r w:rsidRPr="00992C45">
        <w:rPr>
          <w:i/>
          <w:iCs/>
          <w:lang w:val="en-US"/>
        </w:rPr>
        <w:t xml:space="preserve">A Genealogical and Heraldic History of the Commoners of Great Britain and Ireland, Vol. 4, </w:t>
      </w:r>
      <w:r w:rsidRPr="00992C45">
        <w:rPr>
          <w:lang w:val="en-US"/>
        </w:rPr>
        <w:t>(London, 1838)</w:t>
      </w:r>
      <w:r w:rsidRPr="00992C45">
        <w:t> </w:t>
      </w:r>
    </w:p>
    <w:p w14:paraId="3FB28A67" w14:textId="77777777" w:rsidR="00992C45" w:rsidRPr="00992C45" w:rsidRDefault="00992C45" w:rsidP="0028398D">
      <w:pPr>
        <w:spacing w:after="240" w:line="240" w:lineRule="auto"/>
        <w:jc w:val="both"/>
      </w:pPr>
      <w:r w:rsidRPr="00992C45">
        <w:rPr>
          <w:lang w:val="en-US"/>
        </w:rPr>
        <w:lastRenderedPageBreak/>
        <w:t xml:space="preserve">Burman, Barbara and Ariane </w:t>
      </w:r>
      <w:proofErr w:type="spellStart"/>
      <w:r w:rsidRPr="00992C45">
        <w:rPr>
          <w:lang w:val="en-US"/>
        </w:rPr>
        <w:t>Fennetaux</w:t>
      </w:r>
      <w:proofErr w:type="spellEnd"/>
      <w:r w:rsidRPr="00992C45">
        <w:rPr>
          <w:lang w:val="en-US"/>
        </w:rPr>
        <w:t xml:space="preserve">, </w:t>
      </w:r>
      <w:r w:rsidRPr="00992C45">
        <w:rPr>
          <w:i/>
          <w:iCs/>
          <w:lang w:val="en-US"/>
        </w:rPr>
        <w:t xml:space="preserve">The Pocket: A Hidden History of Women’s Lives, </w:t>
      </w:r>
      <w:r w:rsidRPr="00992C45">
        <w:rPr>
          <w:lang w:val="en-US"/>
        </w:rPr>
        <w:t>(Yale, 2019)</w:t>
      </w:r>
      <w:r w:rsidRPr="00992C45">
        <w:t> </w:t>
      </w:r>
    </w:p>
    <w:p w14:paraId="3F7478D2" w14:textId="77777777" w:rsidR="00992C45" w:rsidRPr="00992C45" w:rsidRDefault="00992C45" w:rsidP="0028398D">
      <w:pPr>
        <w:spacing w:after="240" w:line="240" w:lineRule="auto"/>
        <w:jc w:val="both"/>
      </w:pPr>
      <w:r w:rsidRPr="00992C45">
        <w:rPr>
          <w:lang w:val="en-US"/>
        </w:rPr>
        <w:t xml:space="preserve">Burman, Barbara, “A Linnen Pockett a Prayer Book and Five Keys’: approaches to a history of women’s tie-on pockets’, in Maria Hayward and Elizabeth Kramer (eds), </w:t>
      </w:r>
      <w:r w:rsidRPr="00992C45">
        <w:rPr>
          <w:i/>
          <w:iCs/>
          <w:lang w:val="en-US"/>
        </w:rPr>
        <w:t xml:space="preserve">Textiles in Text: Re-establishing the Links Between Archival and Object-Based Research, </w:t>
      </w:r>
      <w:r w:rsidRPr="00992C45">
        <w:rPr>
          <w:lang w:val="en-US"/>
        </w:rPr>
        <w:t>(London, 2007), pp.157-163</w:t>
      </w:r>
      <w:r w:rsidRPr="00992C45">
        <w:t> </w:t>
      </w:r>
    </w:p>
    <w:p w14:paraId="724BDD3D" w14:textId="77777777" w:rsidR="00992C45" w:rsidRPr="00992C45" w:rsidRDefault="00992C45" w:rsidP="0028398D">
      <w:pPr>
        <w:spacing w:after="240" w:line="240" w:lineRule="auto"/>
        <w:jc w:val="both"/>
      </w:pPr>
      <w:r w:rsidRPr="00992C45">
        <w:rPr>
          <w:lang w:val="en-US"/>
        </w:rPr>
        <w:t xml:space="preserve">Buxton, Antony, </w:t>
      </w:r>
      <w:r w:rsidRPr="00992C45">
        <w:rPr>
          <w:i/>
          <w:iCs/>
          <w:lang w:val="en-US"/>
        </w:rPr>
        <w:t xml:space="preserve">Domestic Culture in Early Modern England, </w:t>
      </w:r>
      <w:r w:rsidRPr="00992C45">
        <w:rPr>
          <w:lang w:val="en-US"/>
        </w:rPr>
        <w:t>(Woodbridge, 2015)</w:t>
      </w:r>
      <w:r w:rsidRPr="00992C45">
        <w:t> </w:t>
      </w:r>
    </w:p>
    <w:p w14:paraId="63735BE7" w14:textId="77777777" w:rsidR="00992C45" w:rsidRPr="00992C45" w:rsidRDefault="00992C45" w:rsidP="0028398D">
      <w:pPr>
        <w:spacing w:after="240" w:line="240" w:lineRule="auto"/>
        <w:jc w:val="both"/>
      </w:pPr>
      <w:r w:rsidRPr="00992C45">
        <w:rPr>
          <w:lang w:val="en-US"/>
        </w:rPr>
        <w:t xml:space="preserve">Caple, Chris, ‘The apotropaic symbolled threshold to </w:t>
      </w:r>
      <w:proofErr w:type="spellStart"/>
      <w:r w:rsidRPr="00992C45">
        <w:rPr>
          <w:lang w:val="en-US"/>
        </w:rPr>
        <w:t>Nevern</w:t>
      </w:r>
      <w:proofErr w:type="spellEnd"/>
      <w:r w:rsidRPr="00992C45">
        <w:rPr>
          <w:lang w:val="en-US"/>
        </w:rPr>
        <w:t xml:space="preserve"> Castle – Castle </w:t>
      </w:r>
      <w:proofErr w:type="spellStart"/>
      <w:r w:rsidRPr="00992C45">
        <w:rPr>
          <w:lang w:val="en-US"/>
        </w:rPr>
        <w:t>Nanyfer</w:t>
      </w:r>
      <w:proofErr w:type="spellEnd"/>
      <w:r w:rsidRPr="00992C45">
        <w:rPr>
          <w:lang w:val="en-US"/>
        </w:rPr>
        <w:t xml:space="preserve">’, </w:t>
      </w:r>
      <w:r w:rsidRPr="00992C45">
        <w:rPr>
          <w:i/>
          <w:iCs/>
          <w:lang w:val="en-US"/>
        </w:rPr>
        <w:t>Archaeological Journal</w:t>
      </w:r>
      <w:r w:rsidRPr="00992C45">
        <w:rPr>
          <w:lang w:val="en-US"/>
        </w:rPr>
        <w:t>, Vol. 169, No. 1, (2012), pp.422-452</w:t>
      </w:r>
      <w:r w:rsidRPr="00992C45">
        <w:t> </w:t>
      </w:r>
    </w:p>
    <w:p w14:paraId="5B9998BD" w14:textId="77777777" w:rsidR="00992C45" w:rsidRPr="00992C45" w:rsidRDefault="00992C45" w:rsidP="0028398D">
      <w:pPr>
        <w:spacing w:after="240" w:line="240" w:lineRule="auto"/>
        <w:jc w:val="both"/>
      </w:pPr>
      <w:r w:rsidRPr="00992C45">
        <w:rPr>
          <w:lang w:val="en-US"/>
        </w:rPr>
        <w:t xml:space="preserve">Carroll, William, ‘The virgin not: language and sexuality in Shakespeare’, </w:t>
      </w:r>
      <w:r w:rsidRPr="00992C45">
        <w:rPr>
          <w:i/>
          <w:iCs/>
          <w:lang w:val="en-US"/>
        </w:rPr>
        <w:t xml:space="preserve">Shakespeare Survey, </w:t>
      </w:r>
      <w:r w:rsidRPr="00992C45">
        <w:rPr>
          <w:lang w:val="en-US"/>
        </w:rPr>
        <w:t>No. 46 (1994), pp.107–120</w:t>
      </w:r>
      <w:r w:rsidRPr="00992C45">
        <w:t> </w:t>
      </w:r>
    </w:p>
    <w:p w14:paraId="2E85731D" w14:textId="77777777" w:rsidR="00992C45" w:rsidRPr="00992C45" w:rsidRDefault="00992C45" w:rsidP="0028398D">
      <w:pPr>
        <w:spacing w:after="240" w:line="240" w:lineRule="auto"/>
        <w:jc w:val="both"/>
      </w:pPr>
      <w:r w:rsidRPr="00992C45">
        <w:rPr>
          <w:lang w:val="en-US"/>
        </w:rPr>
        <w:t xml:space="preserve">Chamberlain, </w:t>
      </w:r>
      <w:proofErr w:type="gramStart"/>
      <w:r w:rsidRPr="00992C45">
        <w:rPr>
          <w:lang w:val="en-US"/>
        </w:rPr>
        <w:t>Gary, ‘</w:t>
      </w:r>
      <w:proofErr w:type="gramEnd"/>
      <w:r w:rsidRPr="00992C45">
        <w:rPr>
          <w:lang w:val="en-US"/>
        </w:rPr>
        <w:t xml:space="preserve">From </w:t>
      </w:r>
      <w:proofErr w:type="gramStart"/>
      <w:r w:rsidRPr="00992C45">
        <w:rPr>
          <w:lang w:val="en-US"/>
        </w:rPr>
        <w:t>holy water to holy waters’,</w:t>
      </w:r>
      <w:proofErr w:type="gramEnd"/>
      <w:r w:rsidRPr="00992C45">
        <w:rPr>
          <w:lang w:val="en-US"/>
        </w:rPr>
        <w:t xml:space="preserve"> </w:t>
      </w:r>
      <w:r w:rsidRPr="00992C45">
        <w:rPr>
          <w:i/>
          <w:iCs/>
          <w:lang w:val="en-US"/>
        </w:rPr>
        <w:t xml:space="preserve">Water Resources IMPACT: Religion, Culture and Water, </w:t>
      </w:r>
      <w:r w:rsidRPr="00992C45">
        <w:rPr>
          <w:lang w:val="en-US"/>
        </w:rPr>
        <w:t>Vol. 14, No. 2, (2012), pp.6-9</w:t>
      </w:r>
      <w:r w:rsidRPr="00992C45">
        <w:t> </w:t>
      </w:r>
    </w:p>
    <w:p w14:paraId="509DDAF4" w14:textId="77777777" w:rsidR="00992C45" w:rsidRPr="00992C45" w:rsidRDefault="00992C45" w:rsidP="0028398D">
      <w:pPr>
        <w:spacing w:after="240" w:line="240" w:lineRule="auto"/>
        <w:jc w:val="both"/>
      </w:pPr>
      <w:r w:rsidRPr="00992C45">
        <w:rPr>
          <w:lang w:val="en-US"/>
        </w:rPr>
        <w:t xml:space="preserve">Champion, Matthew, ‘Magic on the walls: ritual protection marks in the medieval church’, in Ronald Hutton (ed.), </w:t>
      </w:r>
      <w:r w:rsidRPr="00992C45">
        <w:rPr>
          <w:i/>
          <w:iCs/>
          <w:lang w:val="en-US"/>
        </w:rPr>
        <w:t xml:space="preserve">Physical Evidence for Ritual Acts, Sorcery and Witchcraft in Christian Britain: A Feeling for Magic, </w:t>
      </w:r>
      <w:r w:rsidRPr="00992C45">
        <w:rPr>
          <w:lang w:val="en-US"/>
        </w:rPr>
        <w:t>(London, 2015), pp.15-38</w:t>
      </w:r>
      <w:r w:rsidRPr="00992C45">
        <w:t> </w:t>
      </w:r>
    </w:p>
    <w:p w14:paraId="52E59E0D" w14:textId="77777777" w:rsidR="00992C45" w:rsidRPr="00992C45" w:rsidRDefault="00992C45" w:rsidP="0028398D">
      <w:pPr>
        <w:spacing w:after="240" w:line="240" w:lineRule="auto"/>
        <w:jc w:val="both"/>
      </w:pPr>
      <w:r w:rsidRPr="00992C45">
        <w:rPr>
          <w:lang w:val="en-US"/>
        </w:rPr>
        <w:t xml:space="preserve">Champion, Matthew, </w:t>
      </w:r>
      <w:r w:rsidRPr="00992C45">
        <w:rPr>
          <w:i/>
          <w:iCs/>
          <w:lang w:val="en-US"/>
        </w:rPr>
        <w:t xml:space="preserve">Medieval Graffiti: </w:t>
      </w:r>
      <w:proofErr w:type="gramStart"/>
      <w:r w:rsidRPr="00992C45">
        <w:rPr>
          <w:i/>
          <w:iCs/>
          <w:lang w:val="en-US"/>
        </w:rPr>
        <w:t>the</w:t>
      </w:r>
      <w:proofErr w:type="gramEnd"/>
      <w:r w:rsidRPr="00992C45">
        <w:rPr>
          <w:i/>
          <w:iCs/>
          <w:lang w:val="en-US"/>
        </w:rPr>
        <w:t xml:space="preserve"> Lost Voices of England’s Churches, </w:t>
      </w:r>
      <w:r w:rsidRPr="00992C45">
        <w:rPr>
          <w:lang w:val="en-US"/>
        </w:rPr>
        <w:t>(London, 2015)</w:t>
      </w:r>
      <w:r w:rsidRPr="00992C45">
        <w:t> </w:t>
      </w:r>
    </w:p>
    <w:p w14:paraId="4DED49A4" w14:textId="77777777" w:rsidR="00992C45" w:rsidRPr="00992C45" w:rsidRDefault="00992C45" w:rsidP="0028398D">
      <w:pPr>
        <w:spacing w:after="240" w:line="240" w:lineRule="auto"/>
        <w:jc w:val="both"/>
      </w:pPr>
      <w:r w:rsidRPr="00992C45">
        <w:rPr>
          <w:lang w:val="en-US"/>
        </w:rPr>
        <w:t xml:space="preserve">Channen Caldwell, Mary, ‘’Flower of the lily’: late-medieval religious and heraldic symbolism in Paris, Bibliothèque Nationale de France, MS Français 146’, </w:t>
      </w:r>
      <w:r w:rsidRPr="00992C45">
        <w:rPr>
          <w:i/>
          <w:iCs/>
          <w:lang w:val="en-US"/>
        </w:rPr>
        <w:t xml:space="preserve">Early Music History, </w:t>
      </w:r>
      <w:r w:rsidRPr="00992C45">
        <w:rPr>
          <w:lang w:val="en-US"/>
        </w:rPr>
        <w:t>Vol. 33, (2014), pp.1-60</w:t>
      </w:r>
      <w:r w:rsidRPr="00992C45">
        <w:t> </w:t>
      </w:r>
    </w:p>
    <w:p w14:paraId="232EE827" w14:textId="77777777" w:rsidR="00992C45" w:rsidRPr="00992C45" w:rsidRDefault="00992C45" w:rsidP="0028398D">
      <w:pPr>
        <w:spacing w:after="240" w:line="240" w:lineRule="auto"/>
        <w:jc w:val="both"/>
      </w:pPr>
      <w:r w:rsidRPr="00992C45">
        <w:rPr>
          <w:lang w:val="en-US"/>
        </w:rPr>
        <w:t xml:space="preserve">Chapman, Colin R., </w:t>
      </w:r>
      <w:r w:rsidRPr="00992C45">
        <w:rPr>
          <w:i/>
          <w:iCs/>
          <w:lang w:val="en-US"/>
        </w:rPr>
        <w:t xml:space="preserve">Marriage Laws, Rites, Records and Customs, </w:t>
      </w:r>
      <w:r w:rsidRPr="00992C45">
        <w:rPr>
          <w:lang w:val="en-US"/>
        </w:rPr>
        <w:t>(Dursley, 1996)</w:t>
      </w:r>
      <w:r w:rsidRPr="00992C45">
        <w:t> </w:t>
      </w:r>
    </w:p>
    <w:p w14:paraId="598CF642" w14:textId="77777777" w:rsidR="00992C45" w:rsidRPr="00992C45" w:rsidRDefault="00992C45" w:rsidP="0028398D">
      <w:pPr>
        <w:spacing w:after="240" w:line="240" w:lineRule="auto"/>
        <w:jc w:val="both"/>
      </w:pPr>
      <w:r w:rsidRPr="00992C45">
        <w:rPr>
          <w:lang w:val="en-US"/>
        </w:rPr>
        <w:t xml:space="preserve">Chinnery, Victor, </w:t>
      </w:r>
      <w:r w:rsidRPr="00992C45">
        <w:rPr>
          <w:i/>
          <w:iCs/>
          <w:lang w:val="en-US"/>
        </w:rPr>
        <w:t xml:space="preserve">Oak Furniture, The British Tradition: A History of Early Furniture in the British Isles and New England, </w:t>
      </w:r>
      <w:r w:rsidRPr="00992C45">
        <w:rPr>
          <w:lang w:val="en-US"/>
        </w:rPr>
        <w:t>(Woodbridge, 1979)</w:t>
      </w:r>
      <w:r w:rsidRPr="00992C45">
        <w:t> </w:t>
      </w:r>
    </w:p>
    <w:p w14:paraId="0FD036DE" w14:textId="77777777" w:rsidR="00992C45" w:rsidRPr="00992C45" w:rsidRDefault="00992C45" w:rsidP="0028398D">
      <w:pPr>
        <w:spacing w:after="240" w:line="240" w:lineRule="auto"/>
        <w:jc w:val="both"/>
      </w:pPr>
      <w:proofErr w:type="spellStart"/>
      <w:r w:rsidRPr="00992C45">
        <w:rPr>
          <w:lang w:val="fr-FR"/>
        </w:rPr>
        <w:t>Churches</w:t>
      </w:r>
      <w:proofErr w:type="spellEnd"/>
      <w:r w:rsidRPr="00992C45">
        <w:rPr>
          <w:lang w:val="fr-FR"/>
        </w:rPr>
        <w:t>, Christine, ‘</w:t>
      </w:r>
      <w:proofErr w:type="spellStart"/>
      <w:r w:rsidRPr="00992C45">
        <w:rPr>
          <w:lang w:val="fr-FR"/>
        </w:rPr>
        <w:t>Women</w:t>
      </w:r>
      <w:proofErr w:type="spellEnd"/>
      <w:r w:rsidRPr="00992C45">
        <w:rPr>
          <w:lang w:val="fr-FR"/>
        </w:rPr>
        <w:t xml:space="preserve"> and </w:t>
      </w:r>
      <w:proofErr w:type="spellStart"/>
      <w:r w:rsidRPr="00992C45">
        <w:rPr>
          <w:lang w:val="fr-FR"/>
        </w:rPr>
        <w:t>property</w:t>
      </w:r>
      <w:proofErr w:type="spellEnd"/>
      <w:r w:rsidRPr="00992C45">
        <w:rPr>
          <w:lang w:val="fr-FR"/>
        </w:rPr>
        <w:t xml:space="preserve"> in </w:t>
      </w:r>
      <w:proofErr w:type="spellStart"/>
      <w:r w:rsidRPr="00992C45">
        <w:rPr>
          <w:lang w:val="fr-FR"/>
        </w:rPr>
        <w:t>early</w:t>
      </w:r>
      <w:proofErr w:type="spellEnd"/>
      <w:r w:rsidRPr="00992C45">
        <w:rPr>
          <w:lang w:val="fr-FR"/>
        </w:rPr>
        <w:t xml:space="preserve"> modern </w:t>
      </w:r>
      <w:proofErr w:type="spellStart"/>
      <w:proofErr w:type="gramStart"/>
      <w:r w:rsidRPr="00992C45">
        <w:rPr>
          <w:lang w:val="fr-FR"/>
        </w:rPr>
        <w:t>England</w:t>
      </w:r>
      <w:proofErr w:type="spellEnd"/>
      <w:r w:rsidRPr="00992C45">
        <w:rPr>
          <w:lang w:val="fr-FR"/>
        </w:rPr>
        <w:t>:</w:t>
      </w:r>
      <w:proofErr w:type="gramEnd"/>
      <w:r w:rsidRPr="00992C45">
        <w:rPr>
          <w:lang w:val="fr-FR"/>
        </w:rPr>
        <w:t xml:space="preserve"> </w:t>
      </w:r>
      <w:proofErr w:type="spellStart"/>
      <w:r w:rsidRPr="00992C45">
        <w:rPr>
          <w:lang w:val="fr-FR"/>
        </w:rPr>
        <w:t>a</w:t>
      </w:r>
      <w:proofErr w:type="spellEnd"/>
      <w:r w:rsidRPr="00992C45">
        <w:rPr>
          <w:lang w:val="fr-FR"/>
        </w:rPr>
        <w:t xml:space="preserve"> case </w:t>
      </w:r>
      <w:proofErr w:type="spellStart"/>
      <w:r w:rsidRPr="00992C45">
        <w:rPr>
          <w:lang w:val="fr-FR"/>
        </w:rPr>
        <w:t>study</w:t>
      </w:r>
      <w:proofErr w:type="spellEnd"/>
      <w:r w:rsidRPr="00992C45">
        <w:rPr>
          <w:lang w:val="fr-FR"/>
        </w:rPr>
        <w:t xml:space="preserve">’, </w:t>
      </w:r>
      <w:r w:rsidRPr="00992C45">
        <w:rPr>
          <w:i/>
          <w:iCs/>
          <w:lang w:val="fr-FR"/>
        </w:rPr>
        <w:t xml:space="preserve">Social </w:t>
      </w:r>
      <w:proofErr w:type="spellStart"/>
      <w:r w:rsidRPr="00992C45">
        <w:rPr>
          <w:i/>
          <w:iCs/>
          <w:lang w:val="fr-FR"/>
        </w:rPr>
        <w:t>History</w:t>
      </w:r>
      <w:proofErr w:type="spellEnd"/>
      <w:r w:rsidRPr="00992C45">
        <w:rPr>
          <w:i/>
          <w:iCs/>
          <w:lang w:val="fr-FR"/>
        </w:rPr>
        <w:t xml:space="preserve">, </w:t>
      </w:r>
      <w:r w:rsidRPr="00992C45">
        <w:rPr>
          <w:lang w:val="fr-FR"/>
        </w:rPr>
        <w:t>Vol. 23, No. 2, (1998), pp.165-180</w:t>
      </w:r>
      <w:r w:rsidRPr="00992C45">
        <w:t> </w:t>
      </w:r>
    </w:p>
    <w:p w14:paraId="41D5A3E9" w14:textId="77777777" w:rsidR="00992C45" w:rsidRPr="00992C45" w:rsidRDefault="00992C45" w:rsidP="0028398D">
      <w:pPr>
        <w:spacing w:after="240" w:line="240" w:lineRule="auto"/>
        <w:jc w:val="both"/>
      </w:pPr>
      <w:r w:rsidRPr="00992C45">
        <w:rPr>
          <w:lang w:val="fr-FR"/>
        </w:rPr>
        <w:t>Clay, Christopher, ‘</w:t>
      </w:r>
      <w:proofErr w:type="spellStart"/>
      <w:r w:rsidRPr="00992C45">
        <w:rPr>
          <w:lang w:val="fr-FR"/>
        </w:rPr>
        <w:t>Lifeleasehold</w:t>
      </w:r>
      <w:proofErr w:type="spellEnd"/>
      <w:r w:rsidRPr="00992C45">
        <w:rPr>
          <w:lang w:val="fr-FR"/>
        </w:rPr>
        <w:t xml:space="preserve"> in the western </w:t>
      </w:r>
      <w:proofErr w:type="spellStart"/>
      <w:r w:rsidRPr="00992C45">
        <w:rPr>
          <w:lang w:val="fr-FR"/>
        </w:rPr>
        <w:t>counties</w:t>
      </w:r>
      <w:proofErr w:type="spellEnd"/>
      <w:r w:rsidRPr="00992C45">
        <w:rPr>
          <w:lang w:val="fr-FR"/>
        </w:rPr>
        <w:t xml:space="preserve"> of </w:t>
      </w:r>
      <w:proofErr w:type="spellStart"/>
      <w:r w:rsidRPr="00992C45">
        <w:rPr>
          <w:lang w:val="fr-FR"/>
        </w:rPr>
        <w:t>England</w:t>
      </w:r>
      <w:proofErr w:type="spellEnd"/>
      <w:r w:rsidRPr="00992C45">
        <w:rPr>
          <w:lang w:val="fr-FR"/>
        </w:rPr>
        <w:t xml:space="preserve"> 1650-1750’, </w:t>
      </w:r>
      <w:r w:rsidRPr="00992C45">
        <w:rPr>
          <w:i/>
          <w:iCs/>
          <w:lang w:val="fr-FR"/>
        </w:rPr>
        <w:t xml:space="preserve">The Agricultural </w:t>
      </w:r>
      <w:proofErr w:type="spellStart"/>
      <w:r w:rsidRPr="00992C45">
        <w:rPr>
          <w:i/>
          <w:iCs/>
          <w:lang w:val="fr-FR"/>
        </w:rPr>
        <w:t>History</w:t>
      </w:r>
      <w:proofErr w:type="spellEnd"/>
      <w:r w:rsidRPr="00992C45">
        <w:rPr>
          <w:i/>
          <w:iCs/>
          <w:lang w:val="fr-FR"/>
        </w:rPr>
        <w:t xml:space="preserve"> </w:t>
      </w:r>
      <w:proofErr w:type="spellStart"/>
      <w:r w:rsidRPr="00992C45">
        <w:rPr>
          <w:i/>
          <w:iCs/>
          <w:lang w:val="fr-FR"/>
        </w:rPr>
        <w:t>Review</w:t>
      </w:r>
      <w:proofErr w:type="spellEnd"/>
      <w:r w:rsidRPr="00992C45">
        <w:rPr>
          <w:i/>
          <w:iCs/>
          <w:lang w:val="fr-FR"/>
        </w:rPr>
        <w:t xml:space="preserve">, </w:t>
      </w:r>
      <w:r w:rsidRPr="00992C45">
        <w:rPr>
          <w:lang w:val="fr-FR"/>
        </w:rPr>
        <w:t>Vol. 29, No. 2, (1981), pp.83-96</w:t>
      </w:r>
      <w:r w:rsidRPr="00992C45">
        <w:t> </w:t>
      </w:r>
    </w:p>
    <w:p w14:paraId="3BFE0380" w14:textId="77777777" w:rsidR="00992C45" w:rsidRPr="00992C45" w:rsidRDefault="00992C45" w:rsidP="0028398D">
      <w:pPr>
        <w:spacing w:after="240" w:line="240" w:lineRule="auto"/>
        <w:jc w:val="both"/>
      </w:pPr>
      <w:r w:rsidRPr="00992C45">
        <w:rPr>
          <w:lang w:val="en-US"/>
        </w:rPr>
        <w:t xml:space="preserve">Cogan, Susan, ‘Building the badge of God: architectural representations of persecution and coexistence in post-Reformation England’, </w:t>
      </w:r>
      <w:r w:rsidRPr="00992C45">
        <w:rPr>
          <w:i/>
          <w:iCs/>
          <w:lang w:val="en-US"/>
        </w:rPr>
        <w:t xml:space="preserve">Archive for Reformation History, </w:t>
      </w:r>
      <w:r w:rsidRPr="00992C45">
        <w:rPr>
          <w:lang w:val="en-US"/>
        </w:rPr>
        <w:t>Vol. 107, No. 1, (2016), pp.165-192</w:t>
      </w:r>
      <w:r w:rsidRPr="00992C45">
        <w:t> </w:t>
      </w:r>
    </w:p>
    <w:p w14:paraId="1AD927E2" w14:textId="77777777" w:rsidR="00992C45" w:rsidRPr="00992C45" w:rsidRDefault="00992C45" w:rsidP="0028398D">
      <w:pPr>
        <w:spacing w:after="240" w:line="240" w:lineRule="auto"/>
        <w:jc w:val="both"/>
      </w:pPr>
      <w:r w:rsidRPr="00992C45">
        <w:rPr>
          <w:lang w:val="fr-FR"/>
        </w:rPr>
        <w:t xml:space="preserve">Cox Jensen, Freya, </w:t>
      </w:r>
      <w:r w:rsidRPr="00992C45">
        <w:rPr>
          <w:i/>
          <w:iCs/>
          <w:lang w:val="fr-FR"/>
        </w:rPr>
        <w:t xml:space="preserve">Reading the Roman Republic in </w:t>
      </w:r>
      <w:proofErr w:type="spellStart"/>
      <w:r w:rsidRPr="00992C45">
        <w:rPr>
          <w:i/>
          <w:iCs/>
          <w:lang w:val="fr-FR"/>
        </w:rPr>
        <w:t>Early</w:t>
      </w:r>
      <w:proofErr w:type="spellEnd"/>
      <w:r w:rsidRPr="00992C45">
        <w:rPr>
          <w:i/>
          <w:iCs/>
          <w:lang w:val="fr-FR"/>
        </w:rPr>
        <w:t xml:space="preserve"> Modern </w:t>
      </w:r>
      <w:proofErr w:type="spellStart"/>
      <w:r w:rsidRPr="00992C45">
        <w:rPr>
          <w:i/>
          <w:iCs/>
          <w:lang w:val="fr-FR"/>
        </w:rPr>
        <w:t>England</w:t>
      </w:r>
      <w:proofErr w:type="spellEnd"/>
      <w:r w:rsidRPr="00992C45">
        <w:rPr>
          <w:i/>
          <w:iCs/>
          <w:lang w:val="fr-FR"/>
        </w:rPr>
        <w:t xml:space="preserve">, </w:t>
      </w:r>
      <w:r w:rsidRPr="00992C45">
        <w:rPr>
          <w:lang w:val="fr-FR"/>
        </w:rPr>
        <w:t>(Leiden, 2012)</w:t>
      </w:r>
      <w:r w:rsidRPr="00992C45">
        <w:t> </w:t>
      </w:r>
    </w:p>
    <w:p w14:paraId="17DBCF89" w14:textId="77777777" w:rsidR="00992C45" w:rsidRPr="00992C45" w:rsidRDefault="00992C45" w:rsidP="0028398D">
      <w:pPr>
        <w:spacing w:after="240" w:line="240" w:lineRule="auto"/>
        <w:jc w:val="both"/>
      </w:pPr>
      <w:r w:rsidRPr="00992C45">
        <w:rPr>
          <w:lang w:val="fr-FR"/>
        </w:rPr>
        <w:t>Cox, Jeff and Nancy Cox, ‘</w:t>
      </w:r>
      <w:proofErr w:type="spellStart"/>
      <w:r w:rsidRPr="00992C45">
        <w:rPr>
          <w:lang w:val="fr-FR"/>
        </w:rPr>
        <w:t>Probate</w:t>
      </w:r>
      <w:proofErr w:type="spellEnd"/>
      <w:r w:rsidRPr="00992C45">
        <w:rPr>
          <w:lang w:val="fr-FR"/>
        </w:rPr>
        <w:t xml:space="preserve"> 1500–</w:t>
      </w:r>
      <w:proofErr w:type="gramStart"/>
      <w:r w:rsidRPr="00992C45">
        <w:rPr>
          <w:lang w:val="fr-FR"/>
        </w:rPr>
        <w:t>1800:</w:t>
      </w:r>
      <w:proofErr w:type="gramEnd"/>
      <w:r w:rsidRPr="00992C45">
        <w:rPr>
          <w:lang w:val="fr-FR"/>
        </w:rPr>
        <w:t xml:space="preserve"> a system in transition’ in Tom </w:t>
      </w:r>
      <w:proofErr w:type="spellStart"/>
      <w:r w:rsidRPr="00992C45">
        <w:rPr>
          <w:lang w:val="fr-FR"/>
        </w:rPr>
        <w:t>Arkell</w:t>
      </w:r>
      <w:proofErr w:type="spellEnd"/>
      <w:r w:rsidRPr="00992C45">
        <w:rPr>
          <w:lang w:val="fr-FR"/>
        </w:rPr>
        <w:t xml:space="preserve">, </w:t>
      </w:r>
      <w:proofErr w:type="spellStart"/>
      <w:r w:rsidRPr="00992C45">
        <w:rPr>
          <w:lang w:val="fr-FR"/>
        </w:rPr>
        <w:t>Nesta</w:t>
      </w:r>
      <w:proofErr w:type="spellEnd"/>
      <w:r w:rsidRPr="00992C45">
        <w:rPr>
          <w:lang w:val="fr-FR"/>
        </w:rPr>
        <w:t xml:space="preserve"> Evans and Nigel Goose (</w:t>
      </w:r>
      <w:proofErr w:type="spellStart"/>
      <w:r w:rsidRPr="00992C45">
        <w:rPr>
          <w:lang w:val="fr-FR"/>
        </w:rPr>
        <w:t>eds</w:t>
      </w:r>
      <w:proofErr w:type="spellEnd"/>
      <w:r w:rsidRPr="00992C45">
        <w:rPr>
          <w:lang w:val="fr-FR"/>
        </w:rPr>
        <w:t xml:space="preserve">), </w:t>
      </w:r>
      <w:proofErr w:type="spellStart"/>
      <w:r w:rsidRPr="00992C45">
        <w:rPr>
          <w:i/>
          <w:iCs/>
          <w:lang w:val="fr-FR"/>
        </w:rPr>
        <w:t>When</w:t>
      </w:r>
      <w:proofErr w:type="spellEnd"/>
      <w:r w:rsidRPr="00992C45">
        <w:rPr>
          <w:i/>
          <w:iCs/>
          <w:lang w:val="fr-FR"/>
        </w:rPr>
        <w:t xml:space="preserve"> </w:t>
      </w:r>
      <w:proofErr w:type="spellStart"/>
      <w:r w:rsidRPr="00992C45">
        <w:rPr>
          <w:i/>
          <w:iCs/>
          <w:lang w:val="fr-FR"/>
        </w:rPr>
        <w:t>Death</w:t>
      </w:r>
      <w:proofErr w:type="spellEnd"/>
      <w:r w:rsidRPr="00992C45">
        <w:rPr>
          <w:i/>
          <w:iCs/>
          <w:lang w:val="fr-FR"/>
        </w:rPr>
        <w:t xml:space="preserve"> Do Us Part </w:t>
      </w:r>
      <w:r w:rsidRPr="00992C45">
        <w:rPr>
          <w:lang w:val="fr-FR"/>
        </w:rPr>
        <w:t>(Oxford, 2000), pp.14–37</w:t>
      </w:r>
      <w:r w:rsidRPr="00992C45">
        <w:t> </w:t>
      </w:r>
    </w:p>
    <w:p w14:paraId="66B58AB7" w14:textId="77777777" w:rsidR="00992C45" w:rsidRPr="00992C45" w:rsidRDefault="00992C45" w:rsidP="0028398D">
      <w:pPr>
        <w:spacing w:after="240" w:line="240" w:lineRule="auto"/>
        <w:jc w:val="both"/>
      </w:pPr>
      <w:r w:rsidRPr="00992C45">
        <w:rPr>
          <w:lang w:val="en-US"/>
        </w:rPr>
        <w:lastRenderedPageBreak/>
        <w:t xml:space="preserve">Craig, </w:t>
      </w:r>
      <w:proofErr w:type="gramStart"/>
      <w:r w:rsidRPr="00992C45">
        <w:rPr>
          <w:lang w:val="en-US"/>
        </w:rPr>
        <w:t>Robert, ‘</w:t>
      </w:r>
      <w:proofErr w:type="gramEnd"/>
      <w:r w:rsidRPr="00992C45">
        <w:rPr>
          <w:lang w:val="en-US"/>
        </w:rPr>
        <w:t xml:space="preserve">Some aspects of the trade and shipping of the River Dee in the eighteenth century’, </w:t>
      </w:r>
      <w:r w:rsidRPr="00992C45">
        <w:rPr>
          <w:i/>
          <w:iCs/>
          <w:lang w:val="en-US"/>
        </w:rPr>
        <w:t xml:space="preserve">Transactions of the Historic Society of Lancashire and Cheshire, </w:t>
      </w:r>
      <w:r w:rsidRPr="00992C45">
        <w:rPr>
          <w:lang w:val="en-US"/>
        </w:rPr>
        <w:t>Vol. 114, (1962) pp.99-128</w:t>
      </w:r>
      <w:r w:rsidRPr="00992C45">
        <w:t> </w:t>
      </w:r>
    </w:p>
    <w:p w14:paraId="5D97876A" w14:textId="77777777" w:rsidR="00992C45" w:rsidRPr="00992C45" w:rsidRDefault="00992C45" w:rsidP="0028398D">
      <w:pPr>
        <w:spacing w:after="240" w:line="240" w:lineRule="auto"/>
        <w:jc w:val="both"/>
      </w:pPr>
      <w:r w:rsidRPr="00992C45">
        <w:rPr>
          <w:lang w:val="en-US"/>
        </w:rPr>
        <w:t xml:space="preserve">Crawford, Patricia and Sara Mendelson, </w:t>
      </w:r>
      <w:r w:rsidRPr="00992C45">
        <w:rPr>
          <w:i/>
          <w:iCs/>
          <w:lang w:val="en-US"/>
        </w:rPr>
        <w:t xml:space="preserve">Women in Early Modern England 1550-1720, </w:t>
      </w:r>
      <w:r w:rsidRPr="00992C45">
        <w:rPr>
          <w:lang w:val="en-US"/>
        </w:rPr>
        <w:t>(Oxford, 1998)</w:t>
      </w:r>
      <w:r w:rsidRPr="00992C45">
        <w:t> </w:t>
      </w:r>
    </w:p>
    <w:p w14:paraId="1932CDCB" w14:textId="77777777" w:rsidR="00992C45" w:rsidRPr="00992C45" w:rsidRDefault="00992C45" w:rsidP="0028398D">
      <w:pPr>
        <w:spacing w:after="240" w:line="240" w:lineRule="auto"/>
        <w:jc w:val="both"/>
      </w:pPr>
      <w:r w:rsidRPr="00992C45">
        <w:rPr>
          <w:lang w:val="en-US"/>
        </w:rPr>
        <w:t xml:space="preserve">Crawford, Patricia, </w:t>
      </w:r>
      <w:r w:rsidRPr="00992C45">
        <w:rPr>
          <w:i/>
          <w:iCs/>
          <w:lang w:val="en-US"/>
        </w:rPr>
        <w:t xml:space="preserve">Blood, Bodies and Families in Early Modern England, </w:t>
      </w:r>
      <w:r w:rsidRPr="00992C45">
        <w:rPr>
          <w:lang w:val="en-US"/>
        </w:rPr>
        <w:t>(Abingdon, 2004)</w:t>
      </w:r>
      <w:r w:rsidRPr="00992C45">
        <w:t> </w:t>
      </w:r>
    </w:p>
    <w:p w14:paraId="4D0DA7E2" w14:textId="77777777" w:rsidR="00992C45" w:rsidRPr="00992C45" w:rsidRDefault="00992C45" w:rsidP="0028398D">
      <w:pPr>
        <w:spacing w:after="240" w:line="240" w:lineRule="auto"/>
        <w:jc w:val="both"/>
      </w:pPr>
      <w:r w:rsidRPr="00992C45">
        <w:rPr>
          <w:lang w:val="en-US"/>
        </w:rPr>
        <w:t xml:space="preserve">Cressy, </w:t>
      </w:r>
      <w:proofErr w:type="gramStart"/>
      <w:r w:rsidRPr="00992C45">
        <w:rPr>
          <w:lang w:val="en-US"/>
        </w:rPr>
        <w:t>David, ‘</w:t>
      </w:r>
      <w:proofErr w:type="gramEnd"/>
      <w:r w:rsidRPr="00992C45">
        <w:rPr>
          <w:lang w:val="en-US"/>
        </w:rPr>
        <w:t xml:space="preserve">Books as totems in seventeenth-century England and New England’, </w:t>
      </w:r>
      <w:r w:rsidRPr="00992C45">
        <w:rPr>
          <w:i/>
          <w:iCs/>
          <w:lang w:val="en-US"/>
        </w:rPr>
        <w:t xml:space="preserve">The Journal of Library History, </w:t>
      </w:r>
      <w:r w:rsidRPr="00992C45">
        <w:rPr>
          <w:lang w:val="en-US"/>
        </w:rPr>
        <w:t>Vol. 21, No. 1, (1986), pp.92-106</w:t>
      </w:r>
      <w:r w:rsidRPr="00992C45">
        <w:t> </w:t>
      </w:r>
    </w:p>
    <w:p w14:paraId="1FEE595A" w14:textId="77777777" w:rsidR="00992C45" w:rsidRPr="00992C45" w:rsidRDefault="00992C45" w:rsidP="0028398D">
      <w:pPr>
        <w:spacing w:after="240" w:line="240" w:lineRule="auto"/>
        <w:jc w:val="both"/>
      </w:pPr>
      <w:r w:rsidRPr="00992C45">
        <w:rPr>
          <w:lang w:val="en-US"/>
        </w:rPr>
        <w:t xml:space="preserve">Cressy, </w:t>
      </w:r>
      <w:proofErr w:type="gramStart"/>
      <w:r w:rsidRPr="00992C45">
        <w:rPr>
          <w:lang w:val="en-US"/>
        </w:rPr>
        <w:t>David, ‘</w:t>
      </w:r>
      <w:proofErr w:type="gramEnd"/>
      <w:r w:rsidRPr="00992C45">
        <w:rPr>
          <w:lang w:val="en-US"/>
        </w:rPr>
        <w:t xml:space="preserve">Kinship and kin interaction in early modern England’, </w:t>
      </w:r>
      <w:r w:rsidRPr="00992C45">
        <w:rPr>
          <w:i/>
          <w:iCs/>
          <w:lang w:val="en-US"/>
        </w:rPr>
        <w:t xml:space="preserve">Past &amp; Present, </w:t>
      </w:r>
      <w:r w:rsidRPr="00992C45">
        <w:rPr>
          <w:lang w:val="en-US"/>
        </w:rPr>
        <w:t>No. 113, (1986), pp.38-69</w:t>
      </w:r>
      <w:r w:rsidRPr="00992C45">
        <w:t> </w:t>
      </w:r>
    </w:p>
    <w:p w14:paraId="15E699C7" w14:textId="77777777" w:rsidR="00992C45" w:rsidRPr="00992C45" w:rsidRDefault="00992C45" w:rsidP="0028398D">
      <w:pPr>
        <w:spacing w:after="240" w:line="240" w:lineRule="auto"/>
        <w:jc w:val="both"/>
      </w:pPr>
      <w:r w:rsidRPr="00992C45">
        <w:rPr>
          <w:lang w:val="fr-FR"/>
        </w:rPr>
        <w:t>Cressy, David, ‘</w:t>
      </w:r>
      <w:proofErr w:type="spellStart"/>
      <w:r w:rsidRPr="00992C45">
        <w:rPr>
          <w:lang w:val="fr-FR"/>
        </w:rPr>
        <w:t>Literacy</w:t>
      </w:r>
      <w:proofErr w:type="spellEnd"/>
      <w:r w:rsidRPr="00992C45">
        <w:rPr>
          <w:lang w:val="fr-FR"/>
        </w:rPr>
        <w:t xml:space="preserve"> in </w:t>
      </w:r>
      <w:proofErr w:type="spellStart"/>
      <w:proofErr w:type="gramStart"/>
      <w:r w:rsidRPr="00992C45">
        <w:rPr>
          <w:lang w:val="fr-FR"/>
        </w:rPr>
        <w:t>context</w:t>
      </w:r>
      <w:proofErr w:type="spellEnd"/>
      <w:r w:rsidRPr="00992C45">
        <w:rPr>
          <w:lang w:val="fr-FR"/>
        </w:rPr>
        <w:t>:</w:t>
      </w:r>
      <w:proofErr w:type="gramEnd"/>
      <w:r w:rsidRPr="00992C45">
        <w:rPr>
          <w:lang w:val="fr-FR"/>
        </w:rPr>
        <w:t xml:space="preserve"> </w:t>
      </w:r>
      <w:proofErr w:type="spellStart"/>
      <w:r w:rsidRPr="00992C45">
        <w:rPr>
          <w:lang w:val="fr-FR"/>
        </w:rPr>
        <w:t>meaning</w:t>
      </w:r>
      <w:proofErr w:type="spellEnd"/>
      <w:r w:rsidRPr="00992C45">
        <w:rPr>
          <w:lang w:val="fr-FR"/>
        </w:rPr>
        <w:t xml:space="preserve"> and </w:t>
      </w:r>
      <w:proofErr w:type="spellStart"/>
      <w:r w:rsidRPr="00992C45">
        <w:rPr>
          <w:lang w:val="fr-FR"/>
        </w:rPr>
        <w:t>measurement</w:t>
      </w:r>
      <w:proofErr w:type="spellEnd"/>
      <w:r w:rsidRPr="00992C45">
        <w:rPr>
          <w:lang w:val="fr-FR"/>
        </w:rPr>
        <w:t xml:space="preserve"> in </w:t>
      </w:r>
      <w:proofErr w:type="spellStart"/>
      <w:r w:rsidRPr="00992C45">
        <w:rPr>
          <w:lang w:val="fr-FR"/>
        </w:rPr>
        <w:t>early</w:t>
      </w:r>
      <w:proofErr w:type="spellEnd"/>
      <w:r w:rsidRPr="00992C45">
        <w:rPr>
          <w:lang w:val="fr-FR"/>
        </w:rPr>
        <w:t xml:space="preserve"> modern </w:t>
      </w:r>
      <w:proofErr w:type="spellStart"/>
      <w:r w:rsidRPr="00992C45">
        <w:rPr>
          <w:lang w:val="fr-FR"/>
        </w:rPr>
        <w:t>England</w:t>
      </w:r>
      <w:proofErr w:type="spellEnd"/>
      <w:r w:rsidRPr="00992C45">
        <w:rPr>
          <w:lang w:val="fr-FR"/>
        </w:rPr>
        <w:t>’, in John Brewer and Roy Porter (</w:t>
      </w:r>
      <w:proofErr w:type="spellStart"/>
      <w:r w:rsidRPr="00992C45">
        <w:rPr>
          <w:lang w:val="fr-FR"/>
        </w:rPr>
        <w:t>eds</w:t>
      </w:r>
      <w:proofErr w:type="spellEnd"/>
      <w:r w:rsidRPr="00992C45">
        <w:rPr>
          <w:lang w:val="fr-FR"/>
        </w:rPr>
        <w:t xml:space="preserve">), </w:t>
      </w:r>
      <w:proofErr w:type="spellStart"/>
      <w:r w:rsidRPr="00992C45">
        <w:rPr>
          <w:i/>
          <w:iCs/>
          <w:lang w:val="fr-FR"/>
        </w:rPr>
        <w:t>Consumption</w:t>
      </w:r>
      <w:proofErr w:type="spellEnd"/>
      <w:r w:rsidRPr="00992C45">
        <w:rPr>
          <w:i/>
          <w:iCs/>
          <w:lang w:val="fr-FR"/>
        </w:rPr>
        <w:t xml:space="preserve"> and the World of </w:t>
      </w:r>
      <w:proofErr w:type="spellStart"/>
      <w:r w:rsidRPr="00992C45">
        <w:rPr>
          <w:i/>
          <w:iCs/>
          <w:lang w:val="fr-FR"/>
        </w:rPr>
        <w:t>Goods</w:t>
      </w:r>
      <w:proofErr w:type="spellEnd"/>
      <w:r w:rsidRPr="00992C45">
        <w:rPr>
          <w:i/>
          <w:iCs/>
          <w:lang w:val="fr-FR"/>
        </w:rPr>
        <w:t xml:space="preserve">, </w:t>
      </w:r>
      <w:r w:rsidRPr="00992C45">
        <w:rPr>
          <w:lang w:val="fr-FR"/>
        </w:rPr>
        <w:t>(</w:t>
      </w:r>
      <w:proofErr w:type="spellStart"/>
      <w:r w:rsidRPr="00992C45">
        <w:rPr>
          <w:lang w:val="fr-FR"/>
        </w:rPr>
        <w:t>Abingdon</w:t>
      </w:r>
      <w:proofErr w:type="spellEnd"/>
      <w:r w:rsidRPr="00992C45">
        <w:rPr>
          <w:lang w:val="fr-FR"/>
        </w:rPr>
        <w:t>, 1994), pp.305-319</w:t>
      </w:r>
      <w:r w:rsidRPr="00992C45">
        <w:t> </w:t>
      </w:r>
    </w:p>
    <w:p w14:paraId="4AA63717" w14:textId="77777777" w:rsidR="00992C45" w:rsidRPr="00992C45" w:rsidRDefault="00992C45" w:rsidP="0028398D">
      <w:pPr>
        <w:spacing w:after="240" w:line="240" w:lineRule="auto"/>
        <w:jc w:val="both"/>
      </w:pPr>
      <w:r w:rsidRPr="00992C45">
        <w:rPr>
          <w:lang w:val="fr-FR"/>
        </w:rPr>
        <w:t xml:space="preserve">Cressy, David, </w:t>
      </w:r>
      <w:r w:rsidRPr="00992C45">
        <w:rPr>
          <w:i/>
          <w:iCs/>
          <w:lang w:val="fr-FR"/>
        </w:rPr>
        <w:t xml:space="preserve">Birth, </w:t>
      </w:r>
      <w:proofErr w:type="spellStart"/>
      <w:r w:rsidRPr="00992C45">
        <w:rPr>
          <w:i/>
          <w:iCs/>
          <w:lang w:val="fr-FR"/>
        </w:rPr>
        <w:t>Marriage</w:t>
      </w:r>
      <w:proofErr w:type="spellEnd"/>
      <w:r w:rsidRPr="00992C45">
        <w:rPr>
          <w:i/>
          <w:iCs/>
          <w:lang w:val="fr-FR"/>
        </w:rPr>
        <w:t xml:space="preserve"> &amp; </w:t>
      </w:r>
      <w:proofErr w:type="spellStart"/>
      <w:proofErr w:type="gramStart"/>
      <w:r w:rsidRPr="00992C45">
        <w:rPr>
          <w:i/>
          <w:iCs/>
          <w:lang w:val="fr-FR"/>
        </w:rPr>
        <w:t>Death</w:t>
      </w:r>
      <w:proofErr w:type="spellEnd"/>
      <w:r w:rsidRPr="00992C45">
        <w:rPr>
          <w:i/>
          <w:iCs/>
          <w:lang w:val="fr-FR"/>
        </w:rPr>
        <w:t>:</w:t>
      </w:r>
      <w:proofErr w:type="gramEnd"/>
      <w:r w:rsidRPr="00992C45">
        <w:rPr>
          <w:i/>
          <w:iCs/>
          <w:lang w:val="fr-FR"/>
        </w:rPr>
        <w:t xml:space="preserve"> </w:t>
      </w:r>
      <w:proofErr w:type="spellStart"/>
      <w:r w:rsidRPr="00992C45">
        <w:rPr>
          <w:i/>
          <w:iCs/>
          <w:lang w:val="fr-FR"/>
        </w:rPr>
        <w:t>Ritual</w:t>
      </w:r>
      <w:proofErr w:type="spellEnd"/>
      <w:r w:rsidRPr="00992C45">
        <w:rPr>
          <w:i/>
          <w:iCs/>
          <w:lang w:val="fr-FR"/>
        </w:rPr>
        <w:t xml:space="preserve">, Religion, and the Life-Cycle in Tudor and Stuart </w:t>
      </w:r>
      <w:proofErr w:type="spellStart"/>
      <w:r w:rsidRPr="00992C45">
        <w:rPr>
          <w:i/>
          <w:iCs/>
          <w:lang w:val="fr-FR"/>
        </w:rPr>
        <w:t>England</w:t>
      </w:r>
      <w:proofErr w:type="spellEnd"/>
      <w:r w:rsidRPr="00992C45">
        <w:rPr>
          <w:i/>
          <w:iCs/>
          <w:lang w:val="fr-FR"/>
        </w:rPr>
        <w:t xml:space="preserve">, </w:t>
      </w:r>
      <w:r w:rsidRPr="00992C45">
        <w:rPr>
          <w:lang w:val="fr-FR"/>
        </w:rPr>
        <w:t>(Oxford, 1997)</w:t>
      </w:r>
      <w:r w:rsidRPr="00992C45">
        <w:t> </w:t>
      </w:r>
    </w:p>
    <w:p w14:paraId="659C585A" w14:textId="77777777" w:rsidR="00992C45" w:rsidRPr="00992C45" w:rsidRDefault="00992C45" w:rsidP="0028398D">
      <w:pPr>
        <w:spacing w:after="240" w:line="240" w:lineRule="auto"/>
        <w:jc w:val="both"/>
      </w:pPr>
      <w:r w:rsidRPr="00992C45">
        <w:rPr>
          <w:lang w:val="fr-FR"/>
        </w:rPr>
        <w:t xml:space="preserve">Cressy, David, </w:t>
      </w:r>
      <w:proofErr w:type="spellStart"/>
      <w:r w:rsidRPr="00992C45">
        <w:rPr>
          <w:i/>
          <w:iCs/>
          <w:lang w:val="fr-FR"/>
        </w:rPr>
        <w:t>Literacy</w:t>
      </w:r>
      <w:proofErr w:type="spellEnd"/>
      <w:r w:rsidRPr="00992C45">
        <w:rPr>
          <w:i/>
          <w:iCs/>
          <w:lang w:val="fr-FR"/>
        </w:rPr>
        <w:t xml:space="preserve"> and the Social </w:t>
      </w:r>
      <w:proofErr w:type="spellStart"/>
      <w:proofErr w:type="gramStart"/>
      <w:r w:rsidRPr="00992C45">
        <w:rPr>
          <w:i/>
          <w:iCs/>
          <w:lang w:val="fr-FR"/>
        </w:rPr>
        <w:t>Order</w:t>
      </w:r>
      <w:proofErr w:type="spellEnd"/>
      <w:r w:rsidRPr="00992C45">
        <w:rPr>
          <w:i/>
          <w:iCs/>
          <w:lang w:val="fr-FR"/>
        </w:rPr>
        <w:t>:</w:t>
      </w:r>
      <w:proofErr w:type="gramEnd"/>
      <w:r w:rsidRPr="00992C45">
        <w:rPr>
          <w:i/>
          <w:iCs/>
          <w:lang w:val="fr-FR"/>
        </w:rPr>
        <w:t xml:space="preserve"> Reading and </w:t>
      </w:r>
      <w:proofErr w:type="spellStart"/>
      <w:r w:rsidRPr="00992C45">
        <w:rPr>
          <w:i/>
          <w:iCs/>
          <w:lang w:val="fr-FR"/>
        </w:rPr>
        <w:t>Writing</w:t>
      </w:r>
      <w:proofErr w:type="spellEnd"/>
      <w:r w:rsidRPr="00992C45">
        <w:rPr>
          <w:i/>
          <w:iCs/>
          <w:lang w:val="fr-FR"/>
        </w:rPr>
        <w:t xml:space="preserve"> in Tudor and Stuart </w:t>
      </w:r>
      <w:proofErr w:type="spellStart"/>
      <w:r w:rsidRPr="00992C45">
        <w:rPr>
          <w:i/>
          <w:iCs/>
          <w:lang w:val="fr-FR"/>
        </w:rPr>
        <w:t>England</w:t>
      </w:r>
      <w:proofErr w:type="spellEnd"/>
      <w:r w:rsidRPr="00992C45">
        <w:rPr>
          <w:i/>
          <w:iCs/>
          <w:lang w:val="fr-FR"/>
        </w:rPr>
        <w:t>,</w:t>
      </w:r>
      <w:r w:rsidRPr="00992C45">
        <w:rPr>
          <w:lang w:val="fr-FR"/>
        </w:rPr>
        <w:t xml:space="preserve"> (Cambridge, 1980)</w:t>
      </w:r>
      <w:r w:rsidRPr="00992C45">
        <w:t> </w:t>
      </w:r>
    </w:p>
    <w:p w14:paraId="39F65D39" w14:textId="77777777" w:rsidR="00992C45" w:rsidRPr="00992C45" w:rsidRDefault="00992C45" w:rsidP="0028398D">
      <w:pPr>
        <w:spacing w:after="240" w:line="240" w:lineRule="auto"/>
        <w:jc w:val="both"/>
      </w:pPr>
      <w:r w:rsidRPr="00992C45">
        <w:rPr>
          <w:lang w:val="en-US"/>
        </w:rPr>
        <w:t xml:space="preserve">Crossland, </w:t>
      </w:r>
      <w:proofErr w:type="gramStart"/>
      <w:r w:rsidRPr="00992C45">
        <w:rPr>
          <w:lang w:val="en-US"/>
        </w:rPr>
        <w:t>Zoe, ‘</w:t>
      </w:r>
      <w:proofErr w:type="gramEnd"/>
      <w:r w:rsidRPr="00992C45">
        <w:rPr>
          <w:lang w:val="en-US"/>
        </w:rPr>
        <w:t xml:space="preserve">Materiality and embodiment’, in Dan Hicks and Mary C. Beaudry (eds), </w:t>
      </w:r>
      <w:r w:rsidRPr="00992C45">
        <w:rPr>
          <w:i/>
          <w:iCs/>
          <w:lang w:val="en-US"/>
        </w:rPr>
        <w:t>The Oxford Handbook of Material Culture Studies</w:t>
      </w:r>
      <w:r w:rsidRPr="00992C45">
        <w:rPr>
          <w:lang w:val="en-US"/>
        </w:rPr>
        <w:t>, (Oxford, 2010), pp.386-405</w:t>
      </w:r>
      <w:r w:rsidRPr="00992C45">
        <w:t> </w:t>
      </w:r>
    </w:p>
    <w:p w14:paraId="3B631618" w14:textId="77777777" w:rsidR="00992C45" w:rsidRPr="00992C45" w:rsidRDefault="00992C45" w:rsidP="0028398D">
      <w:pPr>
        <w:spacing w:after="240" w:line="240" w:lineRule="auto"/>
        <w:jc w:val="both"/>
      </w:pPr>
      <w:r w:rsidRPr="00992C45">
        <w:rPr>
          <w:lang w:val="en-US"/>
        </w:rPr>
        <w:t xml:space="preserve">Crozier, Mary, </w:t>
      </w:r>
      <w:r w:rsidRPr="00992C45">
        <w:rPr>
          <w:i/>
          <w:iCs/>
          <w:lang w:val="en-US"/>
        </w:rPr>
        <w:t xml:space="preserve">An Old Silk Family, 1745-1945: The Brocklehursts of Brocklehurst-Whiston Amalgamated Limited, </w:t>
      </w:r>
      <w:r w:rsidRPr="00992C45">
        <w:rPr>
          <w:lang w:val="en-US"/>
        </w:rPr>
        <w:t>(Aberdeen, 1947)</w:t>
      </w:r>
      <w:r w:rsidRPr="00992C45">
        <w:t> </w:t>
      </w:r>
    </w:p>
    <w:p w14:paraId="63536E02" w14:textId="77777777" w:rsidR="00992C45" w:rsidRPr="00992C45" w:rsidRDefault="00992C45" w:rsidP="0028398D">
      <w:pPr>
        <w:spacing w:after="240" w:line="240" w:lineRule="auto"/>
        <w:jc w:val="both"/>
      </w:pPr>
      <w:proofErr w:type="spellStart"/>
      <w:r w:rsidRPr="00992C45">
        <w:rPr>
          <w:lang w:val="en-US"/>
        </w:rPr>
        <w:t>Cunnisson</w:t>
      </w:r>
      <w:proofErr w:type="spellEnd"/>
      <w:r w:rsidRPr="00992C45">
        <w:rPr>
          <w:lang w:val="en-US"/>
        </w:rPr>
        <w:t xml:space="preserve">, Ian (trans.), Marcel Mauss, </w:t>
      </w:r>
      <w:r w:rsidRPr="00992C45">
        <w:rPr>
          <w:i/>
          <w:iCs/>
          <w:lang w:val="en-US"/>
        </w:rPr>
        <w:t xml:space="preserve">The Gift: Forms and Functions of Exchange in Archaic Societies, </w:t>
      </w:r>
      <w:r w:rsidRPr="00992C45">
        <w:rPr>
          <w:lang w:val="en-US"/>
        </w:rPr>
        <w:t>(New York, 1967)</w:t>
      </w:r>
      <w:r w:rsidRPr="00992C45">
        <w:t> </w:t>
      </w:r>
    </w:p>
    <w:p w14:paraId="12B03405" w14:textId="77777777" w:rsidR="00992C45" w:rsidRPr="00992C45" w:rsidRDefault="00992C45" w:rsidP="0028398D">
      <w:pPr>
        <w:spacing w:after="240" w:line="240" w:lineRule="auto"/>
        <w:jc w:val="both"/>
      </w:pPr>
      <w:r w:rsidRPr="00992C45">
        <w:rPr>
          <w:lang w:val="en-US"/>
        </w:rPr>
        <w:t xml:space="preserve">Davies, Lloyd, ‘Women’s wills in early modern England’, in Andrew Buck, Margaret Ferguson and Nency Wright (eds), </w:t>
      </w:r>
      <w:r w:rsidRPr="00992C45">
        <w:rPr>
          <w:i/>
          <w:iCs/>
          <w:lang w:val="en-US"/>
        </w:rPr>
        <w:t xml:space="preserve">Women, Property, and the Letters of the Law in Early Modern England, </w:t>
      </w:r>
      <w:r w:rsidRPr="00992C45">
        <w:rPr>
          <w:lang w:val="en-US"/>
        </w:rPr>
        <w:t>(Toronto, 2004), pp.220-236</w:t>
      </w:r>
      <w:r w:rsidRPr="00992C45">
        <w:t> </w:t>
      </w:r>
    </w:p>
    <w:p w14:paraId="0CC86FDF" w14:textId="77777777" w:rsidR="00992C45" w:rsidRPr="00992C45" w:rsidRDefault="00992C45" w:rsidP="0028398D">
      <w:pPr>
        <w:spacing w:after="240" w:line="240" w:lineRule="auto"/>
        <w:jc w:val="both"/>
      </w:pPr>
      <w:r w:rsidRPr="00992C45">
        <w:rPr>
          <w:lang w:val="en-US"/>
        </w:rPr>
        <w:t xml:space="preserve">Davies, Owen, ‘French charmers and their healing charms’, in Jonathan Roper (ed.), </w:t>
      </w:r>
      <w:r w:rsidRPr="00992C45">
        <w:rPr>
          <w:i/>
          <w:iCs/>
          <w:lang w:val="en-US"/>
        </w:rPr>
        <w:t xml:space="preserve">Charms and Charming in Europe, </w:t>
      </w:r>
      <w:r w:rsidRPr="00992C45">
        <w:rPr>
          <w:lang w:val="en-US"/>
        </w:rPr>
        <w:t>(Basingstoke, 2004), pp.91-112</w:t>
      </w:r>
      <w:r w:rsidRPr="00992C45">
        <w:t> </w:t>
      </w:r>
    </w:p>
    <w:p w14:paraId="00787F81" w14:textId="77777777" w:rsidR="00992C45" w:rsidRPr="00992C45" w:rsidRDefault="00992C45" w:rsidP="0028398D">
      <w:pPr>
        <w:spacing w:after="240" w:line="240" w:lineRule="auto"/>
        <w:jc w:val="both"/>
      </w:pPr>
      <w:r w:rsidRPr="00992C45">
        <w:rPr>
          <w:lang w:val="en-US"/>
        </w:rPr>
        <w:t xml:space="preserve">Daybell, James, </w:t>
      </w:r>
      <w:r w:rsidRPr="00992C45">
        <w:rPr>
          <w:i/>
          <w:iCs/>
          <w:lang w:val="en-US"/>
        </w:rPr>
        <w:t xml:space="preserve">The Material Letter in Early Modern England: Manuscript Letters and the Culture and Practices of Letter-Writing, 1512-1635, </w:t>
      </w:r>
      <w:r w:rsidRPr="00992C45">
        <w:rPr>
          <w:lang w:val="en-US"/>
        </w:rPr>
        <w:t>(Basingstoke, 2012)</w:t>
      </w:r>
      <w:r w:rsidRPr="00992C45">
        <w:t> </w:t>
      </w:r>
    </w:p>
    <w:p w14:paraId="29C021E6" w14:textId="77777777" w:rsidR="00992C45" w:rsidRPr="00992C45" w:rsidRDefault="00992C45" w:rsidP="0028398D">
      <w:pPr>
        <w:spacing w:after="240" w:line="240" w:lineRule="auto"/>
        <w:jc w:val="both"/>
      </w:pPr>
      <w:r w:rsidRPr="00992C45">
        <w:rPr>
          <w:lang w:val="en-US"/>
        </w:rPr>
        <w:t xml:space="preserve">Dolan, Alice and Sally Holloway, ‘Emotional textiles: an introduction’, </w:t>
      </w:r>
      <w:r w:rsidRPr="00992C45">
        <w:rPr>
          <w:i/>
          <w:iCs/>
          <w:lang w:val="en-US"/>
        </w:rPr>
        <w:t xml:space="preserve">Textile: Cloth and Culture, </w:t>
      </w:r>
      <w:r w:rsidRPr="00992C45">
        <w:rPr>
          <w:lang w:val="en-US"/>
        </w:rPr>
        <w:t>Vol. 14, No. 2, (2016), pp.152-159</w:t>
      </w:r>
      <w:r w:rsidRPr="00992C45">
        <w:t> </w:t>
      </w:r>
    </w:p>
    <w:p w14:paraId="4AE14A93" w14:textId="77777777" w:rsidR="00992C45" w:rsidRPr="00992C45" w:rsidRDefault="00992C45" w:rsidP="0028398D">
      <w:pPr>
        <w:spacing w:after="240" w:line="240" w:lineRule="auto"/>
        <w:jc w:val="both"/>
      </w:pPr>
      <w:r w:rsidRPr="00992C45">
        <w:rPr>
          <w:lang w:val="en-US"/>
        </w:rPr>
        <w:t xml:space="preserve">Dolan, </w:t>
      </w:r>
      <w:proofErr w:type="gramStart"/>
      <w:r w:rsidRPr="00992C45">
        <w:rPr>
          <w:lang w:val="en-US"/>
        </w:rPr>
        <w:t>Alice, ‘</w:t>
      </w:r>
      <w:proofErr w:type="gramEnd"/>
      <w:r w:rsidRPr="00992C45">
        <w:rPr>
          <w:lang w:val="en-US"/>
        </w:rPr>
        <w:t xml:space="preserve">Touching linen: textiles, emotion and bodily intimacy in England c.1708-1818’, </w:t>
      </w:r>
      <w:r w:rsidRPr="00992C45">
        <w:rPr>
          <w:i/>
          <w:iCs/>
          <w:lang w:val="en-US"/>
        </w:rPr>
        <w:t>Cultural and Social History</w:t>
      </w:r>
      <w:r w:rsidRPr="00992C45">
        <w:rPr>
          <w:lang w:val="en-US"/>
        </w:rPr>
        <w:t>, Vol. 16, No. 2, (2019), pp.145-164</w:t>
      </w:r>
      <w:r w:rsidRPr="00992C45">
        <w:t> </w:t>
      </w:r>
    </w:p>
    <w:p w14:paraId="3FF6BC76" w14:textId="77777777" w:rsidR="00992C45" w:rsidRPr="00992C45" w:rsidRDefault="00992C45" w:rsidP="0028398D">
      <w:pPr>
        <w:spacing w:after="240" w:line="240" w:lineRule="auto"/>
        <w:jc w:val="both"/>
      </w:pPr>
      <w:r w:rsidRPr="00992C45">
        <w:rPr>
          <w:lang w:val="en-US"/>
        </w:rPr>
        <w:lastRenderedPageBreak/>
        <w:t xml:space="preserve">Downes, Stephanie, Sally Holloway and Sarah Randles (eds), </w:t>
      </w:r>
      <w:r w:rsidRPr="00992C45">
        <w:rPr>
          <w:i/>
          <w:iCs/>
          <w:lang w:val="en-US"/>
        </w:rPr>
        <w:t xml:space="preserve">Feeling Things: Objects and Emotions through History, </w:t>
      </w:r>
      <w:r w:rsidRPr="00992C45">
        <w:rPr>
          <w:lang w:val="en-US"/>
        </w:rPr>
        <w:t>(Oxford, 2018)</w:t>
      </w:r>
      <w:r w:rsidRPr="00992C45">
        <w:t> </w:t>
      </w:r>
    </w:p>
    <w:p w14:paraId="77A8CEEF" w14:textId="77777777" w:rsidR="00992C45" w:rsidRPr="00992C45" w:rsidRDefault="00992C45" w:rsidP="0028398D">
      <w:pPr>
        <w:spacing w:after="240" w:line="240" w:lineRule="auto"/>
        <w:jc w:val="both"/>
      </w:pPr>
      <w:r w:rsidRPr="00992C45">
        <w:rPr>
          <w:lang w:val="en-US"/>
        </w:rPr>
        <w:t xml:space="preserve">Duck, </w:t>
      </w:r>
      <w:proofErr w:type="gramStart"/>
      <w:r w:rsidRPr="00992C45">
        <w:rPr>
          <w:lang w:val="en-US"/>
        </w:rPr>
        <w:t>Jonathan, ‘</w:t>
      </w:r>
      <w:proofErr w:type="gramEnd"/>
      <w:r w:rsidRPr="00992C45">
        <w:rPr>
          <w:lang w:val="en-US"/>
        </w:rPr>
        <w:t xml:space="preserve">The domestic, ritual use of ‘salt niches’ in southern and eastern England, c.1500 to 1700 AD’, in Liz Thomas and Jill Campbell (eds), </w:t>
      </w:r>
      <w:r w:rsidRPr="00992C45">
        <w:rPr>
          <w:i/>
          <w:iCs/>
          <w:lang w:val="en-US"/>
        </w:rPr>
        <w:t xml:space="preserve">Buildings in Society: International Studies in the Historic Era, </w:t>
      </w:r>
      <w:r w:rsidRPr="00992C45">
        <w:rPr>
          <w:lang w:val="en-US"/>
        </w:rPr>
        <w:t>(Oxford, 2018), pp.9-23</w:t>
      </w:r>
      <w:r w:rsidRPr="00992C45">
        <w:t> </w:t>
      </w:r>
    </w:p>
    <w:p w14:paraId="22179F63" w14:textId="77777777" w:rsidR="00992C45" w:rsidRPr="00992C45" w:rsidRDefault="00992C45" w:rsidP="0028398D">
      <w:pPr>
        <w:spacing w:after="240" w:line="240" w:lineRule="auto"/>
        <w:jc w:val="both"/>
      </w:pPr>
      <w:r w:rsidRPr="00992C45">
        <w:rPr>
          <w:lang w:val="en-US"/>
        </w:rPr>
        <w:t xml:space="preserve">Easton, Timothy, ‘Apotropaic symbols and other measures for protecting buildings against misfortune’, in Ronald Hutton (ed.), </w:t>
      </w:r>
      <w:r w:rsidRPr="00992C45">
        <w:rPr>
          <w:i/>
          <w:iCs/>
          <w:lang w:val="en-US"/>
        </w:rPr>
        <w:t xml:space="preserve">Physical Evidence for Ritual Acts, Sorcery and Witchcraft in Christian Britain: A Feeling for Magic, </w:t>
      </w:r>
      <w:r w:rsidRPr="00992C45">
        <w:rPr>
          <w:lang w:val="en-US"/>
        </w:rPr>
        <w:t>(London, 2015),</w:t>
      </w:r>
      <w:r w:rsidRPr="00992C45">
        <w:rPr>
          <w:i/>
          <w:iCs/>
          <w:lang w:val="en-US"/>
        </w:rPr>
        <w:t xml:space="preserve"> </w:t>
      </w:r>
      <w:r w:rsidRPr="00992C45">
        <w:rPr>
          <w:lang w:val="en-US"/>
        </w:rPr>
        <w:t>pp.39-67</w:t>
      </w:r>
      <w:r w:rsidRPr="00992C45">
        <w:t> </w:t>
      </w:r>
    </w:p>
    <w:p w14:paraId="7F4A567A" w14:textId="77777777" w:rsidR="00992C45" w:rsidRPr="00992C45" w:rsidRDefault="00992C45" w:rsidP="0028398D">
      <w:pPr>
        <w:spacing w:after="240" w:line="240" w:lineRule="auto"/>
        <w:jc w:val="both"/>
      </w:pPr>
      <w:r w:rsidRPr="00992C45">
        <w:rPr>
          <w:lang w:val="en-US"/>
        </w:rPr>
        <w:t xml:space="preserve">Easton, Timothy, ‘Parallel worlds: barns and scribed circles’, </w:t>
      </w:r>
      <w:r w:rsidRPr="00992C45">
        <w:rPr>
          <w:i/>
          <w:iCs/>
          <w:lang w:val="en-US"/>
        </w:rPr>
        <w:t xml:space="preserve">Magazine of the Society for the Protection of Ancient Buildings, </w:t>
      </w:r>
      <w:r w:rsidRPr="00992C45">
        <w:rPr>
          <w:lang w:val="en-US"/>
        </w:rPr>
        <w:t>(Winter 2016), pp.42-49</w:t>
      </w:r>
      <w:r w:rsidRPr="00992C45">
        <w:t> </w:t>
      </w:r>
    </w:p>
    <w:p w14:paraId="61E48B64" w14:textId="77777777" w:rsidR="00992C45" w:rsidRPr="00992C45" w:rsidRDefault="00992C45" w:rsidP="0028398D">
      <w:pPr>
        <w:spacing w:after="240" w:line="240" w:lineRule="auto"/>
        <w:jc w:val="both"/>
      </w:pPr>
      <w:proofErr w:type="spellStart"/>
      <w:r w:rsidRPr="00992C45">
        <w:rPr>
          <w:lang w:val="fr-FR"/>
        </w:rPr>
        <w:t>Eliav-Feldon</w:t>
      </w:r>
      <w:proofErr w:type="spellEnd"/>
      <w:r w:rsidRPr="00992C45">
        <w:rPr>
          <w:lang w:val="fr-FR"/>
        </w:rPr>
        <w:t xml:space="preserve">, Miriam, ‘Introduction’, in Miriam </w:t>
      </w:r>
      <w:proofErr w:type="spellStart"/>
      <w:r w:rsidRPr="00992C45">
        <w:rPr>
          <w:lang w:val="fr-FR"/>
        </w:rPr>
        <w:t>Eliav-Feldon</w:t>
      </w:r>
      <w:proofErr w:type="spellEnd"/>
      <w:r w:rsidRPr="00992C45">
        <w:rPr>
          <w:lang w:val="fr-FR"/>
        </w:rPr>
        <w:t xml:space="preserve"> and Tamar </w:t>
      </w:r>
      <w:proofErr w:type="spellStart"/>
      <w:r w:rsidRPr="00992C45">
        <w:rPr>
          <w:lang w:val="fr-FR"/>
        </w:rPr>
        <w:t>Herzig</w:t>
      </w:r>
      <w:proofErr w:type="spellEnd"/>
      <w:r w:rsidRPr="00992C45">
        <w:rPr>
          <w:lang w:val="fr-FR"/>
        </w:rPr>
        <w:t xml:space="preserve">, </w:t>
      </w:r>
      <w:r w:rsidRPr="00992C45">
        <w:rPr>
          <w:i/>
          <w:iCs/>
          <w:lang w:val="fr-FR"/>
        </w:rPr>
        <w:t xml:space="preserve">Dissimulation and </w:t>
      </w:r>
      <w:proofErr w:type="spellStart"/>
      <w:r w:rsidRPr="00992C45">
        <w:rPr>
          <w:i/>
          <w:iCs/>
          <w:lang w:val="fr-FR"/>
        </w:rPr>
        <w:t>Deceit</w:t>
      </w:r>
      <w:proofErr w:type="spellEnd"/>
      <w:r w:rsidRPr="00992C45">
        <w:rPr>
          <w:i/>
          <w:iCs/>
          <w:lang w:val="fr-FR"/>
        </w:rPr>
        <w:t xml:space="preserve"> in </w:t>
      </w:r>
      <w:proofErr w:type="spellStart"/>
      <w:r w:rsidRPr="00992C45">
        <w:rPr>
          <w:i/>
          <w:iCs/>
          <w:lang w:val="fr-FR"/>
        </w:rPr>
        <w:t>Early</w:t>
      </w:r>
      <w:proofErr w:type="spellEnd"/>
      <w:r w:rsidRPr="00992C45">
        <w:rPr>
          <w:i/>
          <w:iCs/>
          <w:lang w:val="fr-FR"/>
        </w:rPr>
        <w:t xml:space="preserve"> Modern Europe</w:t>
      </w:r>
      <w:r w:rsidRPr="00992C45">
        <w:rPr>
          <w:lang w:val="fr-FR"/>
        </w:rPr>
        <w:t>, (London, 2015)</w:t>
      </w:r>
      <w:r w:rsidRPr="00992C45">
        <w:t> </w:t>
      </w:r>
    </w:p>
    <w:p w14:paraId="17C46BF3" w14:textId="77777777" w:rsidR="00992C45" w:rsidRPr="00992C45" w:rsidRDefault="00992C45" w:rsidP="0028398D">
      <w:pPr>
        <w:spacing w:after="240" w:line="240" w:lineRule="auto"/>
        <w:jc w:val="both"/>
      </w:pPr>
      <w:r w:rsidRPr="00992C45">
        <w:rPr>
          <w:lang w:val="en-US"/>
        </w:rPr>
        <w:t xml:space="preserve">Entwistle, Kenneth, </w:t>
      </w:r>
      <w:r w:rsidRPr="00992C45">
        <w:rPr>
          <w:i/>
          <w:iCs/>
          <w:lang w:val="en-US"/>
        </w:rPr>
        <w:t xml:space="preserve">From </w:t>
      </w:r>
      <w:proofErr w:type="spellStart"/>
      <w:r w:rsidRPr="00992C45">
        <w:rPr>
          <w:i/>
          <w:iCs/>
          <w:lang w:val="en-US"/>
        </w:rPr>
        <w:t>Bodeltone</w:t>
      </w:r>
      <w:proofErr w:type="spellEnd"/>
      <w:r w:rsidRPr="00992C45">
        <w:rPr>
          <w:i/>
          <w:iCs/>
          <w:lang w:val="en-US"/>
        </w:rPr>
        <w:t xml:space="preserve"> to Bolton-le-Sands</w:t>
      </w:r>
      <w:r w:rsidRPr="00992C45">
        <w:rPr>
          <w:lang w:val="en-US"/>
        </w:rPr>
        <w:t>, (London, 1982)</w:t>
      </w:r>
      <w:r w:rsidRPr="00992C45">
        <w:t> </w:t>
      </w:r>
    </w:p>
    <w:p w14:paraId="656DFCFA" w14:textId="77777777" w:rsidR="00992C45" w:rsidRPr="00992C45" w:rsidRDefault="00992C45" w:rsidP="0028398D">
      <w:pPr>
        <w:spacing w:after="240" w:line="240" w:lineRule="auto"/>
        <w:jc w:val="both"/>
      </w:pPr>
      <w:r w:rsidRPr="00992C45">
        <w:rPr>
          <w:lang w:val="en-US"/>
        </w:rPr>
        <w:t xml:space="preserve">Erickson, Amy Louise, ‘Possession – and the other one-tenth of the law: assessing women’s ownership and economic roles in early modern England’, </w:t>
      </w:r>
      <w:r w:rsidRPr="00992C45">
        <w:rPr>
          <w:i/>
          <w:iCs/>
          <w:lang w:val="en-US"/>
        </w:rPr>
        <w:t xml:space="preserve">Women’s History Review, </w:t>
      </w:r>
      <w:r w:rsidRPr="00992C45">
        <w:rPr>
          <w:lang w:val="en-US"/>
        </w:rPr>
        <w:t>Vol. 16, No. 3, (2007) pp.369-385</w:t>
      </w:r>
      <w:r w:rsidRPr="00992C45">
        <w:t> </w:t>
      </w:r>
    </w:p>
    <w:p w14:paraId="478EE966" w14:textId="77777777" w:rsidR="00992C45" w:rsidRPr="00992C45" w:rsidRDefault="00992C45" w:rsidP="0028398D">
      <w:pPr>
        <w:spacing w:after="240" w:line="240" w:lineRule="auto"/>
        <w:jc w:val="both"/>
      </w:pPr>
      <w:r w:rsidRPr="00992C45">
        <w:rPr>
          <w:lang w:val="en-US"/>
        </w:rPr>
        <w:t xml:space="preserve">Erickson, Amy </w:t>
      </w:r>
      <w:proofErr w:type="gramStart"/>
      <w:r w:rsidRPr="00992C45">
        <w:rPr>
          <w:lang w:val="en-US"/>
        </w:rPr>
        <w:t>Louise, ‘</w:t>
      </w:r>
      <w:proofErr w:type="gramEnd"/>
      <w:r w:rsidRPr="00992C45">
        <w:rPr>
          <w:lang w:val="en-US"/>
        </w:rPr>
        <w:t xml:space="preserve">Property and </w:t>
      </w:r>
      <w:proofErr w:type="gramStart"/>
      <w:r w:rsidRPr="00992C45">
        <w:rPr>
          <w:lang w:val="en-US"/>
        </w:rPr>
        <w:t>widowhood</w:t>
      </w:r>
      <w:proofErr w:type="gramEnd"/>
      <w:r w:rsidRPr="00992C45">
        <w:rPr>
          <w:lang w:val="en-US"/>
        </w:rPr>
        <w:t xml:space="preserve"> in England 1660-1840’, in Cavallo and Warner (eds), </w:t>
      </w:r>
      <w:r w:rsidRPr="00992C45">
        <w:rPr>
          <w:i/>
          <w:iCs/>
          <w:lang w:val="en-US"/>
        </w:rPr>
        <w:t xml:space="preserve">Widowhood, </w:t>
      </w:r>
      <w:r w:rsidRPr="00992C45">
        <w:rPr>
          <w:lang w:val="en-US"/>
        </w:rPr>
        <w:t>pp.145-163</w:t>
      </w:r>
      <w:r w:rsidRPr="00992C45">
        <w:t> </w:t>
      </w:r>
    </w:p>
    <w:p w14:paraId="509CBB15" w14:textId="77777777" w:rsidR="00992C45" w:rsidRPr="00992C45" w:rsidRDefault="00992C45" w:rsidP="0028398D">
      <w:pPr>
        <w:spacing w:after="240" w:line="240" w:lineRule="auto"/>
        <w:jc w:val="both"/>
      </w:pPr>
      <w:r w:rsidRPr="00992C45">
        <w:rPr>
          <w:lang w:val="fr-FR"/>
        </w:rPr>
        <w:t xml:space="preserve">Erickson, Amy Louise, </w:t>
      </w:r>
      <w:proofErr w:type="spellStart"/>
      <w:r w:rsidRPr="00992C45">
        <w:rPr>
          <w:i/>
          <w:iCs/>
          <w:lang w:val="fr-FR"/>
        </w:rPr>
        <w:t>Women</w:t>
      </w:r>
      <w:proofErr w:type="spellEnd"/>
      <w:r w:rsidRPr="00992C45">
        <w:rPr>
          <w:i/>
          <w:iCs/>
          <w:lang w:val="fr-FR"/>
        </w:rPr>
        <w:t xml:space="preserve"> and </w:t>
      </w:r>
      <w:proofErr w:type="spellStart"/>
      <w:r w:rsidRPr="00992C45">
        <w:rPr>
          <w:i/>
          <w:iCs/>
          <w:lang w:val="fr-FR"/>
        </w:rPr>
        <w:t>Property</w:t>
      </w:r>
      <w:proofErr w:type="spellEnd"/>
      <w:r w:rsidRPr="00992C45">
        <w:rPr>
          <w:i/>
          <w:iCs/>
          <w:lang w:val="fr-FR"/>
        </w:rPr>
        <w:t xml:space="preserve"> in </w:t>
      </w:r>
      <w:proofErr w:type="spellStart"/>
      <w:r w:rsidRPr="00992C45">
        <w:rPr>
          <w:i/>
          <w:iCs/>
          <w:lang w:val="fr-FR"/>
        </w:rPr>
        <w:t>Early</w:t>
      </w:r>
      <w:proofErr w:type="spellEnd"/>
      <w:r w:rsidRPr="00992C45">
        <w:rPr>
          <w:i/>
          <w:iCs/>
          <w:lang w:val="fr-FR"/>
        </w:rPr>
        <w:t xml:space="preserve"> Modern </w:t>
      </w:r>
      <w:proofErr w:type="spellStart"/>
      <w:r w:rsidRPr="00992C45">
        <w:rPr>
          <w:i/>
          <w:iCs/>
          <w:lang w:val="fr-FR"/>
        </w:rPr>
        <w:t>England</w:t>
      </w:r>
      <w:proofErr w:type="spellEnd"/>
      <w:r w:rsidRPr="00992C45">
        <w:rPr>
          <w:i/>
          <w:iCs/>
          <w:lang w:val="fr-FR"/>
        </w:rPr>
        <w:t xml:space="preserve">, </w:t>
      </w:r>
      <w:r w:rsidRPr="00992C45">
        <w:rPr>
          <w:lang w:val="fr-FR"/>
        </w:rPr>
        <w:t>(London, 1993)</w:t>
      </w:r>
      <w:r w:rsidRPr="00992C45">
        <w:t> </w:t>
      </w:r>
    </w:p>
    <w:p w14:paraId="27C1E3FB" w14:textId="77777777" w:rsidR="00992C45" w:rsidRPr="00992C45" w:rsidRDefault="00992C45" w:rsidP="0028398D">
      <w:pPr>
        <w:spacing w:after="240" w:line="240" w:lineRule="auto"/>
        <w:jc w:val="both"/>
      </w:pPr>
      <w:r w:rsidRPr="00992C45">
        <w:rPr>
          <w:lang w:val="en-US"/>
        </w:rPr>
        <w:t xml:space="preserve">Erickson, Robert A., </w:t>
      </w:r>
      <w:r w:rsidRPr="00992C45">
        <w:rPr>
          <w:i/>
          <w:iCs/>
          <w:lang w:val="en-US"/>
        </w:rPr>
        <w:t xml:space="preserve">The Language of the Heart, 1600-1750, </w:t>
      </w:r>
      <w:r w:rsidRPr="00992C45">
        <w:rPr>
          <w:lang w:val="en-US"/>
        </w:rPr>
        <w:t>(Pennsylvania, 1997)</w:t>
      </w:r>
      <w:r w:rsidRPr="00992C45">
        <w:t> </w:t>
      </w:r>
    </w:p>
    <w:p w14:paraId="5453D55F" w14:textId="77777777" w:rsidR="00992C45" w:rsidRPr="00992C45" w:rsidRDefault="00992C45" w:rsidP="0028398D">
      <w:pPr>
        <w:spacing w:after="240" w:line="240" w:lineRule="auto"/>
        <w:jc w:val="both"/>
      </w:pPr>
      <w:proofErr w:type="spellStart"/>
      <w:r w:rsidRPr="00992C45">
        <w:rPr>
          <w:lang w:val="en-US"/>
        </w:rPr>
        <w:t>Escolme</w:t>
      </w:r>
      <w:proofErr w:type="spellEnd"/>
      <w:r w:rsidRPr="00992C45">
        <w:rPr>
          <w:lang w:val="en-US"/>
        </w:rPr>
        <w:t xml:space="preserve">, R. D. (ed.), William Farrer, </w:t>
      </w:r>
      <w:r w:rsidRPr="00992C45">
        <w:rPr>
          <w:i/>
          <w:iCs/>
          <w:lang w:val="en-US"/>
        </w:rPr>
        <w:t xml:space="preserve">Old Over Kellet Houses, </w:t>
      </w:r>
      <w:r w:rsidRPr="00992C45">
        <w:rPr>
          <w:lang w:val="en-US"/>
        </w:rPr>
        <w:t>(Carnforth, 2003)</w:t>
      </w:r>
      <w:r w:rsidRPr="00992C45">
        <w:t> </w:t>
      </w:r>
    </w:p>
    <w:p w14:paraId="2F2D7867" w14:textId="77777777" w:rsidR="00992C45" w:rsidRPr="00992C45" w:rsidRDefault="00992C45" w:rsidP="0028398D">
      <w:pPr>
        <w:spacing w:after="240" w:line="240" w:lineRule="auto"/>
        <w:jc w:val="both"/>
      </w:pPr>
      <w:r w:rsidRPr="00992C45">
        <w:rPr>
          <w:lang w:val="en-US"/>
        </w:rPr>
        <w:t>Evans, Joan,</w:t>
      </w:r>
      <w:r w:rsidRPr="00992C45">
        <w:rPr>
          <w:i/>
          <w:iCs/>
          <w:lang w:val="en-US"/>
        </w:rPr>
        <w:t xml:space="preserve"> A History of Jewellery, 1100-1870, </w:t>
      </w:r>
      <w:r w:rsidRPr="00992C45">
        <w:rPr>
          <w:lang w:val="en-US"/>
        </w:rPr>
        <w:t>(New York, 2003)</w:t>
      </w:r>
      <w:r w:rsidRPr="00992C45">
        <w:t> </w:t>
      </w:r>
    </w:p>
    <w:p w14:paraId="7E70C78E" w14:textId="77777777" w:rsidR="00992C45" w:rsidRPr="00992C45" w:rsidRDefault="00992C45" w:rsidP="0028398D">
      <w:pPr>
        <w:spacing w:after="240" w:line="240" w:lineRule="auto"/>
        <w:jc w:val="both"/>
      </w:pPr>
      <w:r w:rsidRPr="00992C45">
        <w:rPr>
          <w:lang w:val="fr-FR"/>
        </w:rPr>
        <w:t xml:space="preserve">Evans, </w:t>
      </w:r>
      <w:proofErr w:type="spellStart"/>
      <w:r w:rsidRPr="00992C45">
        <w:rPr>
          <w:lang w:val="fr-FR"/>
        </w:rPr>
        <w:t>Nesta</w:t>
      </w:r>
      <w:proofErr w:type="spellEnd"/>
      <w:r w:rsidRPr="00992C45">
        <w:rPr>
          <w:lang w:val="fr-FR"/>
        </w:rPr>
        <w:t>, ‘</w:t>
      </w:r>
      <w:proofErr w:type="spellStart"/>
      <w:r w:rsidRPr="00992C45">
        <w:rPr>
          <w:lang w:val="fr-FR"/>
        </w:rPr>
        <w:t>Testators</w:t>
      </w:r>
      <w:proofErr w:type="spellEnd"/>
      <w:r w:rsidRPr="00992C45">
        <w:rPr>
          <w:lang w:val="fr-FR"/>
        </w:rPr>
        <w:t xml:space="preserve">, </w:t>
      </w:r>
      <w:proofErr w:type="spellStart"/>
      <w:r w:rsidRPr="00992C45">
        <w:rPr>
          <w:lang w:val="fr-FR"/>
        </w:rPr>
        <w:t>literacy</w:t>
      </w:r>
      <w:proofErr w:type="spellEnd"/>
      <w:r w:rsidRPr="00992C45">
        <w:rPr>
          <w:lang w:val="fr-FR"/>
        </w:rPr>
        <w:t xml:space="preserve">, </w:t>
      </w:r>
      <w:proofErr w:type="spellStart"/>
      <w:r w:rsidRPr="00992C45">
        <w:rPr>
          <w:lang w:val="fr-FR"/>
        </w:rPr>
        <w:t>education</w:t>
      </w:r>
      <w:proofErr w:type="spellEnd"/>
      <w:r w:rsidRPr="00992C45">
        <w:rPr>
          <w:lang w:val="fr-FR"/>
        </w:rPr>
        <w:t xml:space="preserve"> and </w:t>
      </w:r>
      <w:proofErr w:type="spellStart"/>
      <w:r w:rsidRPr="00992C45">
        <w:rPr>
          <w:lang w:val="fr-FR"/>
        </w:rPr>
        <w:t>religious</w:t>
      </w:r>
      <w:proofErr w:type="spellEnd"/>
      <w:r w:rsidRPr="00992C45">
        <w:rPr>
          <w:lang w:val="fr-FR"/>
        </w:rPr>
        <w:t xml:space="preserve"> </w:t>
      </w:r>
      <w:proofErr w:type="spellStart"/>
      <w:r w:rsidRPr="00992C45">
        <w:rPr>
          <w:lang w:val="fr-FR"/>
        </w:rPr>
        <w:t>belief</w:t>
      </w:r>
      <w:proofErr w:type="spellEnd"/>
      <w:r w:rsidRPr="00992C45">
        <w:rPr>
          <w:lang w:val="fr-FR"/>
        </w:rPr>
        <w:t xml:space="preserve">’, </w:t>
      </w:r>
      <w:r w:rsidRPr="00992C45">
        <w:rPr>
          <w:i/>
          <w:iCs/>
          <w:lang w:val="fr-FR"/>
        </w:rPr>
        <w:t xml:space="preserve">Local Population </w:t>
      </w:r>
      <w:proofErr w:type="spellStart"/>
      <w:r w:rsidRPr="00992C45">
        <w:rPr>
          <w:i/>
          <w:iCs/>
          <w:lang w:val="fr-FR"/>
        </w:rPr>
        <w:t>Studies</w:t>
      </w:r>
      <w:proofErr w:type="spellEnd"/>
      <w:r w:rsidRPr="00992C45">
        <w:rPr>
          <w:i/>
          <w:iCs/>
          <w:lang w:val="fr-FR"/>
        </w:rPr>
        <w:t>,</w:t>
      </w:r>
      <w:r w:rsidRPr="00992C45">
        <w:rPr>
          <w:lang w:val="fr-FR"/>
        </w:rPr>
        <w:t xml:space="preserve"> Vol. 25, (1980), pp.42-50</w:t>
      </w:r>
      <w:r w:rsidRPr="00992C45">
        <w:t> </w:t>
      </w:r>
    </w:p>
    <w:p w14:paraId="47A47F02" w14:textId="77777777" w:rsidR="00992C45" w:rsidRPr="00992C45" w:rsidRDefault="00992C45" w:rsidP="0028398D">
      <w:pPr>
        <w:spacing w:after="240" w:line="240" w:lineRule="auto"/>
        <w:jc w:val="both"/>
      </w:pPr>
      <w:r w:rsidRPr="00992C45">
        <w:rPr>
          <w:lang w:val="en-US"/>
        </w:rPr>
        <w:t xml:space="preserve">Farrer, </w:t>
      </w:r>
      <w:proofErr w:type="gramStart"/>
      <w:r w:rsidRPr="00992C45">
        <w:rPr>
          <w:lang w:val="en-US"/>
        </w:rPr>
        <w:t>William, ‘</w:t>
      </w:r>
      <w:proofErr w:type="gramEnd"/>
      <w:r w:rsidRPr="00992C45">
        <w:rPr>
          <w:lang w:val="en-US"/>
        </w:rPr>
        <w:t xml:space="preserve">Townships: Slyne-with-Hest’, in </w:t>
      </w:r>
      <w:r w:rsidRPr="00992C45">
        <w:rPr>
          <w:i/>
          <w:iCs/>
          <w:lang w:val="en-US"/>
        </w:rPr>
        <w:t xml:space="preserve">A History of the County of Lancaster, Vol. 8, </w:t>
      </w:r>
      <w:r w:rsidRPr="00992C45">
        <w:rPr>
          <w:lang w:val="en-US"/>
        </w:rPr>
        <w:t>(London, 1914)</w:t>
      </w:r>
      <w:r w:rsidRPr="00992C45">
        <w:t> </w:t>
      </w:r>
    </w:p>
    <w:p w14:paraId="0CA94346" w14:textId="77777777" w:rsidR="00992C45" w:rsidRPr="00992C45" w:rsidRDefault="00992C45" w:rsidP="0028398D">
      <w:pPr>
        <w:spacing w:after="240" w:line="240" w:lineRule="auto"/>
        <w:jc w:val="both"/>
      </w:pPr>
      <w:r w:rsidRPr="00992C45">
        <w:rPr>
          <w:lang w:val="en-US"/>
        </w:rPr>
        <w:t xml:space="preserve">Fissell, </w:t>
      </w:r>
      <w:proofErr w:type="gramStart"/>
      <w:r w:rsidRPr="00992C45">
        <w:rPr>
          <w:lang w:val="en-US"/>
        </w:rPr>
        <w:t>Mary, ‘</w:t>
      </w:r>
      <w:proofErr w:type="gramEnd"/>
      <w:r w:rsidRPr="00992C45">
        <w:rPr>
          <w:lang w:val="en-US"/>
        </w:rPr>
        <w:t xml:space="preserve">Vermin in early modern England’, </w:t>
      </w:r>
      <w:r w:rsidRPr="00992C45">
        <w:rPr>
          <w:i/>
          <w:iCs/>
          <w:lang w:val="en-US"/>
        </w:rPr>
        <w:t xml:space="preserve">History Workshop Journal, </w:t>
      </w:r>
      <w:r w:rsidRPr="00992C45">
        <w:rPr>
          <w:lang w:val="en-US"/>
        </w:rPr>
        <w:t>No. 47, (1999), pp.1-29</w:t>
      </w:r>
      <w:r w:rsidRPr="00992C45">
        <w:t> </w:t>
      </w:r>
    </w:p>
    <w:p w14:paraId="54869C36" w14:textId="77777777" w:rsidR="00992C45" w:rsidRPr="00992C45" w:rsidRDefault="00992C45" w:rsidP="0028398D">
      <w:pPr>
        <w:spacing w:after="240" w:line="240" w:lineRule="auto"/>
        <w:jc w:val="both"/>
      </w:pPr>
      <w:r w:rsidRPr="00992C45">
        <w:rPr>
          <w:lang w:val="en-US"/>
        </w:rPr>
        <w:t xml:space="preserve">Fleming, Juliet, </w:t>
      </w:r>
      <w:r w:rsidRPr="00992C45">
        <w:rPr>
          <w:i/>
          <w:iCs/>
          <w:lang w:val="en-US"/>
        </w:rPr>
        <w:t xml:space="preserve">Graffiti and the Writing Arts of Early Modern England, </w:t>
      </w:r>
      <w:r w:rsidRPr="00992C45">
        <w:rPr>
          <w:lang w:val="en-US"/>
        </w:rPr>
        <w:t>(London, 2001)</w:t>
      </w:r>
      <w:r w:rsidRPr="00992C45">
        <w:t> </w:t>
      </w:r>
    </w:p>
    <w:p w14:paraId="4B239DE8" w14:textId="77777777" w:rsidR="00992C45" w:rsidRPr="00992C45" w:rsidRDefault="00992C45" w:rsidP="0028398D">
      <w:pPr>
        <w:spacing w:after="240" w:line="240" w:lineRule="auto"/>
        <w:jc w:val="both"/>
      </w:pPr>
      <w:r w:rsidRPr="00992C45">
        <w:rPr>
          <w:lang w:val="fr-FR"/>
        </w:rPr>
        <w:t xml:space="preserve">Foster, Charles F., </w:t>
      </w:r>
      <w:r w:rsidRPr="00992C45">
        <w:rPr>
          <w:i/>
          <w:iCs/>
          <w:lang w:val="fr-FR"/>
        </w:rPr>
        <w:t xml:space="preserve">Cheshire </w:t>
      </w:r>
      <w:proofErr w:type="spellStart"/>
      <w:r w:rsidRPr="00992C45">
        <w:rPr>
          <w:i/>
          <w:iCs/>
          <w:lang w:val="fr-FR"/>
        </w:rPr>
        <w:t>Cheese</w:t>
      </w:r>
      <w:proofErr w:type="spellEnd"/>
      <w:r w:rsidRPr="00992C45">
        <w:rPr>
          <w:i/>
          <w:iCs/>
          <w:lang w:val="fr-FR"/>
        </w:rPr>
        <w:t xml:space="preserve"> and </w:t>
      </w:r>
      <w:proofErr w:type="spellStart"/>
      <w:r w:rsidRPr="00992C45">
        <w:rPr>
          <w:i/>
          <w:iCs/>
          <w:lang w:val="fr-FR"/>
        </w:rPr>
        <w:t>Farming</w:t>
      </w:r>
      <w:proofErr w:type="spellEnd"/>
      <w:r w:rsidRPr="00992C45">
        <w:rPr>
          <w:i/>
          <w:iCs/>
          <w:lang w:val="fr-FR"/>
        </w:rPr>
        <w:t xml:space="preserve"> in the North West in the 17</w:t>
      </w:r>
      <w:r w:rsidRPr="00992C45">
        <w:rPr>
          <w:i/>
          <w:iCs/>
          <w:vertAlign w:val="superscript"/>
          <w:lang w:val="fr-FR"/>
        </w:rPr>
        <w:t>th</w:t>
      </w:r>
      <w:r w:rsidRPr="00992C45">
        <w:rPr>
          <w:i/>
          <w:iCs/>
          <w:lang w:val="fr-FR"/>
        </w:rPr>
        <w:t xml:space="preserve"> &amp; 18</w:t>
      </w:r>
      <w:r w:rsidRPr="00992C45">
        <w:rPr>
          <w:i/>
          <w:iCs/>
          <w:vertAlign w:val="superscript"/>
          <w:lang w:val="fr-FR"/>
        </w:rPr>
        <w:t>th</w:t>
      </w:r>
      <w:r w:rsidRPr="00992C45">
        <w:rPr>
          <w:i/>
          <w:iCs/>
          <w:lang w:val="fr-FR"/>
        </w:rPr>
        <w:t xml:space="preserve"> Centuries, </w:t>
      </w:r>
      <w:r w:rsidRPr="00992C45">
        <w:rPr>
          <w:lang w:val="fr-FR"/>
        </w:rPr>
        <w:t>(</w:t>
      </w:r>
      <w:proofErr w:type="spellStart"/>
      <w:r w:rsidRPr="00992C45">
        <w:rPr>
          <w:lang w:val="fr-FR"/>
        </w:rPr>
        <w:t>Northwich</w:t>
      </w:r>
      <w:proofErr w:type="spellEnd"/>
      <w:r w:rsidRPr="00992C45">
        <w:rPr>
          <w:lang w:val="fr-FR"/>
        </w:rPr>
        <w:t>, 1998)</w:t>
      </w:r>
      <w:r w:rsidRPr="00992C45">
        <w:t> </w:t>
      </w:r>
    </w:p>
    <w:p w14:paraId="306DA267" w14:textId="77777777" w:rsidR="00992C45" w:rsidRPr="00992C45" w:rsidRDefault="00992C45" w:rsidP="0028398D">
      <w:pPr>
        <w:spacing w:after="240" w:line="240" w:lineRule="auto"/>
        <w:jc w:val="both"/>
      </w:pPr>
      <w:r w:rsidRPr="00992C45">
        <w:rPr>
          <w:lang w:val="fr-FR"/>
        </w:rPr>
        <w:t>Fox, Adam, ‘</w:t>
      </w:r>
      <w:proofErr w:type="spellStart"/>
      <w:r w:rsidRPr="00992C45">
        <w:rPr>
          <w:lang w:val="fr-FR"/>
        </w:rPr>
        <w:t>Words</w:t>
      </w:r>
      <w:proofErr w:type="spellEnd"/>
      <w:r w:rsidRPr="00992C45">
        <w:rPr>
          <w:lang w:val="fr-FR"/>
        </w:rPr>
        <w:t xml:space="preserve">, </w:t>
      </w:r>
      <w:proofErr w:type="spellStart"/>
      <w:r w:rsidRPr="00992C45">
        <w:rPr>
          <w:lang w:val="fr-FR"/>
        </w:rPr>
        <w:t>words</w:t>
      </w:r>
      <w:proofErr w:type="spellEnd"/>
      <w:r w:rsidRPr="00992C45">
        <w:rPr>
          <w:lang w:val="fr-FR"/>
        </w:rPr>
        <w:t xml:space="preserve">, </w:t>
      </w:r>
      <w:proofErr w:type="spellStart"/>
      <w:proofErr w:type="gramStart"/>
      <w:r w:rsidRPr="00992C45">
        <w:rPr>
          <w:lang w:val="fr-FR"/>
        </w:rPr>
        <w:t>words</w:t>
      </w:r>
      <w:proofErr w:type="spellEnd"/>
      <w:r w:rsidRPr="00992C45">
        <w:rPr>
          <w:lang w:val="fr-FR"/>
        </w:rPr>
        <w:t>:</w:t>
      </w:r>
      <w:proofErr w:type="gramEnd"/>
      <w:r w:rsidRPr="00992C45">
        <w:rPr>
          <w:lang w:val="fr-FR"/>
        </w:rPr>
        <w:t xml:space="preserve"> </w:t>
      </w:r>
      <w:proofErr w:type="spellStart"/>
      <w:r w:rsidRPr="00992C45">
        <w:rPr>
          <w:lang w:val="fr-FR"/>
        </w:rPr>
        <w:t>education</w:t>
      </w:r>
      <w:proofErr w:type="spellEnd"/>
      <w:r w:rsidRPr="00992C45">
        <w:rPr>
          <w:lang w:val="fr-FR"/>
        </w:rPr>
        <w:t xml:space="preserve">, </w:t>
      </w:r>
      <w:proofErr w:type="spellStart"/>
      <w:r w:rsidRPr="00992C45">
        <w:rPr>
          <w:lang w:val="fr-FR"/>
        </w:rPr>
        <w:t>literacy</w:t>
      </w:r>
      <w:proofErr w:type="spellEnd"/>
      <w:r w:rsidRPr="00992C45">
        <w:rPr>
          <w:lang w:val="fr-FR"/>
        </w:rPr>
        <w:t xml:space="preserve"> and </w:t>
      </w:r>
      <w:proofErr w:type="spellStart"/>
      <w:r w:rsidRPr="00992C45">
        <w:rPr>
          <w:lang w:val="fr-FR"/>
        </w:rPr>
        <w:t>print</w:t>
      </w:r>
      <w:proofErr w:type="spellEnd"/>
      <w:r w:rsidRPr="00992C45">
        <w:rPr>
          <w:lang w:val="fr-FR"/>
        </w:rPr>
        <w:t xml:space="preserve">’, in Keith </w:t>
      </w:r>
      <w:proofErr w:type="spellStart"/>
      <w:r w:rsidRPr="00992C45">
        <w:rPr>
          <w:lang w:val="fr-FR"/>
        </w:rPr>
        <w:t>Wrightson</w:t>
      </w:r>
      <w:proofErr w:type="spellEnd"/>
      <w:r w:rsidRPr="00992C45">
        <w:rPr>
          <w:lang w:val="fr-FR"/>
        </w:rPr>
        <w:t xml:space="preserve"> (</w:t>
      </w:r>
      <w:proofErr w:type="spellStart"/>
      <w:r w:rsidRPr="00992C45">
        <w:rPr>
          <w:lang w:val="fr-FR"/>
        </w:rPr>
        <w:t>ed</w:t>
      </w:r>
      <w:proofErr w:type="spellEnd"/>
      <w:r w:rsidRPr="00992C45">
        <w:rPr>
          <w:lang w:val="fr-FR"/>
        </w:rPr>
        <w:t xml:space="preserve">.), </w:t>
      </w:r>
      <w:r w:rsidRPr="00992C45">
        <w:rPr>
          <w:i/>
          <w:iCs/>
          <w:lang w:val="fr-FR"/>
        </w:rPr>
        <w:t xml:space="preserve">A Social </w:t>
      </w:r>
      <w:proofErr w:type="spellStart"/>
      <w:r w:rsidRPr="00992C45">
        <w:rPr>
          <w:i/>
          <w:iCs/>
          <w:lang w:val="fr-FR"/>
        </w:rPr>
        <w:t>History</w:t>
      </w:r>
      <w:proofErr w:type="spellEnd"/>
      <w:r w:rsidRPr="00992C45">
        <w:rPr>
          <w:i/>
          <w:iCs/>
          <w:lang w:val="fr-FR"/>
        </w:rPr>
        <w:t xml:space="preserve"> of </w:t>
      </w:r>
      <w:proofErr w:type="spellStart"/>
      <w:r w:rsidRPr="00992C45">
        <w:rPr>
          <w:i/>
          <w:iCs/>
          <w:lang w:val="fr-FR"/>
        </w:rPr>
        <w:t>England</w:t>
      </w:r>
      <w:proofErr w:type="spellEnd"/>
      <w:r w:rsidRPr="00992C45">
        <w:rPr>
          <w:i/>
          <w:iCs/>
          <w:lang w:val="fr-FR"/>
        </w:rPr>
        <w:t xml:space="preserve">, 1500-1750, </w:t>
      </w:r>
      <w:r w:rsidRPr="00992C45">
        <w:rPr>
          <w:lang w:val="fr-FR"/>
        </w:rPr>
        <w:t>(Cambridge, 2017), pp.129-151</w:t>
      </w:r>
      <w:r w:rsidRPr="00992C45">
        <w:t> </w:t>
      </w:r>
    </w:p>
    <w:p w14:paraId="78FC0A14" w14:textId="77777777" w:rsidR="00992C45" w:rsidRPr="00992C45" w:rsidRDefault="00992C45" w:rsidP="0028398D">
      <w:pPr>
        <w:spacing w:after="240" w:line="240" w:lineRule="auto"/>
        <w:jc w:val="both"/>
      </w:pPr>
      <w:r w:rsidRPr="00992C45">
        <w:rPr>
          <w:lang w:val="en-US"/>
        </w:rPr>
        <w:lastRenderedPageBreak/>
        <w:t xml:space="preserve">Foyster, Elizabeth, ‘Marrying the experienced widow in early modern England: the male perspective’, in Cavallo and Warner (eds), </w:t>
      </w:r>
      <w:r w:rsidRPr="00992C45">
        <w:rPr>
          <w:i/>
          <w:iCs/>
          <w:lang w:val="en-US"/>
        </w:rPr>
        <w:t xml:space="preserve">Widowhood, </w:t>
      </w:r>
      <w:r w:rsidRPr="00992C45">
        <w:rPr>
          <w:lang w:val="en-US"/>
        </w:rPr>
        <w:t>pp.108-124</w:t>
      </w:r>
      <w:r w:rsidRPr="00992C45">
        <w:t> </w:t>
      </w:r>
    </w:p>
    <w:p w14:paraId="781B9819" w14:textId="77777777" w:rsidR="00992C45" w:rsidRPr="00992C45" w:rsidRDefault="00992C45" w:rsidP="0028398D">
      <w:pPr>
        <w:spacing w:after="240" w:line="240" w:lineRule="auto"/>
        <w:jc w:val="both"/>
      </w:pPr>
      <w:r w:rsidRPr="00992C45">
        <w:rPr>
          <w:lang w:val="en-US"/>
        </w:rPr>
        <w:t xml:space="preserve">French, Henry R., ‘The search for the ‘middle sort of people’ in England, 1600-1800', </w:t>
      </w:r>
      <w:r w:rsidRPr="00992C45">
        <w:rPr>
          <w:i/>
          <w:iCs/>
          <w:lang w:val="en-US"/>
        </w:rPr>
        <w:t xml:space="preserve">Historical Journal, </w:t>
      </w:r>
      <w:r w:rsidRPr="00992C45">
        <w:rPr>
          <w:lang w:val="en-US"/>
        </w:rPr>
        <w:t>Vol. 43, No. 1,</w:t>
      </w:r>
      <w:r w:rsidRPr="00992C45">
        <w:rPr>
          <w:i/>
          <w:iCs/>
          <w:lang w:val="en-US"/>
        </w:rPr>
        <w:t xml:space="preserve"> </w:t>
      </w:r>
      <w:r w:rsidRPr="00992C45">
        <w:rPr>
          <w:lang w:val="en-US"/>
        </w:rPr>
        <w:t>(2000), pp.277-293</w:t>
      </w:r>
      <w:r w:rsidRPr="00992C45">
        <w:t> </w:t>
      </w:r>
    </w:p>
    <w:p w14:paraId="55A6FA95" w14:textId="77777777" w:rsidR="00992C45" w:rsidRPr="00992C45" w:rsidRDefault="00992C45" w:rsidP="0028398D">
      <w:pPr>
        <w:spacing w:after="240" w:line="240" w:lineRule="auto"/>
        <w:jc w:val="both"/>
      </w:pPr>
      <w:r w:rsidRPr="00992C45">
        <w:rPr>
          <w:lang w:val="en-US"/>
        </w:rPr>
        <w:t>French,</w:t>
      </w:r>
      <w:r w:rsidRPr="00992C45">
        <w:rPr>
          <w:i/>
          <w:iCs/>
          <w:lang w:val="en-US"/>
        </w:rPr>
        <w:t xml:space="preserve"> </w:t>
      </w:r>
      <w:r w:rsidRPr="00992C45">
        <w:rPr>
          <w:lang w:val="en-US"/>
        </w:rPr>
        <w:t xml:space="preserve">Henry R., </w:t>
      </w:r>
      <w:r w:rsidRPr="00992C45">
        <w:rPr>
          <w:i/>
          <w:iCs/>
          <w:lang w:val="en-US"/>
        </w:rPr>
        <w:t xml:space="preserve">The Middle Sort of People in Provincial England, 1600-1750, </w:t>
      </w:r>
      <w:r w:rsidRPr="00992C45">
        <w:rPr>
          <w:lang w:val="en-US"/>
        </w:rPr>
        <w:t>(Oxford, 2007)</w:t>
      </w:r>
      <w:r w:rsidRPr="00992C45">
        <w:t> </w:t>
      </w:r>
    </w:p>
    <w:p w14:paraId="01E7F794" w14:textId="77777777" w:rsidR="00992C45" w:rsidRPr="00992C45" w:rsidRDefault="00992C45" w:rsidP="0028398D">
      <w:pPr>
        <w:spacing w:after="240" w:line="240" w:lineRule="auto"/>
        <w:jc w:val="both"/>
      </w:pPr>
      <w:proofErr w:type="spellStart"/>
      <w:r w:rsidRPr="00992C45">
        <w:rPr>
          <w:lang w:val="en-US"/>
        </w:rPr>
        <w:t>Froide</w:t>
      </w:r>
      <w:proofErr w:type="spellEnd"/>
      <w:r w:rsidRPr="00992C45">
        <w:rPr>
          <w:lang w:val="en-US"/>
        </w:rPr>
        <w:t xml:space="preserve">, Amy M., </w:t>
      </w:r>
      <w:r w:rsidRPr="00992C45">
        <w:rPr>
          <w:i/>
          <w:iCs/>
          <w:lang w:val="en-US"/>
        </w:rPr>
        <w:t xml:space="preserve">Never Married: </w:t>
      </w:r>
      <w:proofErr w:type="spellStart"/>
      <w:r w:rsidRPr="00992C45">
        <w:rPr>
          <w:i/>
          <w:iCs/>
          <w:lang w:val="en-US"/>
        </w:rPr>
        <w:t>Singlewomen</w:t>
      </w:r>
      <w:proofErr w:type="spellEnd"/>
      <w:r w:rsidRPr="00992C45">
        <w:rPr>
          <w:i/>
          <w:iCs/>
          <w:lang w:val="en-US"/>
        </w:rPr>
        <w:t xml:space="preserve"> in Early Modern England, </w:t>
      </w:r>
      <w:r w:rsidRPr="00992C45">
        <w:rPr>
          <w:lang w:val="en-US"/>
        </w:rPr>
        <w:t>(London, 2007)</w:t>
      </w:r>
      <w:r w:rsidRPr="00992C45">
        <w:t> </w:t>
      </w:r>
    </w:p>
    <w:p w14:paraId="3B11AD40" w14:textId="77777777" w:rsidR="00992C45" w:rsidRPr="00992C45" w:rsidRDefault="00992C45" w:rsidP="0028398D">
      <w:pPr>
        <w:spacing w:after="240" w:line="240" w:lineRule="auto"/>
        <w:jc w:val="both"/>
      </w:pPr>
      <w:r w:rsidRPr="00992C45">
        <w:rPr>
          <w:lang w:val="en-US"/>
        </w:rPr>
        <w:t>Frye, Susan,</w:t>
      </w:r>
      <w:r w:rsidRPr="00992C45">
        <w:rPr>
          <w:i/>
          <w:iCs/>
          <w:lang w:val="en-US"/>
        </w:rPr>
        <w:t xml:space="preserve"> Pens and Needles: Women's Textualities in Early Modern England, </w:t>
      </w:r>
      <w:r w:rsidRPr="00992C45">
        <w:rPr>
          <w:lang w:val="en-US"/>
        </w:rPr>
        <w:t>(Philadelphia, 2013)</w:t>
      </w:r>
      <w:r w:rsidRPr="00992C45">
        <w:t> </w:t>
      </w:r>
    </w:p>
    <w:p w14:paraId="30304AD8" w14:textId="77777777" w:rsidR="00992C45" w:rsidRPr="00992C45" w:rsidRDefault="00992C45" w:rsidP="0028398D">
      <w:pPr>
        <w:spacing w:after="240" w:line="240" w:lineRule="auto"/>
        <w:jc w:val="both"/>
      </w:pPr>
      <w:r w:rsidRPr="00992C45">
        <w:rPr>
          <w:lang w:val="en-US"/>
        </w:rPr>
        <w:t xml:space="preserve">Garnett, </w:t>
      </w:r>
      <w:proofErr w:type="gramStart"/>
      <w:r w:rsidRPr="00992C45">
        <w:rPr>
          <w:lang w:val="en-US"/>
        </w:rPr>
        <w:t>Emmeline, ‘</w:t>
      </w:r>
      <w:proofErr w:type="gramEnd"/>
      <w:r w:rsidRPr="00992C45">
        <w:rPr>
          <w:lang w:val="en-US"/>
        </w:rPr>
        <w:t xml:space="preserve">The Great Rebuilding and economic change in South Lonsdale 1660-1730’, </w:t>
      </w:r>
      <w:r w:rsidRPr="00992C45">
        <w:rPr>
          <w:i/>
          <w:iCs/>
          <w:lang w:val="en-US"/>
        </w:rPr>
        <w:t xml:space="preserve">The Historic Society of Lancashire and Cheshire, </w:t>
      </w:r>
      <w:r w:rsidRPr="00992C45">
        <w:rPr>
          <w:lang w:val="en-US"/>
        </w:rPr>
        <w:t>Vol. 137, (1987), pp.55-75</w:t>
      </w:r>
      <w:r w:rsidRPr="00992C45">
        <w:t> </w:t>
      </w:r>
    </w:p>
    <w:p w14:paraId="47B3FBBD" w14:textId="77777777" w:rsidR="00992C45" w:rsidRPr="00992C45" w:rsidRDefault="00992C45" w:rsidP="0028398D">
      <w:pPr>
        <w:spacing w:after="240" w:line="240" w:lineRule="auto"/>
        <w:jc w:val="both"/>
      </w:pPr>
      <w:r w:rsidRPr="00992C45">
        <w:rPr>
          <w:lang w:val="en-US"/>
        </w:rPr>
        <w:t>Garnett, Emmeline,</w:t>
      </w:r>
      <w:r w:rsidRPr="00992C45">
        <w:rPr>
          <w:i/>
          <w:iCs/>
          <w:lang w:val="en-US"/>
        </w:rPr>
        <w:t xml:space="preserve"> The Dated Buildings of South Lonsdale, </w:t>
      </w:r>
      <w:r w:rsidRPr="00992C45">
        <w:rPr>
          <w:lang w:val="en-US"/>
        </w:rPr>
        <w:t>(Lancaster, 1994)</w:t>
      </w:r>
      <w:r w:rsidRPr="00992C45">
        <w:t> </w:t>
      </w:r>
    </w:p>
    <w:p w14:paraId="5ECD4F22" w14:textId="77777777" w:rsidR="00992C45" w:rsidRPr="00992C45" w:rsidRDefault="00992C45" w:rsidP="0028398D">
      <w:pPr>
        <w:spacing w:after="240" w:line="240" w:lineRule="auto"/>
        <w:jc w:val="both"/>
      </w:pPr>
      <w:r w:rsidRPr="00992C45">
        <w:rPr>
          <w:lang w:val="en-US"/>
        </w:rPr>
        <w:t xml:space="preserve">Gayton, Juliet, ‘Mortgages raised by rural English copyhold tenants 1605-1735’, in Chris Briggs and Jaco Zuijderduijn (eds), </w:t>
      </w:r>
      <w:r w:rsidRPr="00992C45">
        <w:rPr>
          <w:i/>
          <w:iCs/>
          <w:lang w:val="en-US"/>
        </w:rPr>
        <w:t xml:space="preserve">Land and Credit: Mortgages in the Medieval and Early Modern European Countryside, </w:t>
      </w:r>
      <w:r w:rsidRPr="00992C45">
        <w:rPr>
          <w:lang w:val="en-US"/>
        </w:rPr>
        <w:t>(Cham, 2018), pp.47-80</w:t>
      </w:r>
      <w:r w:rsidRPr="00992C45">
        <w:t> </w:t>
      </w:r>
    </w:p>
    <w:p w14:paraId="0561C484" w14:textId="77777777" w:rsidR="00992C45" w:rsidRPr="00992C45" w:rsidRDefault="00992C45" w:rsidP="0028398D">
      <w:pPr>
        <w:spacing w:after="240" w:line="240" w:lineRule="auto"/>
        <w:jc w:val="both"/>
      </w:pPr>
      <w:r w:rsidRPr="00992C45">
        <w:rPr>
          <w:lang w:val="en-US"/>
        </w:rPr>
        <w:t xml:space="preserve">Gell, Alfred, </w:t>
      </w:r>
      <w:r w:rsidRPr="00992C45">
        <w:rPr>
          <w:i/>
          <w:iCs/>
          <w:lang w:val="en-US"/>
        </w:rPr>
        <w:t>Art and Agency: An Anthropological Theory</w:t>
      </w:r>
      <w:r w:rsidRPr="00992C45">
        <w:rPr>
          <w:lang w:val="en-US"/>
        </w:rPr>
        <w:t>, (Oxford, 1998)</w:t>
      </w:r>
      <w:r w:rsidRPr="00992C45">
        <w:t> </w:t>
      </w:r>
    </w:p>
    <w:p w14:paraId="12BCA46B" w14:textId="77777777" w:rsidR="00992C45" w:rsidRPr="00992C45" w:rsidRDefault="00992C45" w:rsidP="0028398D">
      <w:pPr>
        <w:spacing w:after="240" w:line="240" w:lineRule="auto"/>
        <w:jc w:val="both"/>
      </w:pPr>
      <w:proofErr w:type="gramStart"/>
      <w:r w:rsidRPr="00992C45">
        <w:rPr>
          <w:lang w:val="fr-FR"/>
        </w:rPr>
        <w:t>van</w:t>
      </w:r>
      <w:proofErr w:type="gramEnd"/>
      <w:r w:rsidRPr="00992C45">
        <w:rPr>
          <w:lang w:val="fr-FR"/>
        </w:rPr>
        <w:t xml:space="preserve"> Gennep, Arnold, </w:t>
      </w:r>
      <w:r w:rsidRPr="00992C45">
        <w:rPr>
          <w:i/>
          <w:iCs/>
          <w:lang w:val="fr-FR"/>
        </w:rPr>
        <w:t xml:space="preserve">Les Rites de Passage, </w:t>
      </w:r>
      <w:r w:rsidRPr="00992C45">
        <w:rPr>
          <w:lang w:val="fr-FR"/>
        </w:rPr>
        <w:t>(Paris, 1909)</w:t>
      </w:r>
      <w:r w:rsidRPr="00992C45">
        <w:t> </w:t>
      </w:r>
    </w:p>
    <w:p w14:paraId="69FC53A4" w14:textId="77777777" w:rsidR="00992C45" w:rsidRPr="00992C45" w:rsidRDefault="00992C45" w:rsidP="0028398D">
      <w:pPr>
        <w:spacing w:after="240" w:line="240" w:lineRule="auto"/>
        <w:jc w:val="both"/>
      </w:pPr>
      <w:r w:rsidRPr="00992C45">
        <w:rPr>
          <w:lang w:val="en-US"/>
        </w:rPr>
        <w:t xml:space="preserve">Gentle, Rupert, Rachael Field and Belinda Gentle, </w:t>
      </w:r>
      <w:r w:rsidRPr="00992C45">
        <w:rPr>
          <w:i/>
          <w:iCs/>
          <w:lang w:val="en-US"/>
        </w:rPr>
        <w:t xml:space="preserve">Domestic Metalwork, 1640-1820, </w:t>
      </w:r>
      <w:r w:rsidRPr="00992C45">
        <w:rPr>
          <w:lang w:val="en-US"/>
        </w:rPr>
        <w:t>(Woodbridge, 1994)</w:t>
      </w:r>
      <w:r w:rsidRPr="00992C45">
        <w:t> </w:t>
      </w:r>
    </w:p>
    <w:p w14:paraId="1021B251" w14:textId="77777777" w:rsidR="00992C45" w:rsidRPr="00992C45" w:rsidRDefault="00992C45" w:rsidP="0028398D">
      <w:pPr>
        <w:spacing w:after="240" w:line="240" w:lineRule="auto"/>
        <w:jc w:val="both"/>
      </w:pPr>
      <w:r w:rsidRPr="00992C45">
        <w:rPr>
          <w:lang w:val="en-US"/>
        </w:rPr>
        <w:t xml:space="preserve">Giddens, Anthony, </w:t>
      </w:r>
      <w:r w:rsidRPr="00992C45">
        <w:rPr>
          <w:i/>
          <w:iCs/>
          <w:lang w:val="en-US"/>
        </w:rPr>
        <w:t xml:space="preserve">Central Problems in Social Theory: Action, Structure and Contradiction in Social Analysis, </w:t>
      </w:r>
      <w:r w:rsidRPr="00992C45">
        <w:rPr>
          <w:lang w:val="en-US"/>
        </w:rPr>
        <w:t>(London, 1979)</w:t>
      </w:r>
      <w:r w:rsidRPr="00992C45">
        <w:t> </w:t>
      </w:r>
    </w:p>
    <w:p w14:paraId="77C28AF0" w14:textId="77777777" w:rsidR="00992C45" w:rsidRPr="00992C45" w:rsidRDefault="00992C45" w:rsidP="0028398D">
      <w:pPr>
        <w:spacing w:after="240" w:line="240" w:lineRule="auto"/>
        <w:jc w:val="both"/>
      </w:pPr>
      <w:r w:rsidRPr="00992C45">
        <w:rPr>
          <w:lang w:val="en-US"/>
        </w:rPr>
        <w:t xml:space="preserve">Giddens, Anthony, </w:t>
      </w:r>
      <w:r w:rsidRPr="00992C45">
        <w:rPr>
          <w:i/>
          <w:iCs/>
          <w:lang w:val="en-US"/>
        </w:rPr>
        <w:t xml:space="preserve">The Constitution of Society: Outline of the Theory of Structuration, </w:t>
      </w:r>
      <w:r w:rsidRPr="00992C45">
        <w:rPr>
          <w:lang w:val="en-US"/>
        </w:rPr>
        <w:t>(Cambridge, 1984)</w:t>
      </w:r>
      <w:r w:rsidRPr="00992C45">
        <w:t> </w:t>
      </w:r>
    </w:p>
    <w:p w14:paraId="7D591E42" w14:textId="77777777" w:rsidR="00992C45" w:rsidRPr="00992C45" w:rsidRDefault="00992C45" w:rsidP="0028398D">
      <w:pPr>
        <w:spacing w:after="240" w:line="240" w:lineRule="auto"/>
        <w:jc w:val="both"/>
      </w:pPr>
      <w:r w:rsidRPr="00992C45">
        <w:rPr>
          <w:lang w:val="en-US"/>
        </w:rPr>
        <w:t xml:space="preserve">Gomez, Frances </w:t>
      </w:r>
      <w:proofErr w:type="gramStart"/>
      <w:r w:rsidRPr="00992C45">
        <w:rPr>
          <w:lang w:val="en-US"/>
        </w:rPr>
        <w:t>Gerald, ‘</w:t>
      </w:r>
      <w:proofErr w:type="gramEnd"/>
      <w:r w:rsidRPr="00992C45">
        <w:rPr>
          <w:lang w:val="en-US"/>
        </w:rPr>
        <w:t>The endowed schools of Lancashire from the seventeenth to the early nineteenth century’, (University of Leeds, 1987; unpublished PhD thesis)</w:t>
      </w:r>
      <w:r w:rsidRPr="00992C45">
        <w:t> </w:t>
      </w:r>
    </w:p>
    <w:p w14:paraId="5EEABA98" w14:textId="77777777" w:rsidR="00992C45" w:rsidRPr="00992C45" w:rsidRDefault="00992C45" w:rsidP="0028398D">
      <w:pPr>
        <w:spacing w:after="240" w:line="240" w:lineRule="auto"/>
        <w:jc w:val="both"/>
      </w:pPr>
      <w:r w:rsidRPr="00992C45">
        <w:rPr>
          <w:lang w:val="fr-FR"/>
        </w:rPr>
        <w:t xml:space="preserve">Goose, Nigel, ‘How </w:t>
      </w:r>
      <w:proofErr w:type="spellStart"/>
      <w:r w:rsidRPr="00992C45">
        <w:rPr>
          <w:lang w:val="fr-FR"/>
        </w:rPr>
        <w:t>accurately</w:t>
      </w:r>
      <w:proofErr w:type="spellEnd"/>
      <w:r w:rsidRPr="00992C45">
        <w:rPr>
          <w:lang w:val="fr-FR"/>
        </w:rPr>
        <w:t xml:space="preserve"> to </w:t>
      </w:r>
      <w:proofErr w:type="spellStart"/>
      <w:r w:rsidRPr="00992C45">
        <w:rPr>
          <w:lang w:val="fr-FR"/>
        </w:rPr>
        <w:t>hearth</w:t>
      </w:r>
      <w:proofErr w:type="spellEnd"/>
      <w:r w:rsidRPr="00992C45">
        <w:rPr>
          <w:lang w:val="fr-FR"/>
        </w:rPr>
        <w:t xml:space="preserve"> </w:t>
      </w:r>
      <w:proofErr w:type="spellStart"/>
      <w:r w:rsidRPr="00992C45">
        <w:rPr>
          <w:lang w:val="fr-FR"/>
        </w:rPr>
        <w:t>tax</w:t>
      </w:r>
      <w:proofErr w:type="spellEnd"/>
      <w:r w:rsidRPr="00992C45">
        <w:rPr>
          <w:lang w:val="fr-FR"/>
        </w:rPr>
        <w:t xml:space="preserve"> </w:t>
      </w:r>
      <w:proofErr w:type="spellStart"/>
      <w:r w:rsidRPr="00992C45">
        <w:rPr>
          <w:lang w:val="fr-FR"/>
        </w:rPr>
        <w:t>returns</w:t>
      </w:r>
      <w:proofErr w:type="spellEnd"/>
      <w:r w:rsidRPr="00992C45">
        <w:rPr>
          <w:lang w:val="fr-FR"/>
        </w:rPr>
        <w:t xml:space="preserve"> </w:t>
      </w:r>
      <w:proofErr w:type="spellStart"/>
      <w:r w:rsidRPr="00992C45">
        <w:rPr>
          <w:lang w:val="fr-FR"/>
        </w:rPr>
        <w:t>reflect</w:t>
      </w:r>
      <w:proofErr w:type="spellEnd"/>
      <w:r w:rsidRPr="00992C45">
        <w:rPr>
          <w:lang w:val="fr-FR"/>
        </w:rPr>
        <w:t xml:space="preserve"> </w:t>
      </w:r>
      <w:proofErr w:type="spellStart"/>
      <w:proofErr w:type="gramStart"/>
      <w:r w:rsidRPr="00992C45">
        <w:rPr>
          <w:lang w:val="fr-FR"/>
        </w:rPr>
        <w:t>wealth</w:t>
      </w:r>
      <w:proofErr w:type="spellEnd"/>
      <w:r w:rsidRPr="00992C45">
        <w:rPr>
          <w:lang w:val="fr-FR"/>
        </w:rPr>
        <w:t>?</w:t>
      </w:r>
      <w:proofErr w:type="gramEnd"/>
      <w:r w:rsidRPr="00992C45">
        <w:rPr>
          <w:lang w:val="fr-FR"/>
        </w:rPr>
        <w:t xml:space="preserve"> A discussion of </w:t>
      </w:r>
      <w:proofErr w:type="spellStart"/>
      <w:r w:rsidRPr="00992C45">
        <w:rPr>
          <w:lang w:val="fr-FR"/>
        </w:rPr>
        <w:t>some</w:t>
      </w:r>
      <w:proofErr w:type="spellEnd"/>
      <w:r w:rsidRPr="00992C45">
        <w:rPr>
          <w:lang w:val="fr-FR"/>
        </w:rPr>
        <w:t xml:space="preserve"> </w:t>
      </w:r>
      <w:proofErr w:type="spellStart"/>
      <w:r w:rsidRPr="00992C45">
        <w:rPr>
          <w:lang w:val="fr-FR"/>
        </w:rPr>
        <w:t>urban</w:t>
      </w:r>
      <w:proofErr w:type="spellEnd"/>
      <w:r w:rsidRPr="00992C45">
        <w:rPr>
          <w:lang w:val="fr-FR"/>
        </w:rPr>
        <w:t xml:space="preserve"> </w:t>
      </w:r>
      <w:proofErr w:type="spellStart"/>
      <w:r w:rsidRPr="00992C45">
        <w:rPr>
          <w:lang w:val="fr-FR"/>
        </w:rPr>
        <w:t>evidence</w:t>
      </w:r>
      <w:proofErr w:type="spellEnd"/>
      <w:r w:rsidRPr="00992C45">
        <w:rPr>
          <w:lang w:val="fr-FR"/>
        </w:rPr>
        <w:t xml:space="preserve">’, </w:t>
      </w:r>
      <w:r w:rsidRPr="00992C45">
        <w:rPr>
          <w:i/>
          <w:iCs/>
          <w:lang w:val="fr-FR"/>
        </w:rPr>
        <w:t xml:space="preserve">Local Population </w:t>
      </w:r>
      <w:proofErr w:type="spellStart"/>
      <w:r w:rsidRPr="00992C45">
        <w:rPr>
          <w:i/>
          <w:iCs/>
          <w:lang w:val="fr-FR"/>
        </w:rPr>
        <w:t>Studies</w:t>
      </w:r>
      <w:proofErr w:type="spellEnd"/>
      <w:r w:rsidRPr="00992C45">
        <w:rPr>
          <w:i/>
          <w:iCs/>
          <w:lang w:val="fr-FR"/>
        </w:rPr>
        <w:t xml:space="preserve">, </w:t>
      </w:r>
      <w:r w:rsidRPr="00992C45">
        <w:rPr>
          <w:lang w:val="fr-FR"/>
        </w:rPr>
        <w:t>Vol. 67, (2001),</w:t>
      </w:r>
      <w:r w:rsidRPr="00992C45">
        <w:rPr>
          <w:i/>
          <w:iCs/>
          <w:lang w:val="fr-FR"/>
        </w:rPr>
        <w:t xml:space="preserve"> </w:t>
      </w:r>
      <w:r w:rsidRPr="00992C45">
        <w:rPr>
          <w:lang w:val="fr-FR"/>
        </w:rPr>
        <w:t>pp.44-63</w:t>
      </w:r>
      <w:r w:rsidRPr="00992C45">
        <w:t> </w:t>
      </w:r>
    </w:p>
    <w:p w14:paraId="6E05335B" w14:textId="77777777" w:rsidR="00992C45" w:rsidRPr="00992C45" w:rsidRDefault="00992C45" w:rsidP="0028398D">
      <w:pPr>
        <w:spacing w:after="240" w:line="240" w:lineRule="auto"/>
        <w:jc w:val="both"/>
      </w:pPr>
      <w:r w:rsidRPr="00992C45">
        <w:rPr>
          <w:lang w:val="fr-FR"/>
        </w:rPr>
        <w:t xml:space="preserve">Gordon, Andrew, ‘The </w:t>
      </w:r>
      <w:proofErr w:type="spellStart"/>
      <w:r w:rsidRPr="00992C45">
        <w:rPr>
          <w:lang w:val="fr-FR"/>
        </w:rPr>
        <w:t>act</w:t>
      </w:r>
      <w:proofErr w:type="spellEnd"/>
      <w:r w:rsidRPr="00992C45">
        <w:rPr>
          <w:lang w:val="fr-FR"/>
        </w:rPr>
        <w:t xml:space="preserve"> of </w:t>
      </w:r>
      <w:proofErr w:type="spellStart"/>
      <w:proofErr w:type="gramStart"/>
      <w:r w:rsidRPr="00992C45">
        <w:rPr>
          <w:lang w:val="fr-FR"/>
        </w:rPr>
        <w:t>libel</w:t>
      </w:r>
      <w:proofErr w:type="spellEnd"/>
      <w:r w:rsidRPr="00992C45">
        <w:rPr>
          <w:lang w:val="fr-FR"/>
        </w:rPr>
        <w:t>:</w:t>
      </w:r>
      <w:proofErr w:type="gramEnd"/>
      <w:r w:rsidRPr="00992C45">
        <w:rPr>
          <w:lang w:val="fr-FR"/>
        </w:rPr>
        <w:t xml:space="preserve"> </w:t>
      </w:r>
      <w:proofErr w:type="spellStart"/>
      <w:r w:rsidRPr="00992C45">
        <w:rPr>
          <w:lang w:val="fr-FR"/>
        </w:rPr>
        <w:t>conscripting</w:t>
      </w:r>
      <w:proofErr w:type="spellEnd"/>
      <w:r w:rsidRPr="00992C45">
        <w:rPr>
          <w:lang w:val="fr-FR"/>
        </w:rPr>
        <w:t xml:space="preserve"> </w:t>
      </w:r>
      <w:proofErr w:type="spellStart"/>
      <w:r w:rsidRPr="00992C45">
        <w:rPr>
          <w:lang w:val="fr-FR"/>
        </w:rPr>
        <w:t>civic</w:t>
      </w:r>
      <w:proofErr w:type="spellEnd"/>
      <w:r w:rsidRPr="00992C45">
        <w:rPr>
          <w:lang w:val="fr-FR"/>
        </w:rPr>
        <w:t xml:space="preserve"> </w:t>
      </w:r>
      <w:proofErr w:type="spellStart"/>
      <w:r w:rsidRPr="00992C45">
        <w:rPr>
          <w:lang w:val="fr-FR"/>
        </w:rPr>
        <w:t>space</w:t>
      </w:r>
      <w:proofErr w:type="spellEnd"/>
      <w:r w:rsidRPr="00992C45">
        <w:rPr>
          <w:lang w:val="fr-FR"/>
        </w:rPr>
        <w:t xml:space="preserve"> in </w:t>
      </w:r>
      <w:proofErr w:type="spellStart"/>
      <w:r w:rsidRPr="00992C45">
        <w:rPr>
          <w:lang w:val="fr-FR"/>
        </w:rPr>
        <w:t>early</w:t>
      </w:r>
      <w:proofErr w:type="spellEnd"/>
      <w:r w:rsidRPr="00992C45">
        <w:rPr>
          <w:lang w:val="fr-FR"/>
        </w:rPr>
        <w:t xml:space="preserve"> modern </w:t>
      </w:r>
      <w:proofErr w:type="spellStart"/>
      <w:r w:rsidRPr="00992C45">
        <w:rPr>
          <w:lang w:val="fr-FR"/>
        </w:rPr>
        <w:t>England</w:t>
      </w:r>
      <w:proofErr w:type="spellEnd"/>
      <w:r w:rsidRPr="00992C45">
        <w:rPr>
          <w:lang w:val="fr-FR"/>
        </w:rPr>
        <w:t xml:space="preserve">’, </w:t>
      </w:r>
      <w:r w:rsidRPr="00992C45">
        <w:rPr>
          <w:i/>
          <w:iCs/>
          <w:lang w:val="fr-FR"/>
        </w:rPr>
        <w:t xml:space="preserve">Journal of </w:t>
      </w:r>
      <w:proofErr w:type="spellStart"/>
      <w:r w:rsidRPr="00992C45">
        <w:rPr>
          <w:i/>
          <w:iCs/>
          <w:lang w:val="fr-FR"/>
        </w:rPr>
        <w:t>Medieval</w:t>
      </w:r>
      <w:proofErr w:type="spellEnd"/>
      <w:r w:rsidRPr="00992C45">
        <w:rPr>
          <w:i/>
          <w:iCs/>
          <w:lang w:val="fr-FR"/>
        </w:rPr>
        <w:t xml:space="preserve"> and </w:t>
      </w:r>
      <w:proofErr w:type="spellStart"/>
      <w:r w:rsidRPr="00992C45">
        <w:rPr>
          <w:i/>
          <w:iCs/>
          <w:lang w:val="fr-FR"/>
        </w:rPr>
        <w:t>Early</w:t>
      </w:r>
      <w:proofErr w:type="spellEnd"/>
      <w:r w:rsidRPr="00992C45">
        <w:rPr>
          <w:i/>
          <w:iCs/>
          <w:lang w:val="fr-FR"/>
        </w:rPr>
        <w:t xml:space="preserve"> Modern </w:t>
      </w:r>
      <w:proofErr w:type="spellStart"/>
      <w:r w:rsidRPr="00992C45">
        <w:rPr>
          <w:i/>
          <w:iCs/>
          <w:lang w:val="fr-FR"/>
        </w:rPr>
        <w:t>Studies</w:t>
      </w:r>
      <w:proofErr w:type="spellEnd"/>
      <w:r w:rsidRPr="00992C45">
        <w:rPr>
          <w:i/>
          <w:iCs/>
          <w:lang w:val="fr-FR"/>
        </w:rPr>
        <w:t xml:space="preserve">, </w:t>
      </w:r>
      <w:r w:rsidRPr="00992C45">
        <w:rPr>
          <w:lang w:val="fr-FR"/>
        </w:rPr>
        <w:t>Vol. 32, No. 2, (2002), pp.375-397</w:t>
      </w:r>
      <w:r w:rsidRPr="00992C45">
        <w:t> </w:t>
      </w:r>
    </w:p>
    <w:p w14:paraId="5890179A" w14:textId="77777777" w:rsidR="00992C45" w:rsidRPr="00992C45" w:rsidRDefault="00992C45" w:rsidP="0028398D">
      <w:pPr>
        <w:spacing w:after="240" w:line="240" w:lineRule="auto"/>
        <w:jc w:val="both"/>
      </w:pPr>
      <w:r w:rsidRPr="00992C45">
        <w:rPr>
          <w:lang w:val="en-US"/>
        </w:rPr>
        <w:t xml:space="preserve">Gowing, Laura, ‘The twinkling of a </w:t>
      </w:r>
      <w:proofErr w:type="spellStart"/>
      <w:r w:rsidRPr="00992C45">
        <w:rPr>
          <w:lang w:val="en-US"/>
        </w:rPr>
        <w:t>bedstaff</w:t>
      </w:r>
      <w:proofErr w:type="spellEnd"/>
      <w:r w:rsidRPr="00992C45">
        <w:rPr>
          <w:lang w:val="en-US"/>
        </w:rPr>
        <w:t xml:space="preserve">: Recovering the social life of English beds 1500-1700’, </w:t>
      </w:r>
      <w:r w:rsidRPr="00992C45">
        <w:rPr>
          <w:i/>
          <w:iCs/>
          <w:lang w:val="en-US"/>
        </w:rPr>
        <w:t>Home Cultures</w:t>
      </w:r>
      <w:r w:rsidRPr="00992C45">
        <w:rPr>
          <w:lang w:val="en-US"/>
        </w:rPr>
        <w:t>, Vol. 11, No. 3, (2014), pp.275-304</w:t>
      </w:r>
      <w:r w:rsidRPr="00992C45">
        <w:t> </w:t>
      </w:r>
    </w:p>
    <w:p w14:paraId="2AE65E5E" w14:textId="77777777" w:rsidR="00992C45" w:rsidRPr="00992C45" w:rsidRDefault="00992C45" w:rsidP="0028398D">
      <w:pPr>
        <w:spacing w:after="240" w:line="240" w:lineRule="auto"/>
        <w:jc w:val="both"/>
      </w:pPr>
      <w:r w:rsidRPr="00992C45">
        <w:rPr>
          <w:lang w:val="en-US"/>
        </w:rPr>
        <w:t xml:space="preserve">Gowing, Laura, </w:t>
      </w:r>
      <w:r w:rsidRPr="00992C45">
        <w:rPr>
          <w:i/>
          <w:iCs/>
          <w:lang w:val="en-US"/>
        </w:rPr>
        <w:t xml:space="preserve">Gender Relations in Early Modern England, </w:t>
      </w:r>
      <w:r w:rsidRPr="00992C45">
        <w:rPr>
          <w:lang w:val="en-US"/>
        </w:rPr>
        <w:t>(London, 2012)</w:t>
      </w:r>
      <w:r w:rsidRPr="00992C45">
        <w:t> </w:t>
      </w:r>
    </w:p>
    <w:p w14:paraId="62BEF372" w14:textId="77777777" w:rsidR="00992C45" w:rsidRPr="00992C45" w:rsidRDefault="00992C45" w:rsidP="0028398D">
      <w:pPr>
        <w:spacing w:after="240" w:line="240" w:lineRule="auto"/>
        <w:jc w:val="both"/>
      </w:pPr>
      <w:r w:rsidRPr="00992C45">
        <w:rPr>
          <w:lang w:val="en-US"/>
        </w:rPr>
        <w:lastRenderedPageBreak/>
        <w:t xml:space="preserve">Grassby, Richard, </w:t>
      </w:r>
      <w:r w:rsidRPr="00992C45">
        <w:rPr>
          <w:i/>
          <w:iCs/>
          <w:lang w:val="en-US"/>
        </w:rPr>
        <w:t xml:space="preserve">Kinship and Capitalism: Marriage, Family, and Business in the English-Speaking World, 1580-1740, </w:t>
      </w:r>
      <w:r w:rsidRPr="00992C45">
        <w:rPr>
          <w:lang w:val="en-US"/>
        </w:rPr>
        <w:t>(Cambridge, 2001)</w:t>
      </w:r>
      <w:r w:rsidRPr="00992C45">
        <w:t> </w:t>
      </w:r>
    </w:p>
    <w:p w14:paraId="528E3833" w14:textId="77777777" w:rsidR="00992C45" w:rsidRPr="00992C45" w:rsidRDefault="00992C45" w:rsidP="0028398D">
      <w:pPr>
        <w:spacing w:after="240" w:line="240" w:lineRule="auto"/>
        <w:jc w:val="both"/>
      </w:pPr>
      <w:r w:rsidRPr="00992C45">
        <w:rPr>
          <w:lang w:val="fr-FR"/>
        </w:rPr>
        <w:t>Green, Adrian, ‘</w:t>
      </w:r>
      <w:proofErr w:type="spellStart"/>
      <w:r w:rsidRPr="00992C45">
        <w:rPr>
          <w:lang w:val="fr-FR"/>
        </w:rPr>
        <w:t>Consumption</w:t>
      </w:r>
      <w:proofErr w:type="spellEnd"/>
      <w:r w:rsidRPr="00992C45">
        <w:rPr>
          <w:lang w:val="fr-FR"/>
        </w:rPr>
        <w:t xml:space="preserve"> and </w:t>
      </w:r>
      <w:proofErr w:type="spellStart"/>
      <w:r w:rsidRPr="00992C45">
        <w:rPr>
          <w:lang w:val="fr-FR"/>
        </w:rPr>
        <w:t>material</w:t>
      </w:r>
      <w:proofErr w:type="spellEnd"/>
      <w:r w:rsidRPr="00992C45">
        <w:rPr>
          <w:lang w:val="fr-FR"/>
        </w:rPr>
        <w:t xml:space="preserve"> culture’, in Keith </w:t>
      </w:r>
      <w:proofErr w:type="spellStart"/>
      <w:r w:rsidRPr="00992C45">
        <w:rPr>
          <w:lang w:val="fr-FR"/>
        </w:rPr>
        <w:t>Wrightson</w:t>
      </w:r>
      <w:proofErr w:type="spellEnd"/>
      <w:r w:rsidRPr="00992C45">
        <w:rPr>
          <w:lang w:val="fr-FR"/>
        </w:rPr>
        <w:t xml:space="preserve"> (</w:t>
      </w:r>
      <w:proofErr w:type="spellStart"/>
      <w:r w:rsidRPr="00992C45">
        <w:rPr>
          <w:lang w:val="fr-FR"/>
        </w:rPr>
        <w:t>ed</w:t>
      </w:r>
      <w:proofErr w:type="spellEnd"/>
      <w:r w:rsidRPr="00992C45">
        <w:rPr>
          <w:lang w:val="fr-FR"/>
        </w:rPr>
        <w:t xml:space="preserve">.), </w:t>
      </w:r>
      <w:r w:rsidRPr="00992C45">
        <w:rPr>
          <w:i/>
          <w:iCs/>
          <w:lang w:val="fr-FR"/>
        </w:rPr>
        <w:t xml:space="preserve">A Social </w:t>
      </w:r>
      <w:proofErr w:type="spellStart"/>
      <w:r w:rsidRPr="00992C45">
        <w:rPr>
          <w:i/>
          <w:iCs/>
          <w:lang w:val="fr-FR"/>
        </w:rPr>
        <w:t>History</w:t>
      </w:r>
      <w:proofErr w:type="spellEnd"/>
      <w:r w:rsidRPr="00992C45">
        <w:rPr>
          <w:i/>
          <w:iCs/>
          <w:lang w:val="fr-FR"/>
        </w:rPr>
        <w:t xml:space="preserve"> of </w:t>
      </w:r>
      <w:proofErr w:type="spellStart"/>
      <w:r w:rsidRPr="00992C45">
        <w:rPr>
          <w:i/>
          <w:iCs/>
          <w:lang w:val="fr-FR"/>
        </w:rPr>
        <w:t>England</w:t>
      </w:r>
      <w:proofErr w:type="spellEnd"/>
      <w:r w:rsidRPr="00992C45">
        <w:rPr>
          <w:i/>
          <w:iCs/>
          <w:lang w:val="fr-FR"/>
        </w:rPr>
        <w:t xml:space="preserve">, 1500-1750, </w:t>
      </w:r>
      <w:r w:rsidRPr="00992C45">
        <w:rPr>
          <w:lang w:val="fr-FR"/>
        </w:rPr>
        <w:t>(Cambridge, 2017), pp.242-266</w:t>
      </w:r>
      <w:r w:rsidRPr="00992C45">
        <w:t> </w:t>
      </w:r>
    </w:p>
    <w:p w14:paraId="350EE9EC" w14:textId="77777777" w:rsidR="00992C45" w:rsidRPr="00992C45" w:rsidRDefault="00992C45" w:rsidP="0028398D">
      <w:pPr>
        <w:spacing w:after="240" w:line="240" w:lineRule="auto"/>
        <w:jc w:val="both"/>
      </w:pPr>
      <w:r w:rsidRPr="00992C45">
        <w:rPr>
          <w:lang w:val="fr-FR"/>
        </w:rPr>
        <w:t>Green, Adrian, ‘</w:t>
      </w:r>
      <w:proofErr w:type="spellStart"/>
      <w:r w:rsidRPr="00992C45">
        <w:rPr>
          <w:lang w:val="fr-FR"/>
        </w:rPr>
        <w:t>Heartless</w:t>
      </w:r>
      <w:proofErr w:type="spellEnd"/>
      <w:r w:rsidRPr="00992C45">
        <w:rPr>
          <w:lang w:val="fr-FR"/>
        </w:rPr>
        <w:t xml:space="preserve"> and </w:t>
      </w:r>
      <w:proofErr w:type="spellStart"/>
      <w:proofErr w:type="gramStart"/>
      <w:r w:rsidRPr="00992C45">
        <w:rPr>
          <w:lang w:val="fr-FR"/>
        </w:rPr>
        <w:t>unhomely</w:t>
      </w:r>
      <w:proofErr w:type="spellEnd"/>
      <w:r w:rsidRPr="00992C45">
        <w:rPr>
          <w:lang w:val="fr-FR"/>
        </w:rPr>
        <w:t>?</w:t>
      </w:r>
      <w:proofErr w:type="gramEnd"/>
      <w:r w:rsidRPr="00992C45">
        <w:rPr>
          <w:lang w:val="fr-FR"/>
        </w:rPr>
        <w:t xml:space="preserve"> </w:t>
      </w:r>
      <w:proofErr w:type="spellStart"/>
      <w:r w:rsidRPr="00992C45">
        <w:rPr>
          <w:lang w:val="fr-FR"/>
        </w:rPr>
        <w:t>Dwellings</w:t>
      </w:r>
      <w:proofErr w:type="spellEnd"/>
      <w:r w:rsidRPr="00992C45">
        <w:rPr>
          <w:lang w:val="fr-FR"/>
        </w:rPr>
        <w:t xml:space="preserve"> of the </w:t>
      </w:r>
      <w:proofErr w:type="spellStart"/>
      <w:r w:rsidRPr="00992C45">
        <w:rPr>
          <w:lang w:val="fr-FR"/>
        </w:rPr>
        <w:t>poor</w:t>
      </w:r>
      <w:proofErr w:type="spellEnd"/>
      <w:r w:rsidRPr="00992C45">
        <w:rPr>
          <w:lang w:val="fr-FR"/>
        </w:rPr>
        <w:t xml:space="preserve"> in East </w:t>
      </w:r>
      <w:proofErr w:type="spellStart"/>
      <w:r w:rsidRPr="00992C45">
        <w:rPr>
          <w:lang w:val="fr-FR"/>
        </w:rPr>
        <w:t>Anglia</w:t>
      </w:r>
      <w:proofErr w:type="spellEnd"/>
      <w:r w:rsidRPr="00992C45">
        <w:rPr>
          <w:lang w:val="fr-FR"/>
        </w:rPr>
        <w:t xml:space="preserve"> and </w:t>
      </w:r>
      <w:proofErr w:type="spellStart"/>
      <w:r w:rsidRPr="00992C45">
        <w:rPr>
          <w:lang w:val="fr-FR"/>
        </w:rPr>
        <w:t>north-east</w:t>
      </w:r>
      <w:proofErr w:type="spellEnd"/>
      <w:r w:rsidRPr="00992C45">
        <w:rPr>
          <w:lang w:val="fr-FR"/>
        </w:rPr>
        <w:t xml:space="preserve"> </w:t>
      </w:r>
      <w:proofErr w:type="spellStart"/>
      <w:r w:rsidRPr="00992C45">
        <w:rPr>
          <w:lang w:val="fr-FR"/>
        </w:rPr>
        <w:t>England</w:t>
      </w:r>
      <w:proofErr w:type="spellEnd"/>
      <w:r w:rsidRPr="00992C45">
        <w:rPr>
          <w:lang w:val="fr-FR"/>
        </w:rPr>
        <w:t>’, in Joanne McEwan and Pamela Sharpe (</w:t>
      </w:r>
      <w:proofErr w:type="spellStart"/>
      <w:r w:rsidRPr="00992C45">
        <w:rPr>
          <w:lang w:val="fr-FR"/>
        </w:rPr>
        <w:t>eds</w:t>
      </w:r>
      <w:proofErr w:type="spellEnd"/>
      <w:r w:rsidRPr="00992C45">
        <w:rPr>
          <w:lang w:val="fr-FR"/>
        </w:rPr>
        <w:t xml:space="preserve">), </w:t>
      </w:r>
      <w:proofErr w:type="spellStart"/>
      <w:r w:rsidRPr="00992C45">
        <w:rPr>
          <w:i/>
          <w:iCs/>
          <w:lang w:val="fr-FR"/>
        </w:rPr>
        <w:t>Accommodating</w:t>
      </w:r>
      <w:proofErr w:type="spellEnd"/>
      <w:r w:rsidRPr="00992C45">
        <w:rPr>
          <w:i/>
          <w:iCs/>
          <w:lang w:val="fr-FR"/>
        </w:rPr>
        <w:t xml:space="preserve"> </w:t>
      </w:r>
      <w:proofErr w:type="spellStart"/>
      <w:proofErr w:type="gramStart"/>
      <w:r w:rsidRPr="00992C45">
        <w:rPr>
          <w:i/>
          <w:iCs/>
          <w:lang w:val="fr-FR"/>
        </w:rPr>
        <w:t>Poverty</w:t>
      </w:r>
      <w:proofErr w:type="spellEnd"/>
      <w:r w:rsidRPr="00992C45">
        <w:rPr>
          <w:i/>
          <w:iCs/>
          <w:lang w:val="fr-FR"/>
        </w:rPr>
        <w:t>:</w:t>
      </w:r>
      <w:proofErr w:type="gramEnd"/>
      <w:r w:rsidRPr="00992C45">
        <w:rPr>
          <w:i/>
          <w:iCs/>
          <w:lang w:val="fr-FR"/>
        </w:rPr>
        <w:t xml:space="preserve"> The House and Living Arrangements of the English Poor, c. 1600-1850’, </w:t>
      </w:r>
      <w:r w:rsidRPr="00992C45">
        <w:rPr>
          <w:lang w:val="fr-FR"/>
        </w:rPr>
        <w:t>(London, 2011), pp.69-101</w:t>
      </w:r>
      <w:r w:rsidRPr="00992C45">
        <w:t> </w:t>
      </w:r>
    </w:p>
    <w:p w14:paraId="1830E412" w14:textId="77777777" w:rsidR="00992C45" w:rsidRPr="00992C45" w:rsidRDefault="00992C45" w:rsidP="0028398D">
      <w:pPr>
        <w:spacing w:after="240" w:line="240" w:lineRule="auto"/>
        <w:jc w:val="both"/>
      </w:pPr>
      <w:r w:rsidRPr="00992C45">
        <w:rPr>
          <w:lang w:val="fr-FR"/>
        </w:rPr>
        <w:t>Green, Adrian, ‘</w:t>
      </w:r>
      <w:proofErr w:type="spellStart"/>
      <w:r w:rsidRPr="00992C45">
        <w:rPr>
          <w:lang w:val="fr-FR"/>
        </w:rPr>
        <w:t>Houses</w:t>
      </w:r>
      <w:proofErr w:type="spellEnd"/>
      <w:r w:rsidRPr="00992C45">
        <w:rPr>
          <w:lang w:val="fr-FR"/>
        </w:rPr>
        <w:t xml:space="preserve"> and </w:t>
      </w:r>
      <w:proofErr w:type="spellStart"/>
      <w:r w:rsidRPr="00992C45">
        <w:rPr>
          <w:lang w:val="fr-FR"/>
        </w:rPr>
        <w:t>households</w:t>
      </w:r>
      <w:proofErr w:type="spellEnd"/>
      <w:r w:rsidRPr="00992C45">
        <w:rPr>
          <w:lang w:val="fr-FR"/>
        </w:rPr>
        <w:t xml:space="preserve"> in County Durham and Newcastle c.1570-1730’, (Durham </w:t>
      </w:r>
      <w:proofErr w:type="spellStart"/>
      <w:r w:rsidRPr="00992C45">
        <w:rPr>
          <w:lang w:val="fr-FR"/>
        </w:rPr>
        <w:t>University</w:t>
      </w:r>
      <w:proofErr w:type="spellEnd"/>
      <w:r w:rsidRPr="00992C45">
        <w:rPr>
          <w:lang w:val="fr-FR"/>
        </w:rPr>
        <w:t xml:space="preserve">, </w:t>
      </w:r>
      <w:proofErr w:type="gramStart"/>
      <w:r w:rsidRPr="00992C45">
        <w:rPr>
          <w:lang w:val="fr-FR"/>
        </w:rPr>
        <w:t>2000;</w:t>
      </w:r>
      <w:proofErr w:type="gramEnd"/>
      <w:r w:rsidRPr="00992C45">
        <w:rPr>
          <w:lang w:val="fr-FR"/>
        </w:rPr>
        <w:t xml:space="preserve"> </w:t>
      </w:r>
      <w:proofErr w:type="spellStart"/>
      <w:r w:rsidRPr="00992C45">
        <w:rPr>
          <w:lang w:val="fr-FR"/>
        </w:rPr>
        <w:t>unpublished</w:t>
      </w:r>
      <w:proofErr w:type="spellEnd"/>
      <w:r w:rsidRPr="00992C45">
        <w:rPr>
          <w:lang w:val="fr-FR"/>
        </w:rPr>
        <w:t xml:space="preserve"> PhD </w:t>
      </w:r>
      <w:proofErr w:type="spellStart"/>
      <w:r w:rsidRPr="00992C45">
        <w:rPr>
          <w:lang w:val="fr-FR"/>
        </w:rPr>
        <w:t>thesis</w:t>
      </w:r>
      <w:proofErr w:type="spellEnd"/>
      <w:r w:rsidRPr="00992C45">
        <w:rPr>
          <w:lang w:val="fr-FR"/>
        </w:rPr>
        <w:t>)</w:t>
      </w:r>
      <w:r w:rsidRPr="00992C45">
        <w:t> </w:t>
      </w:r>
    </w:p>
    <w:p w14:paraId="26AA3825" w14:textId="77777777" w:rsidR="00992C45" w:rsidRPr="00992C45" w:rsidRDefault="00992C45" w:rsidP="0028398D">
      <w:pPr>
        <w:spacing w:after="240" w:line="240" w:lineRule="auto"/>
        <w:jc w:val="both"/>
      </w:pPr>
      <w:r w:rsidRPr="00992C45">
        <w:rPr>
          <w:lang w:val="en-US"/>
        </w:rPr>
        <w:t xml:space="preserve">Green, Juana, ‘Properties of marriage: proprietary conflict and the calculus of gender in </w:t>
      </w:r>
      <w:proofErr w:type="spellStart"/>
      <w:r w:rsidRPr="00992C45">
        <w:rPr>
          <w:i/>
          <w:iCs/>
          <w:lang w:val="en-US"/>
        </w:rPr>
        <w:t>Epicoene</w:t>
      </w:r>
      <w:proofErr w:type="spellEnd"/>
      <w:r w:rsidRPr="00992C45">
        <w:rPr>
          <w:lang w:val="en-US"/>
        </w:rPr>
        <w:t xml:space="preserve">’, in Jonathan Gil Harris and Natasha Korda (eds), </w:t>
      </w:r>
      <w:r w:rsidRPr="00992C45">
        <w:rPr>
          <w:i/>
          <w:iCs/>
          <w:lang w:val="en-US"/>
        </w:rPr>
        <w:t xml:space="preserve">Staged Properties in Early Modern English Drama, </w:t>
      </w:r>
      <w:r w:rsidRPr="00992C45">
        <w:rPr>
          <w:lang w:val="en-US"/>
        </w:rPr>
        <w:t>(Cambridge, 2002), pp.261-288</w:t>
      </w:r>
      <w:r w:rsidRPr="00992C45">
        <w:t> </w:t>
      </w:r>
    </w:p>
    <w:p w14:paraId="6B38A05B" w14:textId="77777777" w:rsidR="00992C45" w:rsidRPr="00992C45" w:rsidRDefault="00992C45" w:rsidP="0028398D">
      <w:pPr>
        <w:spacing w:after="240" w:line="240" w:lineRule="auto"/>
        <w:jc w:val="both"/>
      </w:pPr>
      <w:r w:rsidRPr="00992C45">
        <w:rPr>
          <w:lang w:val="en-US"/>
        </w:rPr>
        <w:t xml:space="preserve">Griffin, </w:t>
      </w:r>
      <w:proofErr w:type="gramStart"/>
      <w:r w:rsidRPr="00992C45">
        <w:rPr>
          <w:lang w:val="en-US"/>
        </w:rPr>
        <w:t>Emma, ‘</w:t>
      </w:r>
      <w:proofErr w:type="gramEnd"/>
      <w:r w:rsidRPr="00992C45">
        <w:rPr>
          <w:lang w:val="en-US"/>
        </w:rPr>
        <w:t xml:space="preserve">A conundrum resolved? Rethinking courtship, marriage and population growth in eighteenth-century England’, </w:t>
      </w:r>
      <w:r w:rsidRPr="00992C45">
        <w:rPr>
          <w:i/>
          <w:iCs/>
          <w:lang w:val="en-US"/>
        </w:rPr>
        <w:t xml:space="preserve">Past &amp; Present, </w:t>
      </w:r>
      <w:r w:rsidRPr="00992C45">
        <w:rPr>
          <w:lang w:val="en-US"/>
        </w:rPr>
        <w:t>Vol. 215, (2012), pp.125-164</w:t>
      </w:r>
      <w:r w:rsidRPr="00992C45">
        <w:t> </w:t>
      </w:r>
    </w:p>
    <w:p w14:paraId="766CB6BF" w14:textId="77777777" w:rsidR="00992C45" w:rsidRPr="00992C45" w:rsidRDefault="00992C45" w:rsidP="0028398D">
      <w:pPr>
        <w:spacing w:after="240" w:line="240" w:lineRule="auto"/>
        <w:jc w:val="both"/>
      </w:pPr>
      <w:r w:rsidRPr="00992C45">
        <w:rPr>
          <w:lang w:val="en-US"/>
        </w:rPr>
        <w:t xml:space="preserve">Griffiths, Elizabeth and Jane Whittle, </w:t>
      </w:r>
      <w:r w:rsidRPr="00992C45">
        <w:rPr>
          <w:i/>
          <w:iCs/>
          <w:lang w:val="en-US"/>
        </w:rPr>
        <w:t xml:space="preserve">Consumption and Gender in the Early Seventeenth-Century Household: The World of Alice Le Strange, </w:t>
      </w:r>
      <w:r w:rsidRPr="00992C45">
        <w:rPr>
          <w:lang w:val="en-US"/>
        </w:rPr>
        <w:t>(Oxford, 2012)</w:t>
      </w:r>
      <w:r w:rsidRPr="00992C45">
        <w:t> </w:t>
      </w:r>
    </w:p>
    <w:p w14:paraId="43ABA89C" w14:textId="77777777" w:rsidR="00992C45" w:rsidRPr="00992C45" w:rsidRDefault="00992C45" w:rsidP="0028398D">
      <w:pPr>
        <w:spacing w:after="240" w:line="240" w:lineRule="auto"/>
        <w:jc w:val="both"/>
      </w:pPr>
      <w:r w:rsidRPr="00992C45">
        <w:rPr>
          <w:lang w:val="en-US"/>
        </w:rPr>
        <w:t xml:space="preserve">Gruia, Ana </w:t>
      </w:r>
      <w:proofErr w:type="gramStart"/>
      <w:r w:rsidRPr="00992C45">
        <w:rPr>
          <w:lang w:val="en-US"/>
        </w:rPr>
        <w:t>Maria, ‘</w:t>
      </w:r>
      <w:proofErr w:type="gramEnd"/>
      <w:r w:rsidRPr="00992C45">
        <w:rPr>
          <w:lang w:val="en-US"/>
        </w:rPr>
        <w:t xml:space="preserve">Magic in the house: functions of images on medieval stoves tiles from Transylvania, Moldavia and Walachia’, </w:t>
      </w:r>
      <w:r w:rsidRPr="00992C45">
        <w:rPr>
          <w:i/>
          <w:iCs/>
          <w:lang w:val="en-US"/>
        </w:rPr>
        <w:t xml:space="preserve">Studia </w:t>
      </w:r>
      <w:proofErr w:type="spellStart"/>
      <w:r w:rsidRPr="00992C45">
        <w:rPr>
          <w:i/>
          <w:iCs/>
          <w:lang w:val="en-US"/>
        </w:rPr>
        <w:t>Patzinaka</w:t>
      </w:r>
      <w:proofErr w:type="spellEnd"/>
      <w:r w:rsidRPr="00992C45">
        <w:rPr>
          <w:lang w:val="en-US"/>
        </w:rPr>
        <w:t>, Vol. 5, (2007), pp.7-46</w:t>
      </w:r>
      <w:r w:rsidRPr="00992C45">
        <w:t> </w:t>
      </w:r>
    </w:p>
    <w:p w14:paraId="2B703FD1" w14:textId="77777777" w:rsidR="00992C45" w:rsidRPr="00992C45" w:rsidRDefault="00992C45" w:rsidP="0028398D">
      <w:pPr>
        <w:spacing w:after="240" w:line="240" w:lineRule="auto"/>
        <w:jc w:val="both"/>
      </w:pPr>
      <w:r w:rsidRPr="00992C45">
        <w:rPr>
          <w:lang w:val="en-US"/>
        </w:rPr>
        <w:t xml:space="preserve">Guerrini, </w:t>
      </w:r>
      <w:proofErr w:type="gramStart"/>
      <w:r w:rsidRPr="00992C45">
        <w:rPr>
          <w:lang w:val="en-US"/>
        </w:rPr>
        <w:t>Anita, ‘</w:t>
      </w:r>
      <w:proofErr w:type="gramEnd"/>
      <w:r w:rsidRPr="00992C45">
        <w:rPr>
          <w:lang w:val="en-US"/>
        </w:rPr>
        <w:t xml:space="preserve">The ghastly kitchen’, </w:t>
      </w:r>
      <w:r w:rsidRPr="00992C45">
        <w:rPr>
          <w:i/>
          <w:iCs/>
          <w:lang w:val="en-US"/>
        </w:rPr>
        <w:t xml:space="preserve">History of Science, </w:t>
      </w:r>
      <w:r w:rsidRPr="00992C45">
        <w:rPr>
          <w:lang w:val="en-US"/>
        </w:rPr>
        <w:t>Vol. 54, No. 1, (2016), pp.71-97</w:t>
      </w:r>
      <w:r w:rsidRPr="00992C45">
        <w:t> </w:t>
      </w:r>
    </w:p>
    <w:p w14:paraId="0C4CF1EC" w14:textId="77777777" w:rsidR="00992C45" w:rsidRPr="00992C45" w:rsidRDefault="00992C45" w:rsidP="0028398D">
      <w:pPr>
        <w:spacing w:after="240" w:line="240" w:lineRule="auto"/>
        <w:jc w:val="both"/>
      </w:pPr>
      <w:r w:rsidRPr="00992C45">
        <w:rPr>
          <w:lang w:val="en-US"/>
        </w:rPr>
        <w:t>Gulley, J. M</w:t>
      </w:r>
      <w:proofErr w:type="gramStart"/>
      <w:r w:rsidRPr="00992C45">
        <w:rPr>
          <w:lang w:val="en-US"/>
        </w:rPr>
        <w:t>., ‘</w:t>
      </w:r>
      <w:proofErr w:type="gramEnd"/>
      <w:r w:rsidRPr="00992C45">
        <w:rPr>
          <w:lang w:val="en-US"/>
        </w:rPr>
        <w:t xml:space="preserve">The Great Rebuilding in the Weald’, </w:t>
      </w:r>
      <w:proofErr w:type="spellStart"/>
      <w:r w:rsidRPr="00992C45">
        <w:rPr>
          <w:i/>
          <w:iCs/>
          <w:lang w:val="en-US"/>
        </w:rPr>
        <w:t>Gwerin</w:t>
      </w:r>
      <w:proofErr w:type="spellEnd"/>
      <w:r w:rsidRPr="00992C45">
        <w:rPr>
          <w:lang w:val="en-US"/>
        </w:rPr>
        <w:t>, Vol. 3, No. 3, (1961), pp.126-141</w:t>
      </w:r>
      <w:r w:rsidRPr="00992C45">
        <w:t> </w:t>
      </w:r>
    </w:p>
    <w:p w14:paraId="7EE998A9" w14:textId="77777777" w:rsidR="00992C45" w:rsidRPr="00992C45" w:rsidRDefault="00992C45" w:rsidP="0028398D">
      <w:pPr>
        <w:spacing w:after="240" w:line="240" w:lineRule="auto"/>
        <w:jc w:val="both"/>
      </w:pPr>
      <w:proofErr w:type="spellStart"/>
      <w:r w:rsidRPr="00992C45">
        <w:rPr>
          <w:lang w:val="fr-FR"/>
        </w:rPr>
        <w:t>Hailwood</w:t>
      </w:r>
      <w:proofErr w:type="spellEnd"/>
      <w:r w:rsidRPr="00992C45">
        <w:rPr>
          <w:lang w:val="fr-FR"/>
        </w:rPr>
        <w:t>, Mark, ‘</w:t>
      </w:r>
      <w:proofErr w:type="spellStart"/>
      <w:r w:rsidRPr="00992C45">
        <w:rPr>
          <w:lang w:val="fr-FR"/>
        </w:rPr>
        <w:t>Rethinking</w:t>
      </w:r>
      <w:proofErr w:type="spellEnd"/>
      <w:r w:rsidRPr="00992C45">
        <w:rPr>
          <w:lang w:val="fr-FR"/>
        </w:rPr>
        <w:t xml:space="preserve"> </w:t>
      </w:r>
      <w:proofErr w:type="spellStart"/>
      <w:r w:rsidRPr="00992C45">
        <w:rPr>
          <w:lang w:val="fr-FR"/>
        </w:rPr>
        <w:t>literacy</w:t>
      </w:r>
      <w:proofErr w:type="spellEnd"/>
      <w:r w:rsidRPr="00992C45">
        <w:rPr>
          <w:lang w:val="fr-FR"/>
        </w:rPr>
        <w:t xml:space="preserve"> in rural </w:t>
      </w:r>
      <w:proofErr w:type="spellStart"/>
      <w:r w:rsidRPr="00992C45">
        <w:rPr>
          <w:lang w:val="fr-FR"/>
        </w:rPr>
        <w:t>England</w:t>
      </w:r>
      <w:proofErr w:type="spellEnd"/>
      <w:r w:rsidRPr="00992C45">
        <w:rPr>
          <w:lang w:val="fr-FR"/>
        </w:rPr>
        <w:t xml:space="preserve">, 1550-1700’, </w:t>
      </w:r>
      <w:r w:rsidRPr="00992C45">
        <w:rPr>
          <w:i/>
          <w:iCs/>
          <w:lang w:val="fr-FR"/>
        </w:rPr>
        <w:t xml:space="preserve">Past &amp; </w:t>
      </w:r>
      <w:proofErr w:type="spellStart"/>
      <w:r w:rsidRPr="00992C45">
        <w:rPr>
          <w:i/>
          <w:iCs/>
          <w:lang w:val="fr-FR"/>
        </w:rPr>
        <w:t>Present</w:t>
      </w:r>
      <w:proofErr w:type="spellEnd"/>
      <w:r w:rsidRPr="00992C45">
        <w:rPr>
          <w:i/>
          <w:iCs/>
          <w:lang w:val="fr-FR"/>
        </w:rPr>
        <w:t xml:space="preserve">, </w:t>
      </w:r>
      <w:r w:rsidRPr="00992C45">
        <w:rPr>
          <w:lang w:val="fr-FR"/>
        </w:rPr>
        <w:t>Vol. 260, No. 1, (2023), pp.38-70</w:t>
      </w:r>
      <w:r w:rsidRPr="00992C45">
        <w:t> </w:t>
      </w:r>
    </w:p>
    <w:p w14:paraId="629298DB" w14:textId="77777777" w:rsidR="00992C45" w:rsidRPr="00992C45" w:rsidRDefault="00992C45" w:rsidP="0028398D">
      <w:pPr>
        <w:spacing w:after="240" w:line="240" w:lineRule="auto"/>
        <w:jc w:val="both"/>
      </w:pPr>
      <w:r w:rsidRPr="00992C45">
        <w:rPr>
          <w:lang w:val="en-US"/>
        </w:rPr>
        <w:t xml:space="preserve">Hallam, </w:t>
      </w:r>
      <w:proofErr w:type="gramStart"/>
      <w:r w:rsidRPr="00992C45">
        <w:rPr>
          <w:lang w:val="en-US"/>
        </w:rPr>
        <w:t>Elizabeth, ‘</w:t>
      </w:r>
      <w:proofErr w:type="gramEnd"/>
      <w:r w:rsidRPr="00992C45">
        <w:rPr>
          <w:lang w:val="en-US"/>
        </w:rPr>
        <w:t xml:space="preserve">Turning the hourglass: gender relations at the deathbed in early modern Canterbury’, </w:t>
      </w:r>
      <w:r w:rsidRPr="00992C45">
        <w:rPr>
          <w:i/>
          <w:iCs/>
          <w:lang w:val="en-US"/>
        </w:rPr>
        <w:t>Mortality</w:t>
      </w:r>
      <w:r w:rsidRPr="00992C45">
        <w:rPr>
          <w:lang w:val="en-US"/>
        </w:rPr>
        <w:t>, Vol. 1, No.1, (1996), pp.61-82</w:t>
      </w:r>
      <w:r w:rsidRPr="00992C45">
        <w:t> </w:t>
      </w:r>
    </w:p>
    <w:p w14:paraId="2CFF075D" w14:textId="77777777" w:rsidR="00992C45" w:rsidRPr="00992C45" w:rsidRDefault="00992C45" w:rsidP="0028398D">
      <w:pPr>
        <w:spacing w:after="240" w:line="240" w:lineRule="auto"/>
        <w:jc w:val="both"/>
      </w:pPr>
      <w:r w:rsidRPr="00992C45">
        <w:rPr>
          <w:lang w:val="en-US"/>
        </w:rPr>
        <w:t>Hamling, Tara and Catherine Richardson,</w:t>
      </w:r>
      <w:r w:rsidRPr="00992C45">
        <w:rPr>
          <w:i/>
          <w:iCs/>
          <w:lang w:val="en-US"/>
        </w:rPr>
        <w:t xml:space="preserve"> A Day at Home in Early Modern England: Material Culture and Domestic Life, 1500-1700,</w:t>
      </w:r>
      <w:r w:rsidRPr="00992C45">
        <w:rPr>
          <w:lang w:val="en-US"/>
        </w:rPr>
        <w:t xml:space="preserve"> (New Haven, 2017)</w:t>
      </w:r>
      <w:r w:rsidRPr="00992C45">
        <w:t> </w:t>
      </w:r>
    </w:p>
    <w:p w14:paraId="4ECA53A6" w14:textId="77777777" w:rsidR="00992C45" w:rsidRPr="00992C45" w:rsidRDefault="00992C45" w:rsidP="0028398D">
      <w:pPr>
        <w:spacing w:after="240" w:line="240" w:lineRule="auto"/>
        <w:jc w:val="both"/>
      </w:pPr>
      <w:r w:rsidRPr="00992C45">
        <w:rPr>
          <w:lang w:val="en-US"/>
        </w:rPr>
        <w:t>Hamling, Tara and Catherine Richardson,</w:t>
      </w:r>
      <w:r w:rsidRPr="00992C45">
        <w:rPr>
          <w:i/>
          <w:iCs/>
          <w:lang w:val="en-US"/>
        </w:rPr>
        <w:t xml:space="preserve"> Everyday Objects: Medieval and Early Modern Material Culture and its Meanings, </w:t>
      </w:r>
      <w:r w:rsidRPr="00992C45">
        <w:rPr>
          <w:lang w:val="en-US"/>
        </w:rPr>
        <w:t>(Abingdon, 2010)</w:t>
      </w:r>
      <w:r w:rsidRPr="00992C45">
        <w:t> </w:t>
      </w:r>
    </w:p>
    <w:p w14:paraId="42F7F17A" w14:textId="77777777" w:rsidR="00992C45" w:rsidRPr="00992C45" w:rsidRDefault="00992C45" w:rsidP="0028398D">
      <w:pPr>
        <w:spacing w:after="240" w:line="240" w:lineRule="auto"/>
        <w:jc w:val="both"/>
      </w:pPr>
      <w:r w:rsidRPr="00992C45">
        <w:rPr>
          <w:lang w:val="en-US"/>
        </w:rPr>
        <w:t xml:space="preserve">Hamling, Tara, ‘The household’, in Anna French (ed.), </w:t>
      </w:r>
      <w:r w:rsidRPr="00992C45">
        <w:rPr>
          <w:i/>
          <w:iCs/>
          <w:lang w:val="en-US"/>
        </w:rPr>
        <w:t xml:space="preserve">Early Modern Childhood: An Introduction, </w:t>
      </w:r>
      <w:r w:rsidRPr="00992C45">
        <w:rPr>
          <w:lang w:val="en-US"/>
        </w:rPr>
        <w:t>(London, 2020), pp.33-54</w:t>
      </w:r>
      <w:r w:rsidRPr="00992C45">
        <w:t> </w:t>
      </w:r>
    </w:p>
    <w:p w14:paraId="3CF7BDEC" w14:textId="77777777" w:rsidR="00992C45" w:rsidRPr="00992C45" w:rsidRDefault="00992C45" w:rsidP="0028398D">
      <w:pPr>
        <w:spacing w:after="240" w:line="240" w:lineRule="auto"/>
        <w:jc w:val="both"/>
      </w:pPr>
      <w:r w:rsidRPr="00992C45">
        <w:rPr>
          <w:lang w:val="en-US"/>
        </w:rPr>
        <w:t xml:space="preserve">Hamling, Tara, '“An </w:t>
      </w:r>
      <w:proofErr w:type="spellStart"/>
      <w:r w:rsidRPr="00992C45">
        <w:rPr>
          <w:lang w:val="en-US"/>
        </w:rPr>
        <w:t>arelome</w:t>
      </w:r>
      <w:proofErr w:type="spellEnd"/>
      <w:r w:rsidRPr="00992C45">
        <w:rPr>
          <w:lang w:val="en-US"/>
        </w:rPr>
        <w:t xml:space="preserve"> to this </w:t>
      </w:r>
      <w:proofErr w:type="spellStart"/>
      <w:r w:rsidRPr="00992C45">
        <w:rPr>
          <w:lang w:val="en-US"/>
        </w:rPr>
        <w:t>hous</w:t>
      </w:r>
      <w:proofErr w:type="spellEnd"/>
      <w:r w:rsidRPr="00992C45">
        <w:rPr>
          <w:lang w:val="en-US"/>
        </w:rPr>
        <w:t xml:space="preserve"> </w:t>
      </w:r>
      <w:proofErr w:type="spellStart"/>
      <w:r w:rsidRPr="00992C45">
        <w:rPr>
          <w:lang w:val="en-US"/>
        </w:rPr>
        <w:t>for ever</w:t>
      </w:r>
      <w:proofErr w:type="spellEnd"/>
      <w:r w:rsidRPr="00992C45">
        <w:rPr>
          <w:lang w:val="en-US"/>
        </w:rPr>
        <w:t xml:space="preserve">”: monumental fixtures and furnishings in the English domestic Interior, c.1560- c.1660’, in Andrew Gordon and Thomas Rist (eds), </w:t>
      </w:r>
      <w:r w:rsidRPr="00992C45">
        <w:rPr>
          <w:i/>
          <w:iCs/>
          <w:lang w:val="en-US"/>
        </w:rPr>
        <w:t xml:space="preserve">The Arts of Remembrance in Early Modern England: Memorial Cultures in the Post Reformation, </w:t>
      </w:r>
      <w:r w:rsidRPr="00992C45">
        <w:rPr>
          <w:lang w:val="en-US"/>
        </w:rPr>
        <w:t>(Abingdon, 2013), pp.59-83</w:t>
      </w:r>
      <w:r w:rsidRPr="00992C45">
        <w:t> </w:t>
      </w:r>
    </w:p>
    <w:p w14:paraId="073DD018" w14:textId="77777777" w:rsidR="00992C45" w:rsidRPr="00992C45" w:rsidRDefault="00992C45" w:rsidP="0028398D">
      <w:pPr>
        <w:spacing w:after="240" w:line="240" w:lineRule="auto"/>
        <w:jc w:val="both"/>
      </w:pPr>
      <w:r w:rsidRPr="00992C45">
        <w:rPr>
          <w:lang w:val="en-US"/>
        </w:rPr>
        <w:lastRenderedPageBreak/>
        <w:t xml:space="preserve">Handley, Sasha, ‘Lusty sack possets, nuptial affections and the material communities of early modern weddings’, </w:t>
      </w:r>
      <w:r w:rsidRPr="00992C45">
        <w:rPr>
          <w:i/>
          <w:iCs/>
          <w:lang w:val="en-US"/>
        </w:rPr>
        <w:t xml:space="preserve">Environment and History, </w:t>
      </w:r>
      <w:r w:rsidRPr="00992C45">
        <w:rPr>
          <w:lang w:val="en-US"/>
        </w:rPr>
        <w:t>Vol. 28, No. 3, (2022), pp.375-395</w:t>
      </w:r>
      <w:r w:rsidRPr="00992C45">
        <w:t> </w:t>
      </w:r>
    </w:p>
    <w:p w14:paraId="6964D586" w14:textId="77777777" w:rsidR="00992C45" w:rsidRPr="00992C45" w:rsidRDefault="00992C45" w:rsidP="0028398D">
      <w:pPr>
        <w:spacing w:after="240" w:line="240" w:lineRule="auto"/>
        <w:jc w:val="both"/>
      </w:pPr>
      <w:r w:rsidRPr="00992C45">
        <w:rPr>
          <w:lang w:val="en-US"/>
        </w:rPr>
        <w:t xml:space="preserve">Handley, </w:t>
      </w:r>
      <w:proofErr w:type="gramStart"/>
      <w:r w:rsidRPr="00992C45">
        <w:rPr>
          <w:lang w:val="en-US"/>
        </w:rPr>
        <w:t>Sasha, ‘</w:t>
      </w:r>
      <w:proofErr w:type="gramEnd"/>
      <w:r w:rsidRPr="00992C45">
        <w:rPr>
          <w:lang w:val="en-US"/>
        </w:rPr>
        <w:t xml:space="preserve">Objects, emotions and an early modern </w:t>
      </w:r>
      <w:proofErr w:type="gramStart"/>
      <w:r w:rsidRPr="00992C45">
        <w:rPr>
          <w:lang w:val="en-US"/>
        </w:rPr>
        <w:t>bed-sheet</w:t>
      </w:r>
      <w:proofErr w:type="gramEnd"/>
      <w:r w:rsidRPr="00992C45">
        <w:rPr>
          <w:lang w:val="en-US"/>
        </w:rPr>
        <w:t xml:space="preserve">’, </w:t>
      </w:r>
      <w:r w:rsidRPr="00992C45">
        <w:rPr>
          <w:i/>
          <w:iCs/>
          <w:lang w:val="en-US"/>
        </w:rPr>
        <w:t xml:space="preserve">History Workshop Journal, </w:t>
      </w:r>
      <w:r w:rsidRPr="00992C45">
        <w:rPr>
          <w:lang w:val="en-US"/>
        </w:rPr>
        <w:t>Vol. 85, (2018), pp.169-194</w:t>
      </w:r>
      <w:r w:rsidRPr="00992C45">
        <w:t> </w:t>
      </w:r>
    </w:p>
    <w:p w14:paraId="5C606758" w14:textId="77777777" w:rsidR="00992C45" w:rsidRPr="00992C45" w:rsidRDefault="00992C45" w:rsidP="0028398D">
      <w:pPr>
        <w:spacing w:after="240" w:line="240" w:lineRule="auto"/>
        <w:jc w:val="both"/>
      </w:pPr>
      <w:r w:rsidRPr="00992C45">
        <w:rPr>
          <w:lang w:val="en-US"/>
        </w:rPr>
        <w:t xml:space="preserve">Handley, Sasha, </w:t>
      </w:r>
      <w:r w:rsidRPr="00992C45">
        <w:rPr>
          <w:i/>
          <w:iCs/>
          <w:lang w:val="en-US"/>
        </w:rPr>
        <w:t xml:space="preserve">Sleep in Early Modern England, </w:t>
      </w:r>
      <w:r w:rsidRPr="00992C45">
        <w:rPr>
          <w:lang w:val="en-US"/>
        </w:rPr>
        <w:t>(Yale, 2016)</w:t>
      </w:r>
      <w:r w:rsidRPr="00992C45">
        <w:t> </w:t>
      </w:r>
    </w:p>
    <w:p w14:paraId="796989DC" w14:textId="77777777" w:rsidR="00992C45" w:rsidRPr="00992C45" w:rsidRDefault="00992C45" w:rsidP="0028398D">
      <w:pPr>
        <w:spacing w:after="240" w:line="240" w:lineRule="auto"/>
        <w:jc w:val="both"/>
      </w:pPr>
      <w:r w:rsidRPr="00992C45">
        <w:rPr>
          <w:lang w:val="en-US"/>
        </w:rPr>
        <w:t xml:space="preserve">Harding, </w:t>
      </w:r>
      <w:proofErr w:type="gramStart"/>
      <w:r w:rsidRPr="00992C45">
        <w:rPr>
          <w:lang w:val="en-US"/>
        </w:rPr>
        <w:t>Vanessa, ‘</w:t>
      </w:r>
      <w:proofErr w:type="gramEnd"/>
      <w:r w:rsidRPr="00992C45">
        <w:rPr>
          <w:lang w:val="en-US"/>
        </w:rPr>
        <w:t xml:space="preserve">Sons, apprentices and successors in late medieval and early modern London: the transmission of skills and work opportunities’, in Finn-Einar Eliassen and Katalin Szende (eds), </w:t>
      </w:r>
      <w:r w:rsidRPr="00992C45">
        <w:rPr>
          <w:i/>
          <w:iCs/>
          <w:lang w:val="en-US"/>
        </w:rPr>
        <w:t xml:space="preserve">Generations in Towns: Succession and Success in Pre-Industrial Urban Societies, </w:t>
      </w:r>
      <w:r w:rsidRPr="00992C45">
        <w:rPr>
          <w:lang w:val="en-US"/>
        </w:rPr>
        <w:t>(Newcastle, 2009), pp.153-168</w:t>
      </w:r>
      <w:r w:rsidRPr="00992C45">
        <w:t> </w:t>
      </w:r>
    </w:p>
    <w:p w14:paraId="60DAB687" w14:textId="77777777" w:rsidR="00992C45" w:rsidRPr="00992C45" w:rsidRDefault="00992C45" w:rsidP="0028398D">
      <w:pPr>
        <w:spacing w:after="240" w:line="240" w:lineRule="auto"/>
        <w:jc w:val="both"/>
      </w:pPr>
      <w:r w:rsidRPr="00992C45">
        <w:rPr>
          <w:lang w:val="en-US"/>
        </w:rPr>
        <w:t xml:space="preserve">Haydon, </w:t>
      </w:r>
      <w:proofErr w:type="gramStart"/>
      <w:r w:rsidRPr="00992C45">
        <w:rPr>
          <w:lang w:val="en-US"/>
        </w:rPr>
        <w:t>Colin, ‘</w:t>
      </w:r>
      <w:proofErr w:type="gramEnd"/>
      <w:r w:rsidRPr="00992C45">
        <w:rPr>
          <w:lang w:val="en-US"/>
        </w:rPr>
        <w:t xml:space="preserve">Religious minorities in England’, in H. T. Dickinson (ed.), </w:t>
      </w:r>
      <w:r w:rsidRPr="00992C45">
        <w:rPr>
          <w:i/>
          <w:iCs/>
          <w:lang w:val="en-US"/>
        </w:rPr>
        <w:t xml:space="preserve">A Companion to Eighteenth-Century Britain, </w:t>
      </w:r>
      <w:r w:rsidRPr="00992C45">
        <w:rPr>
          <w:lang w:val="en-US"/>
        </w:rPr>
        <w:t>(Oxford, 2002), pp.241-251</w:t>
      </w:r>
      <w:r w:rsidRPr="00992C45">
        <w:t> </w:t>
      </w:r>
    </w:p>
    <w:p w14:paraId="419951C1" w14:textId="77777777" w:rsidR="00992C45" w:rsidRPr="00992C45" w:rsidRDefault="00992C45" w:rsidP="0028398D">
      <w:pPr>
        <w:spacing w:after="240" w:line="240" w:lineRule="auto"/>
        <w:jc w:val="both"/>
      </w:pPr>
      <w:r w:rsidRPr="00992C45">
        <w:rPr>
          <w:lang w:val="en-US"/>
        </w:rPr>
        <w:t xml:space="preserve">Heal, Felicity, </w:t>
      </w:r>
      <w:r w:rsidRPr="00992C45">
        <w:rPr>
          <w:i/>
          <w:iCs/>
          <w:lang w:val="en-US"/>
        </w:rPr>
        <w:t xml:space="preserve">The Power of Gifts: Gift Exchange in Early Modern England, </w:t>
      </w:r>
      <w:r w:rsidRPr="00992C45">
        <w:rPr>
          <w:lang w:val="en-US"/>
        </w:rPr>
        <w:t>(Oxford, 2014)</w:t>
      </w:r>
      <w:r w:rsidRPr="00992C45">
        <w:t> </w:t>
      </w:r>
    </w:p>
    <w:p w14:paraId="31E2247E" w14:textId="77777777" w:rsidR="00992C45" w:rsidRPr="00992C45" w:rsidRDefault="00992C45" w:rsidP="0028398D">
      <w:pPr>
        <w:spacing w:after="240" w:line="240" w:lineRule="auto"/>
        <w:jc w:val="both"/>
      </w:pPr>
      <w:r w:rsidRPr="00992C45">
        <w:rPr>
          <w:lang w:val="en-US"/>
        </w:rPr>
        <w:t xml:space="preserve">Healy, </w:t>
      </w:r>
      <w:proofErr w:type="gramStart"/>
      <w:r w:rsidRPr="00992C45">
        <w:rPr>
          <w:lang w:val="en-US"/>
        </w:rPr>
        <w:t>Margaret, ‘</w:t>
      </w:r>
      <w:proofErr w:type="gramEnd"/>
      <w:r w:rsidRPr="00992C45">
        <w:rPr>
          <w:lang w:val="en-US"/>
        </w:rPr>
        <w:t xml:space="preserve">Wearing powerful words and objects: healing prosthetics’, </w:t>
      </w:r>
      <w:r w:rsidRPr="00992C45">
        <w:rPr>
          <w:i/>
          <w:iCs/>
          <w:lang w:val="en-US"/>
        </w:rPr>
        <w:t>Textual Practice</w:t>
      </w:r>
      <w:r w:rsidRPr="00992C45">
        <w:rPr>
          <w:lang w:val="en-US"/>
        </w:rPr>
        <w:t>, Vol. 30, No. 7, (2016), pp.1233-1251</w:t>
      </w:r>
      <w:r w:rsidRPr="00992C45">
        <w:t> </w:t>
      </w:r>
    </w:p>
    <w:p w14:paraId="4B9EC546" w14:textId="77777777" w:rsidR="00992C45" w:rsidRPr="00992C45" w:rsidRDefault="00992C45" w:rsidP="0028398D">
      <w:pPr>
        <w:spacing w:after="240" w:line="240" w:lineRule="auto"/>
        <w:jc w:val="both"/>
      </w:pPr>
      <w:r w:rsidRPr="00992C45">
        <w:rPr>
          <w:lang w:val="en-US"/>
        </w:rPr>
        <w:t xml:space="preserve">Heape, Richard, </w:t>
      </w:r>
      <w:r w:rsidRPr="00992C45">
        <w:rPr>
          <w:i/>
          <w:iCs/>
          <w:lang w:val="en-US"/>
        </w:rPr>
        <w:t xml:space="preserve">Inscribed and Dated Stones and Sundials </w:t>
      </w:r>
      <w:proofErr w:type="gramStart"/>
      <w:r w:rsidRPr="00992C45">
        <w:rPr>
          <w:i/>
          <w:iCs/>
          <w:lang w:val="en-US"/>
        </w:rPr>
        <w:t>In</w:t>
      </w:r>
      <w:proofErr w:type="gramEnd"/>
      <w:r w:rsidRPr="00992C45">
        <w:rPr>
          <w:i/>
          <w:iCs/>
          <w:lang w:val="en-US"/>
        </w:rPr>
        <w:t xml:space="preserve"> and Adjoining the Ancient Parish of Rochdale, </w:t>
      </w:r>
      <w:r w:rsidRPr="00992C45">
        <w:rPr>
          <w:lang w:val="en-US"/>
        </w:rPr>
        <w:t>(Cambridge, 1926)</w:t>
      </w:r>
      <w:r w:rsidRPr="00992C45">
        <w:t> </w:t>
      </w:r>
    </w:p>
    <w:p w14:paraId="2502DD8E" w14:textId="77777777" w:rsidR="00992C45" w:rsidRPr="00992C45" w:rsidRDefault="00992C45" w:rsidP="0028398D">
      <w:pPr>
        <w:spacing w:after="240" w:line="240" w:lineRule="auto"/>
        <w:jc w:val="both"/>
      </w:pPr>
      <w:r w:rsidRPr="00992C45">
        <w:rPr>
          <w:lang w:val="en-US"/>
        </w:rPr>
        <w:t xml:space="preserve">Henderson, Virginia K., ‘Retrieving the “Crown in the Hawthorn Bush”: the origins of the badges of Henry VII’, in Douglas Biggs, Sharon </w:t>
      </w:r>
      <w:proofErr w:type="spellStart"/>
      <w:r w:rsidRPr="00992C45">
        <w:rPr>
          <w:lang w:val="en-US"/>
        </w:rPr>
        <w:t>Michalove</w:t>
      </w:r>
      <w:proofErr w:type="spellEnd"/>
      <w:r w:rsidRPr="00992C45">
        <w:rPr>
          <w:lang w:val="en-US"/>
        </w:rPr>
        <w:t xml:space="preserve"> and Compton Rees (eds), </w:t>
      </w:r>
      <w:r w:rsidRPr="00992C45">
        <w:rPr>
          <w:i/>
          <w:iCs/>
          <w:lang w:val="en-US"/>
        </w:rPr>
        <w:t>Traditions and Transformations in Late Medieval England</w:t>
      </w:r>
      <w:r w:rsidRPr="00992C45">
        <w:rPr>
          <w:lang w:val="en-US"/>
        </w:rPr>
        <w:t>, (Leiden, 2002), pp.237-259</w:t>
      </w:r>
      <w:r w:rsidRPr="00992C45">
        <w:t> </w:t>
      </w:r>
    </w:p>
    <w:p w14:paraId="79FA633B" w14:textId="77777777" w:rsidR="00992C45" w:rsidRPr="00992C45" w:rsidRDefault="00992C45" w:rsidP="0028398D">
      <w:pPr>
        <w:spacing w:after="240" w:line="240" w:lineRule="auto"/>
        <w:jc w:val="both"/>
      </w:pPr>
      <w:r w:rsidRPr="00992C45">
        <w:rPr>
          <w:lang w:val="en-US"/>
        </w:rPr>
        <w:t xml:space="preserve">Henry, </w:t>
      </w:r>
      <w:proofErr w:type="gramStart"/>
      <w:r w:rsidRPr="00992C45">
        <w:rPr>
          <w:lang w:val="en-US"/>
        </w:rPr>
        <w:t>John, ‘</w:t>
      </w:r>
      <w:proofErr w:type="gramEnd"/>
      <w:r w:rsidRPr="00992C45">
        <w:rPr>
          <w:lang w:val="en-US"/>
        </w:rPr>
        <w:t xml:space="preserve">The fragmentation of Renaissance occultism and the decline of magic’, </w:t>
      </w:r>
      <w:r w:rsidRPr="00992C45">
        <w:rPr>
          <w:i/>
          <w:iCs/>
          <w:lang w:val="en-US"/>
        </w:rPr>
        <w:t xml:space="preserve">History of Science, </w:t>
      </w:r>
      <w:r w:rsidRPr="00992C45">
        <w:rPr>
          <w:lang w:val="en-US"/>
        </w:rPr>
        <w:t>Vol. 46, No. 151, (2008), pp.1-48</w:t>
      </w:r>
      <w:r w:rsidRPr="00992C45">
        <w:t> </w:t>
      </w:r>
    </w:p>
    <w:p w14:paraId="15BDB5B0" w14:textId="77777777" w:rsidR="00992C45" w:rsidRPr="00992C45" w:rsidRDefault="00992C45" w:rsidP="0028398D">
      <w:pPr>
        <w:spacing w:after="240" w:line="240" w:lineRule="auto"/>
        <w:jc w:val="both"/>
      </w:pPr>
      <w:r w:rsidRPr="00992C45">
        <w:rPr>
          <w:lang w:val="en-US"/>
        </w:rPr>
        <w:t xml:space="preserve">Hertz, Gerald B., ‘The English silk industry in the eighteenth century’, </w:t>
      </w:r>
      <w:r w:rsidRPr="00992C45">
        <w:rPr>
          <w:i/>
          <w:iCs/>
          <w:lang w:val="en-US"/>
        </w:rPr>
        <w:t xml:space="preserve">The English Historical Review, </w:t>
      </w:r>
      <w:r w:rsidRPr="00992C45">
        <w:rPr>
          <w:lang w:val="en-US"/>
        </w:rPr>
        <w:t>Vol. 24, No. 96, (1909), pp.710-727</w:t>
      </w:r>
      <w:r w:rsidRPr="00992C45">
        <w:t> </w:t>
      </w:r>
    </w:p>
    <w:p w14:paraId="29EFE01B" w14:textId="77777777" w:rsidR="00992C45" w:rsidRPr="00992C45" w:rsidRDefault="00992C45" w:rsidP="0028398D">
      <w:pPr>
        <w:spacing w:after="240" w:line="240" w:lineRule="auto"/>
        <w:jc w:val="both"/>
      </w:pPr>
      <w:proofErr w:type="spellStart"/>
      <w:r w:rsidRPr="00992C45">
        <w:rPr>
          <w:lang w:val="en-US"/>
        </w:rPr>
        <w:t>Hessayon</w:t>
      </w:r>
      <w:proofErr w:type="spellEnd"/>
      <w:r w:rsidRPr="00992C45">
        <w:rPr>
          <w:lang w:val="en-US"/>
        </w:rPr>
        <w:t xml:space="preserve">, </w:t>
      </w:r>
      <w:proofErr w:type="gramStart"/>
      <w:r w:rsidRPr="00992C45">
        <w:rPr>
          <w:lang w:val="en-US"/>
        </w:rPr>
        <w:t>Ariel, ‘</w:t>
      </w:r>
      <w:proofErr w:type="gramEnd"/>
      <w:r w:rsidRPr="00992C45">
        <w:rPr>
          <w:lang w:val="en-US"/>
        </w:rPr>
        <w:t xml:space="preserve">Og King of Bashan, Enoch and the books of Enoch: extra-canonical texts and interpretations of Genesis 6:1-4’, in Ariel </w:t>
      </w:r>
      <w:proofErr w:type="spellStart"/>
      <w:r w:rsidRPr="00992C45">
        <w:rPr>
          <w:lang w:val="en-US"/>
        </w:rPr>
        <w:t>Hessayon</w:t>
      </w:r>
      <w:proofErr w:type="spellEnd"/>
      <w:r w:rsidRPr="00992C45">
        <w:rPr>
          <w:lang w:val="en-US"/>
        </w:rPr>
        <w:t xml:space="preserve"> and Nicholas Keene (eds), </w:t>
      </w:r>
      <w:r w:rsidRPr="00992C45">
        <w:rPr>
          <w:i/>
          <w:iCs/>
          <w:lang w:val="en-US"/>
        </w:rPr>
        <w:t xml:space="preserve">Scripture and Scholarship in Early Modern England, </w:t>
      </w:r>
      <w:r w:rsidRPr="00992C45">
        <w:rPr>
          <w:lang w:val="en-US"/>
        </w:rPr>
        <w:t>(Aldershot, 2006), pp.5-40</w:t>
      </w:r>
      <w:r w:rsidRPr="00992C45">
        <w:t> </w:t>
      </w:r>
    </w:p>
    <w:p w14:paraId="72752401" w14:textId="77777777" w:rsidR="00992C45" w:rsidRPr="00992C45" w:rsidRDefault="00992C45" w:rsidP="0028398D">
      <w:pPr>
        <w:spacing w:after="240" w:line="240" w:lineRule="auto"/>
        <w:jc w:val="both"/>
      </w:pPr>
      <w:r w:rsidRPr="00992C45">
        <w:rPr>
          <w:lang w:val="en-US"/>
        </w:rPr>
        <w:t>Hiscock, Andrew,</w:t>
      </w:r>
      <w:r w:rsidRPr="00992C45">
        <w:rPr>
          <w:i/>
          <w:iCs/>
          <w:lang w:val="en-US"/>
        </w:rPr>
        <w:t xml:space="preserve"> Reading Memory in Early Modern Literature, </w:t>
      </w:r>
      <w:r w:rsidRPr="00992C45">
        <w:rPr>
          <w:lang w:val="en-US"/>
        </w:rPr>
        <w:t>(Cambridge, 2011)</w:t>
      </w:r>
      <w:r w:rsidRPr="00992C45">
        <w:t> </w:t>
      </w:r>
    </w:p>
    <w:p w14:paraId="12F31D0C" w14:textId="77777777" w:rsidR="00992C45" w:rsidRPr="00992C45" w:rsidRDefault="00992C45" w:rsidP="0028398D">
      <w:pPr>
        <w:spacing w:after="240" w:line="240" w:lineRule="auto"/>
        <w:jc w:val="both"/>
      </w:pPr>
      <w:r w:rsidRPr="00992C45">
        <w:rPr>
          <w:lang w:val="fr-FR"/>
        </w:rPr>
        <w:t>Hodges, Mary, ‘</w:t>
      </w:r>
      <w:proofErr w:type="spellStart"/>
      <w:r w:rsidRPr="00992C45">
        <w:rPr>
          <w:lang w:val="fr-FR"/>
        </w:rPr>
        <w:t>Widows</w:t>
      </w:r>
      <w:proofErr w:type="spellEnd"/>
      <w:r w:rsidRPr="00992C45">
        <w:rPr>
          <w:lang w:val="fr-FR"/>
        </w:rPr>
        <w:t xml:space="preserve"> of the ‘</w:t>
      </w:r>
      <w:proofErr w:type="spellStart"/>
      <w:r w:rsidRPr="00992C45">
        <w:rPr>
          <w:lang w:val="fr-FR"/>
        </w:rPr>
        <w:t>middling</w:t>
      </w:r>
      <w:proofErr w:type="spellEnd"/>
      <w:r w:rsidRPr="00992C45">
        <w:rPr>
          <w:lang w:val="fr-FR"/>
        </w:rPr>
        <w:t xml:space="preserve"> sort’ and </w:t>
      </w:r>
      <w:proofErr w:type="spellStart"/>
      <w:r w:rsidRPr="00992C45">
        <w:rPr>
          <w:lang w:val="fr-FR"/>
        </w:rPr>
        <w:t>their</w:t>
      </w:r>
      <w:proofErr w:type="spellEnd"/>
      <w:r w:rsidRPr="00992C45">
        <w:rPr>
          <w:lang w:val="fr-FR"/>
        </w:rPr>
        <w:t xml:space="preserve"> assets in </w:t>
      </w:r>
      <w:proofErr w:type="spellStart"/>
      <w:r w:rsidRPr="00992C45">
        <w:rPr>
          <w:lang w:val="fr-FR"/>
        </w:rPr>
        <w:t>two</w:t>
      </w:r>
      <w:proofErr w:type="spellEnd"/>
      <w:r w:rsidRPr="00992C45">
        <w:rPr>
          <w:lang w:val="fr-FR"/>
        </w:rPr>
        <w:t xml:space="preserve"> </w:t>
      </w:r>
      <w:proofErr w:type="spellStart"/>
      <w:r w:rsidRPr="00992C45">
        <w:rPr>
          <w:lang w:val="fr-FR"/>
        </w:rPr>
        <w:t>seventeenth</w:t>
      </w:r>
      <w:proofErr w:type="spellEnd"/>
      <w:r w:rsidRPr="00992C45">
        <w:rPr>
          <w:lang w:val="fr-FR"/>
        </w:rPr>
        <w:t xml:space="preserve">-century </w:t>
      </w:r>
      <w:proofErr w:type="spellStart"/>
      <w:r w:rsidRPr="00992C45">
        <w:rPr>
          <w:lang w:val="fr-FR"/>
        </w:rPr>
        <w:t>towns</w:t>
      </w:r>
      <w:proofErr w:type="spellEnd"/>
      <w:r w:rsidRPr="00992C45">
        <w:rPr>
          <w:lang w:val="fr-FR"/>
        </w:rPr>
        <w:t xml:space="preserve">’, in Tom </w:t>
      </w:r>
      <w:proofErr w:type="spellStart"/>
      <w:r w:rsidRPr="00992C45">
        <w:rPr>
          <w:lang w:val="fr-FR"/>
        </w:rPr>
        <w:t>Arkell</w:t>
      </w:r>
      <w:proofErr w:type="spellEnd"/>
      <w:r w:rsidRPr="00992C45">
        <w:rPr>
          <w:lang w:val="fr-FR"/>
        </w:rPr>
        <w:t xml:space="preserve">, </w:t>
      </w:r>
      <w:proofErr w:type="spellStart"/>
      <w:r w:rsidRPr="00992C45">
        <w:rPr>
          <w:lang w:val="fr-FR"/>
        </w:rPr>
        <w:t>Nesta</w:t>
      </w:r>
      <w:proofErr w:type="spellEnd"/>
      <w:r w:rsidRPr="00992C45">
        <w:rPr>
          <w:lang w:val="fr-FR"/>
        </w:rPr>
        <w:t xml:space="preserve"> Evans and Nigel Goose (</w:t>
      </w:r>
      <w:proofErr w:type="spellStart"/>
      <w:r w:rsidRPr="00992C45">
        <w:rPr>
          <w:lang w:val="fr-FR"/>
        </w:rPr>
        <w:t>eds</w:t>
      </w:r>
      <w:proofErr w:type="spellEnd"/>
      <w:r w:rsidRPr="00992C45">
        <w:rPr>
          <w:lang w:val="fr-FR"/>
        </w:rPr>
        <w:t xml:space="preserve">), </w:t>
      </w:r>
      <w:proofErr w:type="spellStart"/>
      <w:r w:rsidRPr="00992C45">
        <w:rPr>
          <w:i/>
          <w:iCs/>
          <w:lang w:val="fr-FR"/>
        </w:rPr>
        <w:t>When</w:t>
      </w:r>
      <w:proofErr w:type="spellEnd"/>
      <w:r w:rsidRPr="00992C45">
        <w:rPr>
          <w:lang w:val="fr-FR"/>
        </w:rPr>
        <w:t xml:space="preserve"> </w:t>
      </w:r>
      <w:proofErr w:type="spellStart"/>
      <w:r w:rsidRPr="00992C45">
        <w:rPr>
          <w:i/>
          <w:iCs/>
          <w:lang w:val="fr-FR"/>
        </w:rPr>
        <w:t>Death</w:t>
      </w:r>
      <w:proofErr w:type="spellEnd"/>
      <w:r w:rsidRPr="00992C45">
        <w:rPr>
          <w:i/>
          <w:iCs/>
          <w:lang w:val="fr-FR"/>
        </w:rPr>
        <w:t xml:space="preserve"> Do Us </w:t>
      </w:r>
      <w:proofErr w:type="gramStart"/>
      <w:r w:rsidRPr="00992C45">
        <w:rPr>
          <w:i/>
          <w:iCs/>
          <w:lang w:val="fr-FR"/>
        </w:rPr>
        <w:t>Part:</w:t>
      </w:r>
      <w:proofErr w:type="gramEnd"/>
      <w:r w:rsidRPr="00992C45">
        <w:rPr>
          <w:i/>
          <w:iCs/>
          <w:lang w:val="fr-FR"/>
        </w:rPr>
        <w:t xml:space="preserve"> </w:t>
      </w:r>
      <w:proofErr w:type="spellStart"/>
      <w:r w:rsidRPr="00992C45">
        <w:rPr>
          <w:i/>
          <w:iCs/>
          <w:lang w:val="fr-FR"/>
        </w:rPr>
        <w:t>Understanding</w:t>
      </w:r>
      <w:proofErr w:type="spellEnd"/>
      <w:r w:rsidRPr="00992C45">
        <w:rPr>
          <w:i/>
          <w:iCs/>
          <w:lang w:val="fr-FR"/>
        </w:rPr>
        <w:t xml:space="preserve"> and </w:t>
      </w:r>
      <w:proofErr w:type="spellStart"/>
      <w:r w:rsidRPr="00992C45">
        <w:rPr>
          <w:i/>
          <w:iCs/>
          <w:lang w:val="fr-FR"/>
        </w:rPr>
        <w:t>Interpreting</w:t>
      </w:r>
      <w:proofErr w:type="spellEnd"/>
      <w:r w:rsidRPr="00992C45">
        <w:rPr>
          <w:i/>
          <w:iCs/>
          <w:lang w:val="fr-FR"/>
        </w:rPr>
        <w:t xml:space="preserve"> the </w:t>
      </w:r>
      <w:proofErr w:type="spellStart"/>
      <w:r w:rsidRPr="00992C45">
        <w:rPr>
          <w:i/>
          <w:iCs/>
          <w:lang w:val="fr-FR"/>
        </w:rPr>
        <w:t>Probate</w:t>
      </w:r>
      <w:proofErr w:type="spellEnd"/>
      <w:r w:rsidRPr="00992C45">
        <w:rPr>
          <w:i/>
          <w:iCs/>
          <w:lang w:val="fr-FR"/>
        </w:rPr>
        <w:t xml:space="preserve"> Records of </w:t>
      </w:r>
      <w:proofErr w:type="spellStart"/>
      <w:r w:rsidRPr="00992C45">
        <w:rPr>
          <w:i/>
          <w:iCs/>
          <w:lang w:val="fr-FR"/>
        </w:rPr>
        <w:t>Early</w:t>
      </w:r>
      <w:proofErr w:type="spellEnd"/>
      <w:r w:rsidRPr="00992C45">
        <w:rPr>
          <w:i/>
          <w:iCs/>
          <w:lang w:val="fr-FR"/>
        </w:rPr>
        <w:t xml:space="preserve"> Modern </w:t>
      </w:r>
      <w:proofErr w:type="spellStart"/>
      <w:r w:rsidRPr="00992C45">
        <w:rPr>
          <w:i/>
          <w:iCs/>
          <w:lang w:val="fr-FR"/>
        </w:rPr>
        <w:t>England</w:t>
      </w:r>
      <w:proofErr w:type="spellEnd"/>
      <w:r w:rsidRPr="00992C45">
        <w:rPr>
          <w:i/>
          <w:iCs/>
          <w:lang w:val="fr-FR"/>
        </w:rPr>
        <w:t xml:space="preserve">, </w:t>
      </w:r>
      <w:r w:rsidRPr="00992C45">
        <w:rPr>
          <w:lang w:val="fr-FR"/>
        </w:rPr>
        <w:t>(Oxford, 2000), pp.306-324</w:t>
      </w:r>
      <w:r w:rsidRPr="00992C45">
        <w:t> </w:t>
      </w:r>
    </w:p>
    <w:p w14:paraId="13AE1161" w14:textId="77777777" w:rsidR="00992C45" w:rsidRPr="00992C45" w:rsidRDefault="00992C45" w:rsidP="0028398D">
      <w:pPr>
        <w:spacing w:after="240" w:line="240" w:lineRule="auto"/>
        <w:jc w:val="both"/>
      </w:pPr>
      <w:r w:rsidRPr="00992C45">
        <w:rPr>
          <w:lang w:val="en-US"/>
        </w:rPr>
        <w:t xml:space="preserve">Hoggard, Brian, ‘The archaeology of counter‐witchcraft and popular magic’, in Owen Davies and Willem de </w:t>
      </w:r>
      <w:proofErr w:type="spellStart"/>
      <w:r w:rsidRPr="00992C45">
        <w:rPr>
          <w:lang w:val="en-US"/>
        </w:rPr>
        <w:t>Blécourt</w:t>
      </w:r>
      <w:proofErr w:type="spellEnd"/>
      <w:r w:rsidRPr="00992C45">
        <w:rPr>
          <w:lang w:val="en-US"/>
        </w:rPr>
        <w:t xml:space="preserve"> (eds), </w:t>
      </w:r>
      <w:r w:rsidRPr="00992C45">
        <w:rPr>
          <w:i/>
          <w:iCs/>
          <w:lang w:val="en-US"/>
        </w:rPr>
        <w:t>Beyond the Witch Trials: witchcraft and magic in Enlightenment Europe</w:t>
      </w:r>
      <w:r w:rsidRPr="00992C45">
        <w:rPr>
          <w:lang w:val="en-US"/>
        </w:rPr>
        <w:t>, (Manchester, 2004), pp. 167–186</w:t>
      </w:r>
      <w:r w:rsidRPr="00992C45">
        <w:t> </w:t>
      </w:r>
    </w:p>
    <w:p w14:paraId="17DD7CAC" w14:textId="77777777" w:rsidR="00992C45" w:rsidRPr="00992C45" w:rsidRDefault="00992C45" w:rsidP="0028398D">
      <w:pPr>
        <w:spacing w:after="240" w:line="240" w:lineRule="auto"/>
        <w:jc w:val="both"/>
      </w:pPr>
      <w:r w:rsidRPr="00992C45">
        <w:rPr>
          <w:lang w:val="en-US"/>
        </w:rPr>
        <w:lastRenderedPageBreak/>
        <w:t xml:space="preserve">Hoggard, Brian, </w:t>
      </w:r>
      <w:r w:rsidRPr="00992C45">
        <w:rPr>
          <w:i/>
          <w:iCs/>
          <w:lang w:val="en-US"/>
        </w:rPr>
        <w:t xml:space="preserve">Magical House Protection: </w:t>
      </w:r>
      <w:proofErr w:type="gramStart"/>
      <w:r w:rsidRPr="00992C45">
        <w:rPr>
          <w:i/>
          <w:iCs/>
          <w:lang w:val="en-US"/>
        </w:rPr>
        <w:t>the</w:t>
      </w:r>
      <w:proofErr w:type="gramEnd"/>
      <w:r w:rsidRPr="00992C45">
        <w:rPr>
          <w:i/>
          <w:iCs/>
          <w:lang w:val="en-US"/>
        </w:rPr>
        <w:t xml:space="preserve"> Archaeology of Counter-Witchcraft</w:t>
      </w:r>
      <w:r w:rsidRPr="00992C45">
        <w:rPr>
          <w:lang w:val="en-US"/>
        </w:rPr>
        <w:t>, (Oxford, 2019)</w:t>
      </w:r>
      <w:r w:rsidRPr="00992C45">
        <w:t> </w:t>
      </w:r>
    </w:p>
    <w:p w14:paraId="2704A26F" w14:textId="77777777" w:rsidR="00992C45" w:rsidRPr="00992C45" w:rsidRDefault="00992C45" w:rsidP="0028398D">
      <w:pPr>
        <w:spacing w:after="240" w:line="240" w:lineRule="auto"/>
        <w:jc w:val="both"/>
      </w:pPr>
      <w:proofErr w:type="spellStart"/>
      <w:r w:rsidRPr="00992C45">
        <w:rPr>
          <w:lang w:val="fr-FR"/>
        </w:rPr>
        <w:t>Holderness</w:t>
      </w:r>
      <w:proofErr w:type="spellEnd"/>
      <w:r w:rsidRPr="00992C45">
        <w:rPr>
          <w:lang w:val="fr-FR"/>
        </w:rPr>
        <w:t>, Brian A., ‘</w:t>
      </w:r>
      <w:proofErr w:type="spellStart"/>
      <w:r w:rsidRPr="00992C45">
        <w:rPr>
          <w:lang w:val="fr-FR"/>
        </w:rPr>
        <w:t>Credit</w:t>
      </w:r>
      <w:proofErr w:type="spellEnd"/>
      <w:r w:rsidRPr="00992C45">
        <w:rPr>
          <w:lang w:val="fr-FR"/>
        </w:rPr>
        <w:t xml:space="preserve"> in English rural society </w:t>
      </w:r>
      <w:proofErr w:type="spellStart"/>
      <w:r w:rsidRPr="00992C45">
        <w:rPr>
          <w:lang w:val="fr-FR"/>
        </w:rPr>
        <w:t>before</w:t>
      </w:r>
      <w:proofErr w:type="spellEnd"/>
      <w:r w:rsidRPr="00992C45">
        <w:rPr>
          <w:lang w:val="fr-FR"/>
        </w:rPr>
        <w:t xml:space="preserve"> the </w:t>
      </w:r>
      <w:proofErr w:type="spellStart"/>
      <w:r w:rsidRPr="00992C45">
        <w:rPr>
          <w:lang w:val="fr-FR"/>
        </w:rPr>
        <w:t>nineteenth</w:t>
      </w:r>
      <w:proofErr w:type="spellEnd"/>
      <w:r w:rsidRPr="00992C45">
        <w:rPr>
          <w:lang w:val="fr-FR"/>
        </w:rPr>
        <w:t xml:space="preserve"> century, </w:t>
      </w:r>
      <w:proofErr w:type="spellStart"/>
      <w:r w:rsidRPr="00992C45">
        <w:rPr>
          <w:lang w:val="fr-FR"/>
        </w:rPr>
        <w:t>with</w:t>
      </w:r>
      <w:proofErr w:type="spellEnd"/>
      <w:r w:rsidRPr="00992C45">
        <w:rPr>
          <w:lang w:val="fr-FR"/>
        </w:rPr>
        <w:t xml:space="preserve"> </w:t>
      </w:r>
      <w:proofErr w:type="spellStart"/>
      <w:r w:rsidRPr="00992C45">
        <w:rPr>
          <w:lang w:val="fr-FR"/>
        </w:rPr>
        <w:t>special</w:t>
      </w:r>
      <w:proofErr w:type="spellEnd"/>
      <w:r w:rsidRPr="00992C45">
        <w:rPr>
          <w:lang w:val="fr-FR"/>
        </w:rPr>
        <w:t xml:space="preserve"> </w:t>
      </w:r>
      <w:proofErr w:type="spellStart"/>
      <w:r w:rsidRPr="00992C45">
        <w:rPr>
          <w:lang w:val="fr-FR"/>
        </w:rPr>
        <w:t>reference</w:t>
      </w:r>
      <w:proofErr w:type="spellEnd"/>
      <w:r w:rsidRPr="00992C45">
        <w:rPr>
          <w:lang w:val="fr-FR"/>
        </w:rPr>
        <w:t xml:space="preserve"> to the </w:t>
      </w:r>
      <w:proofErr w:type="spellStart"/>
      <w:r w:rsidRPr="00992C45">
        <w:rPr>
          <w:lang w:val="fr-FR"/>
        </w:rPr>
        <w:t>period</w:t>
      </w:r>
      <w:proofErr w:type="spellEnd"/>
      <w:r w:rsidRPr="00992C45">
        <w:rPr>
          <w:lang w:val="fr-FR"/>
        </w:rPr>
        <w:t xml:space="preserve"> 1650-1750', </w:t>
      </w:r>
      <w:r w:rsidRPr="00992C45">
        <w:rPr>
          <w:i/>
          <w:iCs/>
          <w:lang w:val="fr-FR"/>
        </w:rPr>
        <w:t xml:space="preserve">The Agricultural </w:t>
      </w:r>
      <w:proofErr w:type="spellStart"/>
      <w:r w:rsidRPr="00992C45">
        <w:rPr>
          <w:i/>
          <w:iCs/>
          <w:lang w:val="fr-FR"/>
        </w:rPr>
        <w:t>History</w:t>
      </w:r>
      <w:proofErr w:type="spellEnd"/>
      <w:r w:rsidRPr="00992C45">
        <w:rPr>
          <w:i/>
          <w:iCs/>
          <w:lang w:val="fr-FR"/>
        </w:rPr>
        <w:t xml:space="preserve"> </w:t>
      </w:r>
      <w:proofErr w:type="spellStart"/>
      <w:r w:rsidRPr="00992C45">
        <w:rPr>
          <w:i/>
          <w:iCs/>
          <w:lang w:val="fr-FR"/>
        </w:rPr>
        <w:t>Review</w:t>
      </w:r>
      <w:proofErr w:type="spellEnd"/>
      <w:r w:rsidRPr="00992C45">
        <w:rPr>
          <w:i/>
          <w:iCs/>
          <w:lang w:val="fr-FR"/>
        </w:rPr>
        <w:t xml:space="preserve">, </w:t>
      </w:r>
      <w:r w:rsidRPr="00992C45">
        <w:rPr>
          <w:lang w:val="fr-FR"/>
        </w:rPr>
        <w:t>Vol. 24, No. 2, (1976), pp.97-109</w:t>
      </w:r>
      <w:r w:rsidRPr="00992C45">
        <w:t> </w:t>
      </w:r>
    </w:p>
    <w:p w14:paraId="77D84EE4" w14:textId="77777777" w:rsidR="00992C45" w:rsidRPr="00992C45" w:rsidRDefault="00992C45" w:rsidP="0028398D">
      <w:pPr>
        <w:spacing w:after="240" w:line="240" w:lineRule="auto"/>
        <w:jc w:val="both"/>
      </w:pPr>
      <w:r w:rsidRPr="00992C45">
        <w:rPr>
          <w:lang w:val="en-US"/>
        </w:rPr>
        <w:t>Hoskins, W. G</w:t>
      </w:r>
      <w:proofErr w:type="gramStart"/>
      <w:r w:rsidRPr="00992C45">
        <w:rPr>
          <w:lang w:val="en-US"/>
        </w:rPr>
        <w:t>., ‘</w:t>
      </w:r>
      <w:proofErr w:type="gramEnd"/>
      <w:r w:rsidRPr="00992C45">
        <w:rPr>
          <w:lang w:val="en-US"/>
        </w:rPr>
        <w:t xml:space="preserve">The rebuilding of rural England, 1570-1640’, </w:t>
      </w:r>
      <w:r w:rsidRPr="00992C45">
        <w:rPr>
          <w:i/>
          <w:iCs/>
          <w:lang w:val="en-US"/>
        </w:rPr>
        <w:t xml:space="preserve">Past &amp; Present, </w:t>
      </w:r>
      <w:r w:rsidRPr="00992C45">
        <w:rPr>
          <w:lang w:val="en-US"/>
        </w:rPr>
        <w:t>Vol. 4, No. 1, (1953), pp.44-59</w:t>
      </w:r>
      <w:r w:rsidRPr="00992C45">
        <w:t> </w:t>
      </w:r>
    </w:p>
    <w:p w14:paraId="40578779" w14:textId="77777777" w:rsidR="00992C45" w:rsidRPr="00992C45" w:rsidRDefault="00992C45" w:rsidP="0028398D">
      <w:pPr>
        <w:spacing w:after="240" w:line="240" w:lineRule="auto"/>
        <w:jc w:val="both"/>
      </w:pPr>
      <w:r w:rsidRPr="00992C45">
        <w:rPr>
          <w:lang w:val="fr-FR"/>
        </w:rPr>
        <w:t xml:space="preserve">Houston, R. A., ‘The </w:t>
      </w:r>
      <w:proofErr w:type="spellStart"/>
      <w:r w:rsidRPr="00992C45">
        <w:rPr>
          <w:lang w:val="fr-FR"/>
        </w:rPr>
        <w:t>development</w:t>
      </w:r>
      <w:proofErr w:type="spellEnd"/>
      <w:r w:rsidRPr="00992C45">
        <w:rPr>
          <w:lang w:val="fr-FR"/>
        </w:rPr>
        <w:t xml:space="preserve"> of </w:t>
      </w:r>
      <w:proofErr w:type="spellStart"/>
      <w:proofErr w:type="gramStart"/>
      <w:r w:rsidRPr="00992C45">
        <w:rPr>
          <w:lang w:val="fr-FR"/>
        </w:rPr>
        <w:t>literacy</w:t>
      </w:r>
      <w:proofErr w:type="spellEnd"/>
      <w:r w:rsidRPr="00992C45">
        <w:rPr>
          <w:lang w:val="fr-FR"/>
        </w:rPr>
        <w:t>:</w:t>
      </w:r>
      <w:proofErr w:type="gramEnd"/>
      <w:r w:rsidRPr="00992C45">
        <w:rPr>
          <w:lang w:val="fr-FR"/>
        </w:rPr>
        <w:t xml:space="preserve"> </w:t>
      </w:r>
      <w:proofErr w:type="spellStart"/>
      <w:r w:rsidRPr="00992C45">
        <w:rPr>
          <w:lang w:val="fr-FR"/>
        </w:rPr>
        <w:t>Northern</w:t>
      </w:r>
      <w:proofErr w:type="spellEnd"/>
      <w:r w:rsidRPr="00992C45">
        <w:rPr>
          <w:lang w:val="fr-FR"/>
        </w:rPr>
        <w:t xml:space="preserve"> </w:t>
      </w:r>
      <w:proofErr w:type="spellStart"/>
      <w:r w:rsidRPr="00992C45">
        <w:rPr>
          <w:lang w:val="fr-FR"/>
        </w:rPr>
        <w:t>England</w:t>
      </w:r>
      <w:proofErr w:type="spellEnd"/>
      <w:r w:rsidRPr="00992C45">
        <w:rPr>
          <w:lang w:val="fr-FR"/>
        </w:rPr>
        <w:t xml:space="preserve">, 1640-1750’, </w:t>
      </w:r>
      <w:proofErr w:type="spellStart"/>
      <w:r w:rsidRPr="00992C45">
        <w:rPr>
          <w:i/>
          <w:iCs/>
          <w:lang w:val="fr-FR"/>
        </w:rPr>
        <w:t>Economic</w:t>
      </w:r>
      <w:proofErr w:type="spellEnd"/>
      <w:r w:rsidRPr="00992C45">
        <w:rPr>
          <w:i/>
          <w:iCs/>
          <w:lang w:val="fr-FR"/>
        </w:rPr>
        <w:t xml:space="preserve"> </w:t>
      </w:r>
      <w:proofErr w:type="spellStart"/>
      <w:r w:rsidRPr="00992C45">
        <w:rPr>
          <w:i/>
          <w:iCs/>
          <w:lang w:val="fr-FR"/>
        </w:rPr>
        <w:t>History</w:t>
      </w:r>
      <w:proofErr w:type="spellEnd"/>
      <w:r w:rsidRPr="00992C45">
        <w:rPr>
          <w:i/>
          <w:iCs/>
          <w:lang w:val="fr-FR"/>
        </w:rPr>
        <w:t xml:space="preserve"> </w:t>
      </w:r>
      <w:proofErr w:type="spellStart"/>
      <w:r w:rsidRPr="00992C45">
        <w:rPr>
          <w:i/>
          <w:iCs/>
          <w:lang w:val="fr-FR"/>
        </w:rPr>
        <w:t>Review</w:t>
      </w:r>
      <w:proofErr w:type="spellEnd"/>
      <w:r w:rsidRPr="00992C45">
        <w:rPr>
          <w:i/>
          <w:iCs/>
          <w:lang w:val="fr-FR"/>
        </w:rPr>
        <w:t xml:space="preserve">, </w:t>
      </w:r>
      <w:r w:rsidRPr="00992C45">
        <w:rPr>
          <w:lang w:val="fr-FR"/>
        </w:rPr>
        <w:t>Vol. 35, No. 2, (1982), pp.199-201</w:t>
      </w:r>
      <w:r w:rsidRPr="00992C45">
        <w:t> </w:t>
      </w:r>
    </w:p>
    <w:p w14:paraId="78F51687" w14:textId="77777777" w:rsidR="00992C45" w:rsidRPr="00992C45" w:rsidRDefault="00992C45" w:rsidP="0028398D">
      <w:pPr>
        <w:spacing w:after="240" w:line="240" w:lineRule="auto"/>
        <w:jc w:val="both"/>
      </w:pPr>
      <w:r w:rsidRPr="00992C45">
        <w:rPr>
          <w:lang w:val="fr-FR"/>
        </w:rPr>
        <w:t xml:space="preserve">Hoyle, R. W., ‘An </w:t>
      </w:r>
      <w:proofErr w:type="spellStart"/>
      <w:r w:rsidRPr="00992C45">
        <w:rPr>
          <w:lang w:val="fr-FR"/>
        </w:rPr>
        <w:t>ancient</w:t>
      </w:r>
      <w:proofErr w:type="spellEnd"/>
      <w:r w:rsidRPr="00992C45">
        <w:rPr>
          <w:lang w:val="fr-FR"/>
        </w:rPr>
        <w:t xml:space="preserve"> and </w:t>
      </w:r>
      <w:proofErr w:type="spellStart"/>
      <w:r w:rsidRPr="00992C45">
        <w:rPr>
          <w:lang w:val="fr-FR"/>
        </w:rPr>
        <w:t>laudable</w:t>
      </w:r>
      <w:proofErr w:type="spellEnd"/>
      <w:r w:rsidRPr="00992C45">
        <w:rPr>
          <w:lang w:val="fr-FR"/>
        </w:rPr>
        <w:t xml:space="preserve"> </w:t>
      </w:r>
      <w:proofErr w:type="gramStart"/>
      <w:r w:rsidRPr="00992C45">
        <w:rPr>
          <w:lang w:val="fr-FR"/>
        </w:rPr>
        <w:t>custom:</w:t>
      </w:r>
      <w:proofErr w:type="gramEnd"/>
      <w:r w:rsidRPr="00992C45">
        <w:rPr>
          <w:lang w:val="fr-FR"/>
        </w:rPr>
        <w:t xml:space="preserve"> the </w:t>
      </w:r>
      <w:proofErr w:type="spellStart"/>
      <w:r w:rsidRPr="00992C45">
        <w:rPr>
          <w:lang w:val="fr-FR"/>
        </w:rPr>
        <w:t>definition</w:t>
      </w:r>
      <w:proofErr w:type="spellEnd"/>
      <w:r w:rsidRPr="00992C45">
        <w:rPr>
          <w:lang w:val="fr-FR"/>
        </w:rPr>
        <w:t xml:space="preserve"> and </w:t>
      </w:r>
      <w:proofErr w:type="spellStart"/>
      <w:r w:rsidRPr="00992C45">
        <w:rPr>
          <w:lang w:val="fr-FR"/>
        </w:rPr>
        <w:t>development</w:t>
      </w:r>
      <w:proofErr w:type="spellEnd"/>
      <w:r w:rsidRPr="00992C45">
        <w:rPr>
          <w:lang w:val="fr-FR"/>
        </w:rPr>
        <w:t xml:space="preserve"> of tenant right in </w:t>
      </w:r>
      <w:proofErr w:type="spellStart"/>
      <w:r w:rsidRPr="00992C45">
        <w:rPr>
          <w:lang w:val="fr-FR"/>
        </w:rPr>
        <w:t>north</w:t>
      </w:r>
      <w:proofErr w:type="spellEnd"/>
      <w:r w:rsidRPr="00992C45">
        <w:rPr>
          <w:lang w:val="fr-FR"/>
        </w:rPr>
        <w:t xml:space="preserve">-western </w:t>
      </w:r>
      <w:proofErr w:type="spellStart"/>
      <w:r w:rsidRPr="00992C45">
        <w:rPr>
          <w:lang w:val="fr-FR"/>
        </w:rPr>
        <w:t>England</w:t>
      </w:r>
      <w:proofErr w:type="spellEnd"/>
      <w:r w:rsidRPr="00992C45">
        <w:rPr>
          <w:lang w:val="fr-FR"/>
        </w:rPr>
        <w:t xml:space="preserve"> in the </w:t>
      </w:r>
      <w:proofErr w:type="spellStart"/>
      <w:r w:rsidRPr="00992C45">
        <w:rPr>
          <w:lang w:val="fr-FR"/>
        </w:rPr>
        <w:t>sixteenth</w:t>
      </w:r>
      <w:proofErr w:type="spellEnd"/>
      <w:r w:rsidRPr="00992C45">
        <w:rPr>
          <w:lang w:val="fr-FR"/>
        </w:rPr>
        <w:t xml:space="preserve"> century’, </w:t>
      </w:r>
      <w:r w:rsidRPr="00992C45">
        <w:rPr>
          <w:i/>
          <w:iCs/>
          <w:lang w:val="fr-FR"/>
        </w:rPr>
        <w:t xml:space="preserve">Past &amp; </w:t>
      </w:r>
      <w:proofErr w:type="spellStart"/>
      <w:r w:rsidRPr="00992C45">
        <w:rPr>
          <w:i/>
          <w:iCs/>
          <w:lang w:val="fr-FR"/>
        </w:rPr>
        <w:t>Present</w:t>
      </w:r>
      <w:proofErr w:type="spellEnd"/>
      <w:r w:rsidRPr="00992C45">
        <w:rPr>
          <w:i/>
          <w:iCs/>
          <w:lang w:val="fr-FR"/>
        </w:rPr>
        <w:t xml:space="preserve">, </w:t>
      </w:r>
      <w:r w:rsidRPr="00992C45">
        <w:rPr>
          <w:lang w:val="fr-FR"/>
        </w:rPr>
        <w:t>Vol. 116, (1987)</w:t>
      </w:r>
      <w:r w:rsidRPr="00992C45">
        <w:t> </w:t>
      </w:r>
    </w:p>
    <w:p w14:paraId="6D6E369F" w14:textId="77777777" w:rsidR="00992C45" w:rsidRPr="00992C45" w:rsidRDefault="00992C45" w:rsidP="0028398D">
      <w:pPr>
        <w:spacing w:after="240" w:line="240" w:lineRule="auto"/>
        <w:jc w:val="both"/>
      </w:pPr>
      <w:r w:rsidRPr="00992C45">
        <w:rPr>
          <w:lang w:val="fr-FR"/>
        </w:rPr>
        <w:t xml:space="preserve">Hubbard, Eleanor, ‘Reading, </w:t>
      </w:r>
      <w:proofErr w:type="spellStart"/>
      <w:r w:rsidRPr="00992C45">
        <w:rPr>
          <w:lang w:val="fr-FR"/>
        </w:rPr>
        <w:t>writing</w:t>
      </w:r>
      <w:proofErr w:type="spellEnd"/>
      <w:r w:rsidRPr="00992C45">
        <w:rPr>
          <w:lang w:val="fr-FR"/>
        </w:rPr>
        <w:t xml:space="preserve"> and </w:t>
      </w:r>
      <w:proofErr w:type="spellStart"/>
      <w:proofErr w:type="gramStart"/>
      <w:r w:rsidRPr="00992C45">
        <w:rPr>
          <w:lang w:val="fr-FR"/>
        </w:rPr>
        <w:t>initialing</w:t>
      </w:r>
      <w:proofErr w:type="spellEnd"/>
      <w:r w:rsidRPr="00992C45">
        <w:rPr>
          <w:lang w:val="fr-FR"/>
        </w:rPr>
        <w:t>:</w:t>
      </w:r>
      <w:proofErr w:type="gramEnd"/>
      <w:r w:rsidRPr="00992C45">
        <w:rPr>
          <w:lang w:val="fr-FR"/>
        </w:rPr>
        <w:t xml:space="preserve"> </w:t>
      </w:r>
      <w:proofErr w:type="spellStart"/>
      <w:r w:rsidRPr="00992C45">
        <w:rPr>
          <w:lang w:val="fr-FR"/>
        </w:rPr>
        <w:t>female</w:t>
      </w:r>
      <w:proofErr w:type="spellEnd"/>
      <w:r w:rsidRPr="00992C45">
        <w:rPr>
          <w:lang w:val="fr-FR"/>
        </w:rPr>
        <w:t xml:space="preserve"> </w:t>
      </w:r>
      <w:proofErr w:type="spellStart"/>
      <w:r w:rsidRPr="00992C45">
        <w:rPr>
          <w:lang w:val="fr-FR"/>
        </w:rPr>
        <w:t>literacy</w:t>
      </w:r>
      <w:proofErr w:type="spellEnd"/>
      <w:r w:rsidRPr="00992C45">
        <w:rPr>
          <w:lang w:val="fr-FR"/>
        </w:rPr>
        <w:t xml:space="preserve"> in </w:t>
      </w:r>
      <w:proofErr w:type="spellStart"/>
      <w:r w:rsidRPr="00992C45">
        <w:rPr>
          <w:lang w:val="fr-FR"/>
        </w:rPr>
        <w:t>early</w:t>
      </w:r>
      <w:proofErr w:type="spellEnd"/>
      <w:r w:rsidRPr="00992C45">
        <w:rPr>
          <w:lang w:val="fr-FR"/>
        </w:rPr>
        <w:t xml:space="preserve"> modern London’, </w:t>
      </w:r>
      <w:r w:rsidRPr="00992C45">
        <w:rPr>
          <w:i/>
          <w:iCs/>
          <w:lang w:val="fr-FR"/>
        </w:rPr>
        <w:t xml:space="preserve">Journal of British </w:t>
      </w:r>
      <w:proofErr w:type="spellStart"/>
      <w:r w:rsidRPr="00992C45">
        <w:rPr>
          <w:i/>
          <w:iCs/>
          <w:lang w:val="fr-FR"/>
        </w:rPr>
        <w:t>Studies</w:t>
      </w:r>
      <w:proofErr w:type="spellEnd"/>
      <w:r w:rsidRPr="00992C45">
        <w:rPr>
          <w:i/>
          <w:iCs/>
          <w:lang w:val="fr-FR"/>
        </w:rPr>
        <w:t xml:space="preserve">, </w:t>
      </w:r>
      <w:r w:rsidRPr="00992C45">
        <w:rPr>
          <w:lang w:val="fr-FR"/>
        </w:rPr>
        <w:t>Vol. 3, (2015), pp.553-577</w:t>
      </w:r>
      <w:r w:rsidRPr="00992C45">
        <w:t> </w:t>
      </w:r>
    </w:p>
    <w:p w14:paraId="38325C16" w14:textId="77777777" w:rsidR="00992C45" w:rsidRPr="00992C45" w:rsidRDefault="00992C45" w:rsidP="0028398D">
      <w:pPr>
        <w:spacing w:after="240" w:line="240" w:lineRule="auto"/>
        <w:jc w:val="both"/>
      </w:pPr>
      <w:r w:rsidRPr="00992C45">
        <w:rPr>
          <w:lang w:val="en-US"/>
        </w:rPr>
        <w:t xml:space="preserve">Hufton, Olwen, </w:t>
      </w:r>
      <w:r w:rsidRPr="00992C45">
        <w:rPr>
          <w:i/>
          <w:iCs/>
          <w:lang w:val="en-US"/>
        </w:rPr>
        <w:t xml:space="preserve">The Prospect Before Her: A History of Women in Western Europe, Vol. 1 (1500-1800), </w:t>
      </w:r>
      <w:r w:rsidRPr="00992C45">
        <w:rPr>
          <w:lang w:val="en-US"/>
        </w:rPr>
        <w:t>(London, 1995)</w:t>
      </w:r>
      <w:r w:rsidRPr="00992C45">
        <w:t> </w:t>
      </w:r>
    </w:p>
    <w:p w14:paraId="7F03883D" w14:textId="77777777" w:rsidR="00992C45" w:rsidRPr="00992C45" w:rsidRDefault="00992C45" w:rsidP="0028398D">
      <w:pPr>
        <w:spacing w:after="240" w:line="240" w:lineRule="auto"/>
        <w:jc w:val="both"/>
      </w:pPr>
      <w:r w:rsidRPr="00992C45">
        <w:rPr>
          <w:lang w:val="en-US"/>
        </w:rPr>
        <w:t xml:space="preserve">Hunt, Edgar, ‘Inscriptions on harpsichords’, </w:t>
      </w:r>
      <w:r w:rsidRPr="00992C45">
        <w:rPr>
          <w:i/>
          <w:iCs/>
          <w:lang w:val="en-US"/>
        </w:rPr>
        <w:t xml:space="preserve">The English Harpsichord Magazine, </w:t>
      </w:r>
      <w:r w:rsidRPr="00992C45">
        <w:rPr>
          <w:lang w:val="en-US"/>
        </w:rPr>
        <w:t>Vol. 1, No. 8, (1977)</w:t>
      </w:r>
      <w:r w:rsidRPr="00992C45">
        <w:t> </w:t>
      </w:r>
    </w:p>
    <w:p w14:paraId="458E7A9B" w14:textId="77777777" w:rsidR="00992C45" w:rsidRPr="00992C45" w:rsidRDefault="00992C45" w:rsidP="0028398D">
      <w:pPr>
        <w:spacing w:after="240" w:line="240" w:lineRule="auto"/>
        <w:jc w:val="both"/>
      </w:pPr>
      <w:r w:rsidRPr="00992C45">
        <w:rPr>
          <w:lang w:val="en-US"/>
        </w:rPr>
        <w:t xml:space="preserve">Hunt, Margaret, </w:t>
      </w:r>
      <w:r w:rsidRPr="00992C45">
        <w:rPr>
          <w:i/>
          <w:iCs/>
          <w:lang w:val="en-US"/>
        </w:rPr>
        <w:t xml:space="preserve">The Middling Sort: Commerce, Gender and the Family in England, 1680-1780, </w:t>
      </w:r>
      <w:r w:rsidRPr="00992C45">
        <w:rPr>
          <w:lang w:val="en-US"/>
        </w:rPr>
        <w:t>(Oakland, 1996)</w:t>
      </w:r>
      <w:r w:rsidRPr="00992C45">
        <w:t> </w:t>
      </w:r>
    </w:p>
    <w:p w14:paraId="06025C43" w14:textId="77777777" w:rsidR="00992C45" w:rsidRPr="00992C45" w:rsidRDefault="00992C45" w:rsidP="0028398D">
      <w:pPr>
        <w:spacing w:after="240" w:line="240" w:lineRule="auto"/>
        <w:jc w:val="both"/>
      </w:pPr>
      <w:proofErr w:type="spellStart"/>
      <w:r w:rsidRPr="00992C45">
        <w:rPr>
          <w:lang w:val="fr-FR"/>
        </w:rPr>
        <w:t>Husbands</w:t>
      </w:r>
      <w:proofErr w:type="spellEnd"/>
      <w:r w:rsidRPr="00992C45">
        <w:rPr>
          <w:lang w:val="fr-FR"/>
        </w:rPr>
        <w:t>, Chris, ‘</w:t>
      </w:r>
      <w:proofErr w:type="spellStart"/>
      <w:r w:rsidRPr="00992C45">
        <w:rPr>
          <w:lang w:val="fr-FR"/>
        </w:rPr>
        <w:t>Hearth</w:t>
      </w:r>
      <w:proofErr w:type="spellEnd"/>
      <w:r w:rsidRPr="00992C45">
        <w:rPr>
          <w:lang w:val="fr-FR"/>
        </w:rPr>
        <w:t xml:space="preserve"> </w:t>
      </w:r>
      <w:proofErr w:type="spellStart"/>
      <w:r w:rsidRPr="00992C45">
        <w:rPr>
          <w:lang w:val="fr-FR"/>
        </w:rPr>
        <w:t>tax</w:t>
      </w:r>
      <w:proofErr w:type="spellEnd"/>
      <w:r w:rsidRPr="00992C45">
        <w:rPr>
          <w:lang w:val="fr-FR"/>
        </w:rPr>
        <w:t xml:space="preserve"> exemption figures and </w:t>
      </w:r>
      <w:proofErr w:type="spellStart"/>
      <w:r w:rsidRPr="00992C45">
        <w:rPr>
          <w:lang w:val="fr-FR"/>
        </w:rPr>
        <w:t>assessment</w:t>
      </w:r>
      <w:proofErr w:type="spellEnd"/>
      <w:r w:rsidRPr="00992C45">
        <w:rPr>
          <w:lang w:val="fr-FR"/>
        </w:rPr>
        <w:t xml:space="preserve"> of </w:t>
      </w:r>
      <w:proofErr w:type="spellStart"/>
      <w:r w:rsidRPr="00992C45">
        <w:rPr>
          <w:lang w:val="fr-FR"/>
        </w:rPr>
        <w:t>poverty</w:t>
      </w:r>
      <w:proofErr w:type="spellEnd"/>
      <w:r w:rsidRPr="00992C45">
        <w:rPr>
          <w:lang w:val="fr-FR"/>
        </w:rPr>
        <w:t xml:space="preserve"> in the </w:t>
      </w:r>
      <w:proofErr w:type="spellStart"/>
      <w:r w:rsidRPr="00992C45">
        <w:rPr>
          <w:lang w:val="fr-FR"/>
        </w:rPr>
        <w:t>seventeenth</w:t>
      </w:r>
      <w:proofErr w:type="spellEnd"/>
      <w:r w:rsidRPr="00992C45">
        <w:rPr>
          <w:lang w:val="fr-FR"/>
        </w:rPr>
        <w:t xml:space="preserve">-century </w:t>
      </w:r>
      <w:proofErr w:type="spellStart"/>
      <w:r w:rsidRPr="00992C45">
        <w:rPr>
          <w:lang w:val="fr-FR"/>
        </w:rPr>
        <w:t>economy</w:t>
      </w:r>
      <w:proofErr w:type="spellEnd"/>
      <w:r w:rsidRPr="00992C45">
        <w:rPr>
          <w:lang w:val="fr-FR"/>
        </w:rPr>
        <w:t xml:space="preserve">’, in Nick </w:t>
      </w:r>
      <w:proofErr w:type="spellStart"/>
      <w:r w:rsidRPr="00992C45">
        <w:rPr>
          <w:lang w:val="fr-FR"/>
        </w:rPr>
        <w:t>Alldridge</w:t>
      </w:r>
      <w:proofErr w:type="spellEnd"/>
      <w:r w:rsidRPr="00992C45">
        <w:rPr>
          <w:lang w:val="fr-FR"/>
        </w:rPr>
        <w:t xml:space="preserve"> (</w:t>
      </w:r>
      <w:proofErr w:type="spellStart"/>
      <w:r w:rsidRPr="00992C45">
        <w:rPr>
          <w:lang w:val="fr-FR"/>
        </w:rPr>
        <w:t>ed</w:t>
      </w:r>
      <w:proofErr w:type="spellEnd"/>
      <w:r w:rsidRPr="00992C45">
        <w:rPr>
          <w:lang w:val="fr-FR"/>
        </w:rPr>
        <w:t xml:space="preserve">.), </w:t>
      </w:r>
      <w:r w:rsidRPr="00992C45">
        <w:rPr>
          <w:i/>
          <w:iCs/>
          <w:lang w:val="fr-FR"/>
        </w:rPr>
        <w:t xml:space="preserve">The </w:t>
      </w:r>
      <w:proofErr w:type="spellStart"/>
      <w:r w:rsidRPr="00992C45">
        <w:rPr>
          <w:i/>
          <w:iCs/>
          <w:lang w:val="fr-FR"/>
        </w:rPr>
        <w:t>Hearth</w:t>
      </w:r>
      <w:proofErr w:type="spellEnd"/>
      <w:r w:rsidRPr="00992C45">
        <w:rPr>
          <w:i/>
          <w:iCs/>
          <w:lang w:val="fr-FR"/>
        </w:rPr>
        <w:t xml:space="preserve"> </w:t>
      </w:r>
      <w:proofErr w:type="spellStart"/>
      <w:proofErr w:type="gramStart"/>
      <w:r w:rsidRPr="00992C45">
        <w:rPr>
          <w:i/>
          <w:iCs/>
          <w:lang w:val="fr-FR"/>
        </w:rPr>
        <w:t>Tax</w:t>
      </w:r>
      <w:proofErr w:type="spellEnd"/>
      <w:r w:rsidRPr="00992C45">
        <w:rPr>
          <w:i/>
          <w:iCs/>
          <w:lang w:val="fr-FR"/>
        </w:rPr>
        <w:t>:</w:t>
      </w:r>
      <w:proofErr w:type="gramEnd"/>
      <w:r w:rsidRPr="00992C45">
        <w:rPr>
          <w:i/>
          <w:iCs/>
          <w:lang w:val="fr-FR"/>
        </w:rPr>
        <w:t xml:space="preserve"> </w:t>
      </w:r>
      <w:proofErr w:type="spellStart"/>
      <w:r w:rsidRPr="00992C45">
        <w:rPr>
          <w:i/>
          <w:iCs/>
          <w:lang w:val="fr-FR"/>
        </w:rPr>
        <w:t>Problems</w:t>
      </w:r>
      <w:proofErr w:type="spellEnd"/>
      <w:r w:rsidRPr="00992C45">
        <w:rPr>
          <w:i/>
          <w:iCs/>
          <w:lang w:val="fr-FR"/>
        </w:rPr>
        <w:t xml:space="preserve"> and </w:t>
      </w:r>
      <w:proofErr w:type="spellStart"/>
      <w:r w:rsidRPr="00992C45">
        <w:rPr>
          <w:i/>
          <w:iCs/>
          <w:lang w:val="fr-FR"/>
        </w:rPr>
        <w:t>Possibilities</w:t>
      </w:r>
      <w:proofErr w:type="spellEnd"/>
      <w:r w:rsidRPr="00992C45">
        <w:rPr>
          <w:i/>
          <w:iCs/>
          <w:lang w:val="fr-FR"/>
        </w:rPr>
        <w:t xml:space="preserve">, </w:t>
      </w:r>
      <w:r w:rsidRPr="00992C45">
        <w:rPr>
          <w:lang w:val="fr-FR"/>
        </w:rPr>
        <w:t>(Hull, 1983)</w:t>
      </w:r>
      <w:r w:rsidRPr="00992C45">
        <w:rPr>
          <w:i/>
          <w:iCs/>
          <w:lang w:val="fr-FR"/>
        </w:rPr>
        <w:t xml:space="preserve">, </w:t>
      </w:r>
      <w:r w:rsidRPr="00992C45">
        <w:rPr>
          <w:lang w:val="fr-FR"/>
        </w:rPr>
        <w:t>pp.45-58</w:t>
      </w:r>
      <w:r w:rsidRPr="00992C45">
        <w:t> </w:t>
      </w:r>
    </w:p>
    <w:p w14:paraId="239A228D" w14:textId="77777777" w:rsidR="00992C45" w:rsidRPr="00992C45" w:rsidRDefault="00992C45" w:rsidP="0028398D">
      <w:pPr>
        <w:spacing w:after="240" w:line="240" w:lineRule="auto"/>
        <w:jc w:val="both"/>
      </w:pPr>
      <w:r w:rsidRPr="00992C45">
        <w:rPr>
          <w:lang w:val="en-US"/>
        </w:rPr>
        <w:t xml:space="preserve">Hutton, Barbara and Joyce Martin, </w:t>
      </w:r>
      <w:r w:rsidRPr="00992C45">
        <w:rPr>
          <w:i/>
          <w:iCs/>
          <w:lang w:val="en-US"/>
        </w:rPr>
        <w:t xml:space="preserve">Doorways in the Dales, </w:t>
      </w:r>
      <w:r w:rsidRPr="00992C45">
        <w:rPr>
          <w:lang w:val="en-US"/>
        </w:rPr>
        <w:t>(York, 1986)</w:t>
      </w:r>
      <w:r w:rsidRPr="00992C45">
        <w:t> </w:t>
      </w:r>
    </w:p>
    <w:p w14:paraId="6B2C3524" w14:textId="77777777" w:rsidR="00992C45" w:rsidRPr="00992C45" w:rsidRDefault="00992C45" w:rsidP="0028398D">
      <w:pPr>
        <w:spacing w:after="240" w:line="240" w:lineRule="auto"/>
        <w:jc w:val="both"/>
      </w:pPr>
      <w:r w:rsidRPr="00992C45">
        <w:rPr>
          <w:lang w:val="en-US"/>
        </w:rPr>
        <w:t xml:space="preserve">Jarman, E. K. M. (ed.), </w:t>
      </w:r>
      <w:r w:rsidRPr="00992C45">
        <w:rPr>
          <w:i/>
          <w:iCs/>
          <w:lang w:val="en-US"/>
        </w:rPr>
        <w:t xml:space="preserve">The Record Society of Lancashire and Cheshire: Volume </w:t>
      </w:r>
      <w:proofErr w:type="gramStart"/>
      <w:r w:rsidRPr="00992C45">
        <w:rPr>
          <w:i/>
          <w:iCs/>
          <w:lang w:val="en-US"/>
        </w:rPr>
        <w:t>146,Justice</w:t>
      </w:r>
      <w:proofErr w:type="gramEnd"/>
      <w:r w:rsidRPr="00992C45">
        <w:rPr>
          <w:i/>
          <w:iCs/>
          <w:lang w:val="en-US"/>
        </w:rPr>
        <w:t xml:space="preserve"> and Conciliation in a Tudor Church Court: Depositions from EDC 2/6, Deposition Book of the Consistory Court of Chester, September 1558 – March 1559, </w:t>
      </w:r>
      <w:r w:rsidRPr="00992C45">
        <w:rPr>
          <w:lang w:val="en-US"/>
        </w:rPr>
        <w:t>(Lancaster, 2012)</w:t>
      </w:r>
      <w:r w:rsidRPr="00992C45">
        <w:t> </w:t>
      </w:r>
    </w:p>
    <w:p w14:paraId="19FF8F94" w14:textId="77777777" w:rsidR="00992C45" w:rsidRPr="00992C45" w:rsidRDefault="00992C45" w:rsidP="0028398D">
      <w:pPr>
        <w:spacing w:after="240" w:line="240" w:lineRule="auto"/>
        <w:jc w:val="both"/>
      </w:pPr>
      <w:r w:rsidRPr="00992C45">
        <w:rPr>
          <w:lang w:val="en-US"/>
        </w:rPr>
        <w:t>Jeffries, Nigel and Nicholas Major, ‘Mid 17</w:t>
      </w:r>
      <w:r w:rsidRPr="00992C45">
        <w:rPr>
          <w:vertAlign w:val="superscript"/>
          <w:lang w:val="en-US"/>
        </w:rPr>
        <w:t>th</w:t>
      </w:r>
      <w:r w:rsidRPr="00992C45">
        <w:rPr>
          <w:lang w:val="en-US"/>
        </w:rPr>
        <w:t>- and 19</w:t>
      </w:r>
      <w:r w:rsidRPr="00992C45">
        <w:rPr>
          <w:vertAlign w:val="superscript"/>
          <w:lang w:val="en-US"/>
        </w:rPr>
        <w:t>th</w:t>
      </w:r>
      <w:r w:rsidRPr="00992C45">
        <w:rPr>
          <w:lang w:val="en-US"/>
        </w:rPr>
        <w:t xml:space="preserve">-century English wine bottles with seals in London’s archaeological collections’, </w:t>
      </w:r>
      <w:r w:rsidRPr="00992C45">
        <w:rPr>
          <w:i/>
          <w:iCs/>
          <w:lang w:val="en-US"/>
        </w:rPr>
        <w:t xml:space="preserve">Post-Medieval Archaeology, </w:t>
      </w:r>
      <w:r w:rsidRPr="00992C45">
        <w:rPr>
          <w:lang w:val="en-US"/>
        </w:rPr>
        <w:t>Vol. 49, No. 1, (2015), pp.131-55</w:t>
      </w:r>
      <w:r w:rsidRPr="00992C45">
        <w:t> </w:t>
      </w:r>
    </w:p>
    <w:p w14:paraId="7C33F103" w14:textId="77777777" w:rsidR="00992C45" w:rsidRPr="00992C45" w:rsidRDefault="00992C45" w:rsidP="0028398D">
      <w:pPr>
        <w:spacing w:after="240" w:line="240" w:lineRule="auto"/>
        <w:jc w:val="both"/>
      </w:pPr>
      <w:proofErr w:type="spellStart"/>
      <w:r w:rsidRPr="00992C45">
        <w:rPr>
          <w:lang w:val="fr-FR"/>
        </w:rPr>
        <w:t>Jenkinson</w:t>
      </w:r>
      <w:proofErr w:type="spellEnd"/>
      <w:r w:rsidRPr="00992C45">
        <w:rPr>
          <w:lang w:val="fr-FR"/>
        </w:rPr>
        <w:t>, Matthew, ‘</w:t>
      </w:r>
      <w:r w:rsidRPr="00992C45">
        <w:rPr>
          <w:i/>
          <w:iCs/>
          <w:lang w:val="fr-FR"/>
        </w:rPr>
        <w:t xml:space="preserve">The City and the </w:t>
      </w:r>
      <w:proofErr w:type="gramStart"/>
      <w:r w:rsidRPr="00992C45">
        <w:rPr>
          <w:i/>
          <w:iCs/>
          <w:lang w:val="fr-FR"/>
        </w:rPr>
        <w:t>King:</w:t>
      </w:r>
      <w:proofErr w:type="gramEnd"/>
      <w:r w:rsidRPr="00992C45">
        <w:rPr>
          <w:i/>
          <w:iCs/>
          <w:lang w:val="fr-FR"/>
        </w:rPr>
        <w:t xml:space="preserve"> Architecture and </w:t>
      </w:r>
      <w:proofErr w:type="spellStart"/>
      <w:r w:rsidRPr="00992C45">
        <w:rPr>
          <w:i/>
          <w:iCs/>
          <w:lang w:val="fr-FR"/>
        </w:rPr>
        <w:t>Politics</w:t>
      </w:r>
      <w:proofErr w:type="spellEnd"/>
      <w:r w:rsidRPr="00992C45">
        <w:rPr>
          <w:i/>
          <w:iCs/>
          <w:lang w:val="fr-FR"/>
        </w:rPr>
        <w:t xml:space="preserve"> in </w:t>
      </w:r>
      <w:proofErr w:type="spellStart"/>
      <w:r w:rsidRPr="00992C45">
        <w:rPr>
          <w:i/>
          <w:iCs/>
          <w:lang w:val="fr-FR"/>
        </w:rPr>
        <w:t>Restoration</w:t>
      </w:r>
      <w:proofErr w:type="spellEnd"/>
      <w:r w:rsidRPr="00992C45">
        <w:rPr>
          <w:i/>
          <w:iCs/>
          <w:lang w:val="fr-FR"/>
        </w:rPr>
        <w:t xml:space="preserve"> London</w:t>
      </w:r>
      <w:r w:rsidRPr="00992C45">
        <w:rPr>
          <w:lang w:val="fr-FR"/>
        </w:rPr>
        <w:t xml:space="preserve">, by Christine Stevenson’, </w:t>
      </w:r>
      <w:r w:rsidRPr="00992C45">
        <w:rPr>
          <w:i/>
          <w:iCs/>
          <w:lang w:val="fr-FR"/>
        </w:rPr>
        <w:t xml:space="preserve">The English </w:t>
      </w:r>
      <w:proofErr w:type="spellStart"/>
      <w:r w:rsidRPr="00992C45">
        <w:rPr>
          <w:i/>
          <w:iCs/>
          <w:lang w:val="fr-FR"/>
        </w:rPr>
        <w:t>Historical</w:t>
      </w:r>
      <w:proofErr w:type="spellEnd"/>
      <w:r w:rsidRPr="00992C45">
        <w:rPr>
          <w:i/>
          <w:iCs/>
          <w:lang w:val="fr-FR"/>
        </w:rPr>
        <w:t xml:space="preserve"> </w:t>
      </w:r>
      <w:proofErr w:type="spellStart"/>
      <w:r w:rsidRPr="00992C45">
        <w:rPr>
          <w:i/>
          <w:iCs/>
          <w:lang w:val="fr-FR"/>
        </w:rPr>
        <w:t>Review</w:t>
      </w:r>
      <w:proofErr w:type="spellEnd"/>
      <w:r w:rsidRPr="00992C45">
        <w:rPr>
          <w:lang w:val="fr-FR"/>
        </w:rPr>
        <w:t>, Vol. 130, No. 547, (2015), pp.1563–1565</w:t>
      </w:r>
      <w:r w:rsidRPr="00992C45">
        <w:t> </w:t>
      </w:r>
    </w:p>
    <w:p w14:paraId="6FB1EE88" w14:textId="77777777" w:rsidR="00992C45" w:rsidRPr="00992C45" w:rsidRDefault="00992C45" w:rsidP="0028398D">
      <w:pPr>
        <w:spacing w:after="240" w:line="240" w:lineRule="auto"/>
        <w:jc w:val="both"/>
      </w:pPr>
      <w:r w:rsidRPr="00992C45">
        <w:rPr>
          <w:lang w:val="en-US"/>
        </w:rPr>
        <w:t xml:space="preserve">Jensen, Phebe, </w:t>
      </w:r>
      <w:r w:rsidRPr="00992C45">
        <w:rPr>
          <w:i/>
          <w:iCs/>
          <w:lang w:val="en-US"/>
        </w:rPr>
        <w:t xml:space="preserve">Astrology, Almanacs, and the Early Modern English Calendar, </w:t>
      </w:r>
      <w:r w:rsidRPr="00992C45">
        <w:rPr>
          <w:lang w:val="en-US"/>
        </w:rPr>
        <w:t>(London, 2020)</w:t>
      </w:r>
      <w:r w:rsidRPr="00992C45">
        <w:t> </w:t>
      </w:r>
    </w:p>
    <w:p w14:paraId="1818CDB9" w14:textId="77777777" w:rsidR="00992C45" w:rsidRPr="00992C45" w:rsidRDefault="00992C45" w:rsidP="0028398D">
      <w:pPr>
        <w:spacing w:after="240" w:line="240" w:lineRule="auto"/>
        <w:jc w:val="both"/>
      </w:pPr>
      <w:r w:rsidRPr="00992C45">
        <w:rPr>
          <w:lang w:val="en-US"/>
        </w:rPr>
        <w:t xml:space="preserve">Johnson, Matthew, ‘English houses, materiality, and everyday life’, </w:t>
      </w:r>
      <w:r w:rsidRPr="00992C45">
        <w:rPr>
          <w:i/>
          <w:iCs/>
          <w:lang w:val="en-US"/>
        </w:rPr>
        <w:t xml:space="preserve">Archaeological Papers of the American Anthropological Association, </w:t>
      </w:r>
      <w:r w:rsidRPr="00992C45">
        <w:rPr>
          <w:lang w:val="en-US"/>
        </w:rPr>
        <w:t>Vol. 26, No. 1, (2015), pp.27-39</w:t>
      </w:r>
      <w:r w:rsidRPr="00992C45">
        <w:t> </w:t>
      </w:r>
    </w:p>
    <w:p w14:paraId="0A98DE7E" w14:textId="77777777" w:rsidR="00992C45" w:rsidRPr="00992C45" w:rsidRDefault="00992C45" w:rsidP="0028398D">
      <w:pPr>
        <w:spacing w:after="240" w:line="240" w:lineRule="auto"/>
        <w:jc w:val="both"/>
      </w:pPr>
      <w:r w:rsidRPr="00992C45">
        <w:rPr>
          <w:lang w:val="en-US"/>
        </w:rPr>
        <w:lastRenderedPageBreak/>
        <w:t xml:space="preserve">Johnson, Matthew, ‘Rethinking the Great Rebuilding’, </w:t>
      </w:r>
      <w:r w:rsidRPr="00992C45">
        <w:rPr>
          <w:i/>
          <w:iCs/>
          <w:lang w:val="en-US"/>
        </w:rPr>
        <w:t xml:space="preserve">Oxford Journal of Archaeology, </w:t>
      </w:r>
      <w:r w:rsidRPr="00992C45">
        <w:rPr>
          <w:lang w:val="en-US"/>
        </w:rPr>
        <w:t>Vol. 12, No. 1, (1993), pp.117-125, p.119</w:t>
      </w:r>
      <w:r w:rsidRPr="00992C45">
        <w:t> </w:t>
      </w:r>
    </w:p>
    <w:p w14:paraId="259C48AA" w14:textId="77777777" w:rsidR="00992C45" w:rsidRPr="00992C45" w:rsidRDefault="00992C45" w:rsidP="0028398D">
      <w:pPr>
        <w:spacing w:after="240" w:line="240" w:lineRule="auto"/>
        <w:jc w:val="both"/>
      </w:pPr>
      <w:proofErr w:type="spellStart"/>
      <w:r w:rsidRPr="00992C45">
        <w:rPr>
          <w:lang w:val="en-US"/>
        </w:rPr>
        <w:t>Jütte</w:t>
      </w:r>
      <w:proofErr w:type="spellEnd"/>
      <w:r w:rsidRPr="00992C45">
        <w:rPr>
          <w:lang w:val="en-US"/>
        </w:rPr>
        <w:t xml:space="preserve">, Daniel, ‘Living stones: the house as actor in early modern Europe’, </w:t>
      </w:r>
      <w:r w:rsidRPr="00992C45">
        <w:rPr>
          <w:i/>
          <w:iCs/>
          <w:lang w:val="en-US"/>
        </w:rPr>
        <w:t xml:space="preserve">Journal of Urban History, </w:t>
      </w:r>
      <w:r w:rsidRPr="00992C45">
        <w:rPr>
          <w:lang w:val="en-US"/>
        </w:rPr>
        <w:t>Vol. 42, No. 4, (2016)</w:t>
      </w:r>
      <w:r w:rsidRPr="00992C45">
        <w:t> </w:t>
      </w:r>
    </w:p>
    <w:p w14:paraId="779C60C5" w14:textId="77777777" w:rsidR="00992C45" w:rsidRPr="00992C45" w:rsidRDefault="00992C45" w:rsidP="0028398D">
      <w:pPr>
        <w:spacing w:after="240" w:line="240" w:lineRule="auto"/>
        <w:jc w:val="both"/>
      </w:pPr>
      <w:r w:rsidRPr="00992C45">
        <w:rPr>
          <w:lang w:val="en-US"/>
        </w:rPr>
        <w:t xml:space="preserve">JWRC Conservation, </w:t>
      </w:r>
      <w:r w:rsidRPr="00992C45">
        <w:rPr>
          <w:i/>
          <w:iCs/>
          <w:lang w:val="en-US"/>
        </w:rPr>
        <w:t>The Manor House, Slyne: Proposed Conversion of Outbuilding to Tea Room: Heritage Statement,</w:t>
      </w:r>
      <w:r w:rsidRPr="00992C45">
        <w:rPr>
          <w:lang w:val="en-US"/>
        </w:rPr>
        <w:t xml:space="preserve"> (Morecambe, 2018)</w:t>
      </w:r>
      <w:r w:rsidRPr="00992C45">
        <w:t> </w:t>
      </w:r>
    </w:p>
    <w:p w14:paraId="45395C8D" w14:textId="77777777" w:rsidR="00992C45" w:rsidRPr="00992C45" w:rsidRDefault="00992C45" w:rsidP="0028398D">
      <w:pPr>
        <w:spacing w:after="240" w:line="240" w:lineRule="auto"/>
        <w:jc w:val="both"/>
      </w:pPr>
      <w:r w:rsidRPr="00992C45">
        <w:rPr>
          <w:lang w:val="fr-FR"/>
        </w:rPr>
        <w:t>Keibek, Sebastian A. J. and Leigh Shaw-Taylor, ‘</w:t>
      </w:r>
      <w:proofErr w:type="spellStart"/>
      <w:r w:rsidRPr="00992C45">
        <w:rPr>
          <w:lang w:val="fr-FR"/>
        </w:rPr>
        <w:t>Early</w:t>
      </w:r>
      <w:proofErr w:type="spellEnd"/>
      <w:r w:rsidRPr="00992C45">
        <w:rPr>
          <w:lang w:val="fr-FR"/>
        </w:rPr>
        <w:t xml:space="preserve"> modern rural by-</w:t>
      </w:r>
      <w:proofErr w:type="spellStart"/>
      <w:proofErr w:type="gramStart"/>
      <w:r w:rsidRPr="00992C45">
        <w:rPr>
          <w:lang w:val="fr-FR"/>
        </w:rPr>
        <w:t>employments</w:t>
      </w:r>
      <w:proofErr w:type="spellEnd"/>
      <w:r w:rsidRPr="00992C45">
        <w:rPr>
          <w:lang w:val="fr-FR"/>
        </w:rPr>
        <w:t>:</w:t>
      </w:r>
      <w:proofErr w:type="gramEnd"/>
      <w:r w:rsidRPr="00992C45">
        <w:rPr>
          <w:lang w:val="fr-FR"/>
        </w:rPr>
        <w:t xml:space="preserve"> </w:t>
      </w:r>
      <w:proofErr w:type="spellStart"/>
      <w:r w:rsidRPr="00992C45">
        <w:rPr>
          <w:lang w:val="fr-FR"/>
        </w:rPr>
        <w:t>a</w:t>
      </w:r>
      <w:proofErr w:type="spellEnd"/>
      <w:r w:rsidRPr="00992C45">
        <w:rPr>
          <w:lang w:val="fr-FR"/>
        </w:rPr>
        <w:t xml:space="preserve"> re-</w:t>
      </w:r>
      <w:proofErr w:type="spellStart"/>
      <w:r w:rsidRPr="00992C45">
        <w:rPr>
          <w:lang w:val="fr-FR"/>
        </w:rPr>
        <w:t>examination</w:t>
      </w:r>
      <w:proofErr w:type="spellEnd"/>
      <w:r w:rsidRPr="00992C45">
        <w:rPr>
          <w:lang w:val="fr-FR"/>
        </w:rPr>
        <w:t xml:space="preserve"> of the </w:t>
      </w:r>
      <w:proofErr w:type="spellStart"/>
      <w:r w:rsidRPr="00992C45">
        <w:rPr>
          <w:lang w:val="fr-FR"/>
        </w:rPr>
        <w:t>probate</w:t>
      </w:r>
      <w:proofErr w:type="spellEnd"/>
      <w:r w:rsidRPr="00992C45">
        <w:rPr>
          <w:lang w:val="fr-FR"/>
        </w:rPr>
        <w:t xml:space="preserve"> </w:t>
      </w:r>
      <w:proofErr w:type="spellStart"/>
      <w:r w:rsidRPr="00992C45">
        <w:rPr>
          <w:lang w:val="fr-FR"/>
        </w:rPr>
        <w:t>inventory</w:t>
      </w:r>
      <w:proofErr w:type="spellEnd"/>
      <w:r w:rsidRPr="00992C45">
        <w:rPr>
          <w:lang w:val="fr-FR"/>
        </w:rPr>
        <w:t xml:space="preserve"> </w:t>
      </w:r>
      <w:proofErr w:type="spellStart"/>
      <w:r w:rsidRPr="00992C45">
        <w:rPr>
          <w:lang w:val="fr-FR"/>
        </w:rPr>
        <w:t>evidence</w:t>
      </w:r>
      <w:proofErr w:type="spellEnd"/>
      <w:r w:rsidRPr="00992C45">
        <w:rPr>
          <w:lang w:val="fr-FR"/>
        </w:rPr>
        <w:t xml:space="preserve">’, </w:t>
      </w:r>
      <w:r w:rsidRPr="00992C45">
        <w:rPr>
          <w:i/>
          <w:iCs/>
          <w:lang w:val="fr-FR"/>
        </w:rPr>
        <w:t xml:space="preserve">The Agricultural </w:t>
      </w:r>
      <w:proofErr w:type="spellStart"/>
      <w:r w:rsidRPr="00992C45">
        <w:rPr>
          <w:i/>
          <w:iCs/>
          <w:lang w:val="fr-FR"/>
        </w:rPr>
        <w:t>History</w:t>
      </w:r>
      <w:proofErr w:type="spellEnd"/>
      <w:r w:rsidRPr="00992C45">
        <w:rPr>
          <w:i/>
          <w:iCs/>
          <w:lang w:val="fr-FR"/>
        </w:rPr>
        <w:t xml:space="preserve"> </w:t>
      </w:r>
      <w:proofErr w:type="spellStart"/>
      <w:r w:rsidRPr="00992C45">
        <w:rPr>
          <w:i/>
          <w:iCs/>
          <w:lang w:val="fr-FR"/>
        </w:rPr>
        <w:t>Review</w:t>
      </w:r>
      <w:proofErr w:type="spellEnd"/>
      <w:r w:rsidRPr="00992C45">
        <w:rPr>
          <w:i/>
          <w:iCs/>
          <w:lang w:val="fr-FR"/>
        </w:rPr>
        <w:t xml:space="preserve">, </w:t>
      </w:r>
      <w:r w:rsidRPr="00992C45">
        <w:rPr>
          <w:lang w:val="fr-FR"/>
        </w:rPr>
        <w:t>Vol. 16, No. 2, (2013), pp.244-281</w:t>
      </w:r>
      <w:r w:rsidRPr="00992C45">
        <w:t> </w:t>
      </w:r>
    </w:p>
    <w:p w14:paraId="44A07825" w14:textId="77777777" w:rsidR="00992C45" w:rsidRPr="00992C45" w:rsidRDefault="00992C45" w:rsidP="0028398D">
      <w:pPr>
        <w:spacing w:after="240" w:line="240" w:lineRule="auto"/>
        <w:jc w:val="both"/>
      </w:pPr>
      <w:proofErr w:type="spellStart"/>
      <w:r w:rsidRPr="00992C45">
        <w:rPr>
          <w:lang w:val="fr-FR"/>
        </w:rPr>
        <w:t>Kilburn-Toppin</w:t>
      </w:r>
      <w:proofErr w:type="spellEnd"/>
      <w:r w:rsidRPr="00992C45">
        <w:rPr>
          <w:lang w:val="fr-FR"/>
        </w:rPr>
        <w:t>, Jasmine, ‘</w:t>
      </w:r>
      <w:proofErr w:type="spellStart"/>
      <w:r w:rsidRPr="00992C45">
        <w:rPr>
          <w:lang w:val="fr-FR"/>
        </w:rPr>
        <w:t>Gifting</w:t>
      </w:r>
      <w:proofErr w:type="spellEnd"/>
      <w:r w:rsidRPr="00992C45">
        <w:rPr>
          <w:lang w:val="fr-FR"/>
        </w:rPr>
        <w:t xml:space="preserve"> cultures and artisanal </w:t>
      </w:r>
      <w:proofErr w:type="spellStart"/>
      <w:r w:rsidRPr="00992C45">
        <w:rPr>
          <w:lang w:val="fr-FR"/>
        </w:rPr>
        <w:t>guilds</w:t>
      </w:r>
      <w:proofErr w:type="spellEnd"/>
      <w:r w:rsidRPr="00992C45">
        <w:rPr>
          <w:lang w:val="fr-FR"/>
        </w:rPr>
        <w:t xml:space="preserve"> in </w:t>
      </w:r>
      <w:proofErr w:type="spellStart"/>
      <w:r w:rsidRPr="00992C45">
        <w:rPr>
          <w:lang w:val="fr-FR"/>
        </w:rPr>
        <w:t>sixteenth</w:t>
      </w:r>
      <w:proofErr w:type="spellEnd"/>
      <w:r w:rsidRPr="00992C45">
        <w:rPr>
          <w:lang w:val="fr-FR"/>
        </w:rPr>
        <w:t xml:space="preserve">- and </w:t>
      </w:r>
      <w:proofErr w:type="spellStart"/>
      <w:r w:rsidRPr="00992C45">
        <w:rPr>
          <w:lang w:val="fr-FR"/>
        </w:rPr>
        <w:t>early</w:t>
      </w:r>
      <w:proofErr w:type="spellEnd"/>
      <w:r w:rsidRPr="00992C45">
        <w:rPr>
          <w:lang w:val="fr-FR"/>
        </w:rPr>
        <w:t xml:space="preserve"> </w:t>
      </w:r>
      <w:proofErr w:type="spellStart"/>
      <w:r w:rsidRPr="00992C45">
        <w:rPr>
          <w:lang w:val="fr-FR"/>
        </w:rPr>
        <w:t>seventeenth</w:t>
      </w:r>
      <w:proofErr w:type="spellEnd"/>
      <w:r w:rsidRPr="00992C45">
        <w:rPr>
          <w:lang w:val="fr-FR"/>
        </w:rPr>
        <w:t xml:space="preserve">-century London’, </w:t>
      </w:r>
      <w:r w:rsidRPr="00992C45">
        <w:rPr>
          <w:i/>
          <w:iCs/>
          <w:lang w:val="fr-FR"/>
        </w:rPr>
        <w:t xml:space="preserve">The </w:t>
      </w:r>
      <w:proofErr w:type="spellStart"/>
      <w:r w:rsidRPr="00992C45">
        <w:rPr>
          <w:i/>
          <w:iCs/>
          <w:lang w:val="fr-FR"/>
        </w:rPr>
        <w:t>Historical</w:t>
      </w:r>
      <w:proofErr w:type="spellEnd"/>
      <w:r w:rsidRPr="00992C45">
        <w:rPr>
          <w:i/>
          <w:iCs/>
          <w:lang w:val="fr-FR"/>
        </w:rPr>
        <w:t xml:space="preserve"> Journal</w:t>
      </w:r>
      <w:r w:rsidRPr="00992C45">
        <w:rPr>
          <w:lang w:val="fr-FR"/>
        </w:rPr>
        <w:t>, Vol. 60, No. 4, (2017), pp.865-887</w:t>
      </w:r>
      <w:r w:rsidRPr="00992C45">
        <w:t> </w:t>
      </w:r>
    </w:p>
    <w:p w14:paraId="5B2E04FF" w14:textId="77777777" w:rsidR="00992C45" w:rsidRPr="00992C45" w:rsidRDefault="00992C45" w:rsidP="0028398D">
      <w:pPr>
        <w:spacing w:after="240" w:line="240" w:lineRule="auto"/>
        <w:jc w:val="both"/>
      </w:pPr>
      <w:r w:rsidRPr="00992C45">
        <w:rPr>
          <w:lang w:val="en-US"/>
        </w:rPr>
        <w:t xml:space="preserve">King, </w:t>
      </w:r>
      <w:proofErr w:type="gramStart"/>
      <w:r w:rsidRPr="00992C45">
        <w:rPr>
          <w:lang w:val="en-US"/>
        </w:rPr>
        <w:t>Chris, ‘</w:t>
      </w:r>
      <w:proofErr w:type="gramEnd"/>
      <w:r w:rsidRPr="00992C45">
        <w:rPr>
          <w:lang w:val="en-US"/>
        </w:rPr>
        <w:t xml:space="preserve">’Closure’ and the urban Great Rebuilding in early modern Norwich’, </w:t>
      </w:r>
      <w:r w:rsidRPr="00992C45">
        <w:rPr>
          <w:i/>
          <w:iCs/>
          <w:lang w:val="en-US"/>
        </w:rPr>
        <w:t xml:space="preserve">Post-Medieval Archaeology, </w:t>
      </w:r>
      <w:r w:rsidRPr="00992C45">
        <w:rPr>
          <w:lang w:val="en-US"/>
        </w:rPr>
        <w:t>Vol. 44, No. 1, (2010), pp.54-80</w:t>
      </w:r>
      <w:r w:rsidRPr="00992C45">
        <w:t> </w:t>
      </w:r>
    </w:p>
    <w:p w14:paraId="0F829783" w14:textId="77777777" w:rsidR="00992C45" w:rsidRPr="00992C45" w:rsidRDefault="00992C45" w:rsidP="0028398D">
      <w:pPr>
        <w:spacing w:after="240" w:line="240" w:lineRule="auto"/>
        <w:jc w:val="both"/>
      </w:pPr>
      <w:r w:rsidRPr="00992C45">
        <w:rPr>
          <w:lang w:val="en-US"/>
        </w:rPr>
        <w:t xml:space="preserve">King, </w:t>
      </w:r>
      <w:proofErr w:type="gramStart"/>
      <w:r w:rsidRPr="00992C45">
        <w:rPr>
          <w:lang w:val="en-US"/>
        </w:rPr>
        <w:t>Chris, ‘</w:t>
      </w:r>
      <w:proofErr w:type="gramEnd"/>
      <w:r w:rsidRPr="00992C45">
        <w:rPr>
          <w:lang w:val="en-US"/>
        </w:rPr>
        <w:t xml:space="preserve">Domestic </w:t>
      </w:r>
      <w:proofErr w:type="gramStart"/>
      <w:r w:rsidRPr="00992C45">
        <w:rPr>
          <w:lang w:val="en-US"/>
        </w:rPr>
        <w:t>buildings</w:t>
      </w:r>
      <w:proofErr w:type="gramEnd"/>
      <w:r w:rsidRPr="00992C45">
        <w:rPr>
          <w:lang w:val="en-US"/>
        </w:rPr>
        <w:t xml:space="preserve">: </w:t>
      </w:r>
      <w:proofErr w:type="gramStart"/>
      <w:r w:rsidRPr="00992C45">
        <w:rPr>
          <w:lang w:val="en-US"/>
        </w:rPr>
        <w:t>understanding houses</w:t>
      </w:r>
      <w:proofErr w:type="gramEnd"/>
      <w:r w:rsidRPr="00992C45">
        <w:rPr>
          <w:lang w:val="en-US"/>
        </w:rPr>
        <w:t xml:space="preserve"> and </w:t>
      </w:r>
      <w:proofErr w:type="gramStart"/>
      <w:r w:rsidRPr="00992C45">
        <w:rPr>
          <w:lang w:val="en-US"/>
        </w:rPr>
        <w:t>society</w:t>
      </w:r>
      <w:proofErr w:type="gramEnd"/>
      <w:r w:rsidRPr="00992C45">
        <w:rPr>
          <w:lang w:val="en-US"/>
        </w:rPr>
        <w:t xml:space="preserve">’, in Catherine Richardson, Tara Hamling and David </w:t>
      </w:r>
      <w:proofErr w:type="spellStart"/>
      <w:r w:rsidRPr="00992C45">
        <w:rPr>
          <w:lang w:val="en-US"/>
        </w:rPr>
        <w:t>Gaimster</w:t>
      </w:r>
      <w:proofErr w:type="spellEnd"/>
      <w:r w:rsidRPr="00992C45">
        <w:rPr>
          <w:lang w:val="en-US"/>
        </w:rPr>
        <w:t xml:space="preserve"> (eds), </w:t>
      </w:r>
      <w:r w:rsidRPr="00992C45">
        <w:rPr>
          <w:i/>
          <w:iCs/>
          <w:lang w:val="en-US"/>
        </w:rPr>
        <w:t xml:space="preserve">The Routledge Handbook of Material Culture in Early Modern Europe, </w:t>
      </w:r>
      <w:r w:rsidRPr="00992C45">
        <w:rPr>
          <w:lang w:val="en-US"/>
        </w:rPr>
        <w:t>(Abingdon, 2017), pp.115-129</w:t>
      </w:r>
      <w:r w:rsidRPr="00992C45">
        <w:t> </w:t>
      </w:r>
    </w:p>
    <w:p w14:paraId="1FFB2D25" w14:textId="77777777" w:rsidR="00992C45" w:rsidRPr="00992C45" w:rsidRDefault="00992C45" w:rsidP="0028398D">
      <w:pPr>
        <w:spacing w:after="240" w:line="240" w:lineRule="auto"/>
        <w:jc w:val="both"/>
      </w:pPr>
      <w:r w:rsidRPr="00992C45">
        <w:rPr>
          <w:lang w:val="en-US"/>
        </w:rPr>
        <w:t xml:space="preserve">King, </w:t>
      </w:r>
      <w:proofErr w:type="gramStart"/>
      <w:r w:rsidRPr="00992C45">
        <w:rPr>
          <w:lang w:val="en-US"/>
        </w:rPr>
        <w:t>Steven, ‘</w:t>
      </w:r>
      <w:proofErr w:type="gramEnd"/>
      <w:r w:rsidRPr="00992C45">
        <w:rPr>
          <w:lang w:val="en-US"/>
        </w:rPr>
        <w:t xml:space="preserve">Chance encounters? Paths to household formation in early modern England’, </w:t>
      </w:r>
      <w:r w:rsidRPr="00992C45">
        <w:rPr>
          <w:i/>
          <w:iCs/>
          <w:lang w:val="en-US"/>
        </w:rPr>
        <w:t xml:space="preserve">International Review of Social History, </w:t>
      </w:r>
      <w:r w:rsidRPr="00992C45">
        <w:rPr>
          <w:lang w:val="en-US"/>
        </w:rPr>
        <w:t>Vol.</w:t>
      </w:r>
      <w:r w:rsidRPr="00992C45">
        <w:rPr>
          <w:i/>
          <w:iCs/>
          <w:lang w:val="en-US"/>
        </w:rPr>
        <w:t xml:space="preserve"> </w:t>
      </w:r>
      <w:r w:rsidRPr="00992C45">
        <w:rPr>
          <w:lang w:val="en-US"/>
        </w:rPr>
        <w:t>44, (1999), pp.23-46</w:t>
      </w:r>
      <w:r w:rsidRPr="00992C45">
        <w:t> </w:t>
      </w:r>
    </w:p>
    <w:p w14:paraId="01FFB2E5" w14:textId="77777777" w:rsidR="00992C45" w:rsidRPr="00992C45" w:rsidRDefault="00992C45" w:rsidP="0028398D">
      <w:pPr>
        <w:spacing w:after="240" w:line="240" w:lineRule="auto"/>
        <w:jc w:val="both"/>
      </w:pPr>
      <w:r w:rsidRPr="00992C45">
        <w:rPr>
          <w:lang w:val="en-US"/>
        </w:rPr>
        <w:t xml:space="preserve">Kotansky, Roy, ‘Incantations and prayers for salvation on inscribed Greek amulets’, in Christopher A. Farone and Dirk Obbink (eds), </w:t>
      </w:r>
      <w:proofErr w:type="spellStart"/>
      <w:r w:rsidRPr="00992C45">
        <w:rPr>
          <w:i/>
          <w:iCs/>
          <w:lang w:val="en-US"/>
        </w:rPr>
        <w:t>Magika</w:t>
      </w:r>
      <w:proofErr w:type="spellEnd"/>
      <w:r w:rsidRPr="00992C45">
        <w:rPr>
          <w:i/>
          <w:iCs/>
          <w:lang w:val="en-US"/>
        </w:rPr>
        <w:t xml:space="preserve"> </w:t>
      </w:r>
      <w:proofErr w:type="spellStart"/>
      <w:r w:rsidRPr="00992C45">
        <w:rPr>
          <w:i/>
          <w:iCs/>
          <w:lang w:val="en-US"/>
        </w:rPr>
        <w:t>Hiera</w:t>
      </w:r>
      <w:proofErr w:type="spellEnd"/>
      <w:r w:rsidRPr="00992C45">
        <w:rPr>
          <w:i/>
          <w:iCs/>
          <w:lang w:val="en-US"/>
        </w:rPr>
        <w:t xml:space="preserve">: Ancient Greek Magic and Religion, </w:t>
      </w:r>
      <w:r w:rsidRPr="00992C45">
        <w:rPr>
          <w:lang w:val="en-US"/>
        </w:rPr>
        <w:t>(Oxford, 1991), pp.107-137</w:t>
      </w:r>
      <w:r w:rsidRPr="00992C45">
        <w:t> </w:t>
      </w:r>
    </w:p>
    <w:p w14:paraId="497EB57C" w14:textId="77777777" w:rsidR="00992C45" w:rsidRPr="00992C45" w:rsidRDefault="00992C45" w:rsidP="0028398D">
      <w:pPr>
        <w:spacing w:after="240" w:line="240" w:lineRule="auto"/>
        <w:jc w:val="both"/>
      </w:pPr>
      <w:r w:rsidRPr="00992C45">
        <w:rPr>
          <w:lang w:val="en-US"/>
        </w:rPr>
        <w:t>Kramer, Anne-</w:t>
      </w:r>
      <w:proofErr w:type="gramStart"/>
      <w:r w:rsidRPr="00992C45">
        <w:rPr>
          <w:lang w:val="en-US"/>
        </w:rPr>
        <w:t>Marie, ‘</w:t>
      </w:r>
      <w:proofErr w:type="spellStart"/>
      <w:proofErr w:type="gramEnd"/>
      <w:r w:rsidRPr="00992C45">
        <w:rPr>
          <w:lang w:val="en-US"/>
        </w:rPr>
        <w:t>Mediat</w:t>
      </w:r>
      <w:proofErr w:type="spellEnd"/>
      <w:r w:rsidRPr="00992C45">
        <w:rPr>
          <w:lang w:val="en-US"/>
        </w:rPr>
        <w:t>[is]</w:t>
      </w:r>
      <w:proofErr w:type="spellStart"/>
      <w:r w:rsidRPr="00992C45">
        <w:rPr>
          <w:lang w:val="en-US"/>
        </w:rPr>
        <w:t>ing</w:t>
      </w:r>
      <w:proofErr w:type="spellEnd"/>
      <w:r w:rsidRPr="00992C45">
        <w:rPr>
          <w:lang w:val="en-US"/>
        </w:rPr>
        <w:t xml:space="preserve"> memory: history, affect and identity in </w:t>
      </w:r>
      <w:r w:rsidRPr="00992C45">
        <w:rPr>
          <w:i/>
          <w:iCs/>
          <w:lang w:val="en-US"/>
        </w:rPr>
        <w:t xml:space="preserve">Who Do You Think You Are?’, European Journal of Cultural Studies, </w:t>
      </w:r>
      <w:r w:rsidRPr="00992C45">
        <w:rPr>
          <w:lang w:val="en-US"/>
        </w:rPr>
        <w:t>Vol. 14, No. 3, (2011), pp.379-395</w:t>
      </w:r>
      <w:r w:rsidRPr="00992C45">
        <w:t> </w:t>
      </w:r>
    </w:p>
    <w:p w14:paraId="1D053C07" w14:textId="77777777" w:rsidR="00992C45" w:rsidRPr="00992C45" w:rsidRDefault="00992C45" w:rsidP="0028398D">
      <w:pPr>
        <w:spacing w:after="240" w:line="240" w:lineRule="auto"/>
        <w:jc w:val="both"/>
      </w:pPr>
      <w:proofErr w:type="spellStart"/>
      <w:r w:rsidRPr="00992C45">
        <w:rPr>
          <w:lang w:val="en-US"/>
        </w:rPr>
        <w:t>Laslett</w:t>
      </w:r>
      <w:proofErr w:type="spellEnd"/>
      <w:r w:rsidRPr="00992C45">
        <w:rPr>
          <w:lang w:val="en-US"/>
        </w:rPr>
        <w:t xml:space="preserve">, Peter and Richard Wall (eds), </w:t>
      </w:r>
      <w:r w:rsidRPr="00992C45">
        <w:rPr>
          <w:i/>
          <w:iCs/>
          <w:lang w:val="en-US"/>
        </w:rPr>
        <w:t xml:space="preserve">The Household and Family in Past Time, </w:t>
      </w:r>
      <w:r w:rsidRPr="00992C45">
        <w:rPr>
          <w:lang w:val="en-US"/>
        </w:rPr>
        <w:t>(Cambridge, 1972)</w:t>
      </w:r>
      <w:r w:rsidRPr="00992C45">
        <w:t> </w:t>
      </w:r>
    </w:p>
    <w:p w14:paraId="6CDCAB30" w14:textId="77777777" w:rsidR="00992C45" w:rsidRPr="00992C45" w:rsidRDefault="00992C45" w:rsidP="0028398D">
      <w:pPr>
        <w:spacing w:after="240" w:line="240" w:lineRule="auto"/>
        <w:jc w:val="both"/>
      </w:pPr>
      <w:proofErr w:type="spellStart"/>
      <w:r w:rsidRPr="00992C45">
        <w:rPr>
          <w:lang w:val="en-US"/>
        </w:rPr>
        <w:t>Laslett</w:t>
      </w:r>
      <w:proofErr w:type="spellEnd"/>
      <w:r w:rsidRPr="00992C45">
        <w:rPr>
          <w:lang w:val="en-US"/>
        </w:rPr>
        <w:t xml:space="preserve">, Peter, </w:t>
      </w:r>
      <w:r w:rsidRPr="00992C45">
        <w:rPr>
          <w:i/>
          <w:iCs/>
          <w:lang w:val="en-US"/>
        </w:rPr>
        <w:t xml:space="preserve">The World We Have Lost, </w:t>
      </w:r>
      <w:r w:rsidRPr="00992C45">
        <w:rPr>
          <w:lang w:val="en-US"/>
        </w:rPr>
        <w:t>(London, 1965)</w:t>
      </w:r>
      <w:r w:rsidRPr="00992C45">
        <w:t> </w:t>
      </w:r>
    </w:p>
    <w:p w14:paraId="68A037B0" w14:textId="77777777" w:rsidR="00992C45" w:rsidRPr="00992C45" w:rsidRDefault="00992C45" w:rsidP="0028398D">
      <w:pPr>
        <w:spacing w:after="240" w:line="240" w:lineRule="auto"/>
        <w:jc w:val="both"/>
      </w:pPr>
      <w:proofErr w:type="spellStart"/>
      <w:r w:rsidRPr="00992C45">
        <w:rPr>
          <w:lang w:val="fr-FR"/>
        </w:rPr>
        <w:t>Laslett</w:t>
      </w:r>
      <w:proofErr w:type="spellEnd"/>
      <w:r w:rsidRPr="00992C45">
        <w:rPr>
          <w:lang w:val="fr-FR"/>
        </w:rPr>
        <w:t xml:space="preserve">, Peter, </w:t>
      </w:r>
      <w:r w:rsidRPr="00992C45">
        <w:rPr>
          <w:i/>
          <w:iCs/>
          <w:lang w:val="fr-FR"/>
        </w:rPr>
        <w:t xml:space="preserve">The World </w:t>
      </w:r>
      <w:proofErr w:type="spellStart"/>
      <w:r w:rsidRPr="00992C45">
        <w:rPr>
          <w:i/>
          <w:iCs/>
          <w:lang w:val="fr-FR"/>
        </w:rPr>
        <w:t>We</w:t>
      </w:r>
      <w:proofErr w:type="spellEnd"/>
      <w:r w:rsidRPr="00992C45">
        <w:rPr>
          <w:i/>
          <w:iCs/>
          <w:lang w:val="fr-FR"/>
        </w:rPr>
        <w:t xml:space="preserve"> Have </w:t>
      </w:r>
      <w:proofErr w:type="spellStart"/>
      <w:proofErr w:type="gramStart"/>
      <w:r w:rsidRPr="00992C45">
        <w:rPr>
          <w:i/>
          <w:iCs/>
          <w:lang w:val="fr-FR"/>
        </w:rPr>
        <w:t>Lost</w:t>
      </w:r>
      <w:proofErr w:type="spellEnd"/>
      <w:r w:rsidRPr="00992C45">
        <w:rPr>
          <w:i/>
          <w:iCs/>
          <w:lang w:val="fr-FR"/>
        </w:rPr>
        <w:t>:</w:t>
      </w:r>
      <w:proofErr w:type="gramEnd"/>
      <w:r w:rsidRPr="00992C45">
        <w:rPr>
          <w:i/>
          <w:iCs/>
          <w:lang w:val="fr-FR"/>
        </w:rPr>
        <w:t xml:space="preserve"> </w:t>
      </w:r>
      <w:proofErr w:type="spellStart"/>
      <w:r w:rsidRPr="00992C45">
        <w:rPr>
          <w:i/>
          <w:iCs/>
          <w:lang w:val="fr-FR"/>
        </w:rPr>
        <w:t>Further</w:t>
      </w:r>
      <w:proofErr w:type="spellEnd"/>
      <w:r w:rsidRPr="00992C45">
        <w:rPr>
          <w:i/>
          <w:iCs/>
          <w:lang w:val="fr-FR"/>
        </w:rPr>
        <w:t xml:space="preserve"> </w:t>
      </w:r>
      <w:proofErr w:type="spellStart"/>
      <w:r w:rsidRPr="00992C45">
        <w:rPr>
          <w:i/>
          <w:iCs/>
          <w:lang w:val="fr-FR"/>
        </w:rPr>
        <w:t>Explored</w:t>
      </w:r>
      <w:proofErr w:type="spellEnd"/>
      <w:r w:rsidRPr="00992C45">
        <w:rPr>
          <w:i/>
          <w:iCs/>
          <w:lang w:val="fr-FR"/>
        </w:rPr>
        <w:t xml:space="preserve">, </w:t>
      </w:r>
      <w:r w:rsidRPr="00992C45">
        <w:rPr>
          <w:lang w:val="fr-FR"/>
        </w:rPr>
        <w:t>(London, 2000)</w:t>
      </w:r>
      <w:r w:rsidRPr="00992C45">
        <w:t> </w:t>
      </w:r>
    </w:p>
    <w:p w14:paraId="65854077" w14:textId="77777777" w:rsidR="00992C45" w:rsidRPr="00992C45" w:rsidRDefault="00992C45" w:rsidP="0028398D">
      <w:pPr>
        <w:spacing w:after="240" w:line="240" w:lineRule="auto"/>
        <w:jc w:val="both"/>
      </w:pPr>
      <w:r w:rsidRPr="00992C45">
        <w:rPr>
          <w:lang w:val="en-US"/>
        </w:rPr>
        <w:t xml:space="preserve">Law, Robin, ‘William’s Fort: </w:t>
      </w:r>
      <w:proofErr w:type="gramStart"/>
      <w:r w:rsidRPr="00992C45">
        <w:rPr>
          <w:lang w:val="en-US"/>
        </w:rPr>
        <w:t>the</w:t>
      </w:r>
      <w:proofErr w:type="gramEnd"/>
      <w:r w:rsidRPr="00992C45">
        <w:rPr>
          <w:lang w:val="en-US"/>
        </w:rPr>
        <w:t xml:space="preserve"> English fort at Ouidah, 1680s-1960s’, in John Kwadwo Osei-Tutu (ed.), </w:t>
      </w:r>
      <w:r w:rsidRPr="00992C45">
        <w:rPr>
          <w:i/>
          <w:iCs/>
          <w:lang w:val="en-US"/>
        </w:rPr>
        <w:t xml:space="preserve">Forts, Castles and Society in West Africa: Gold Coast and Dahomey, 1450-1960, </w:t>
      </w:r>
      <w:r w:rsidRPr="00992C45">
        <w:rPr>
          <w:lang w:val="en-US"/>
        </w:rPr>
        <w:t>(Leiden, 2018), pp.119-147</w:t>
      </w:r>
      <w:r w:rsidRPr="00992C45">
        <w:t> </w:t>
      </w:r>
    </w:p>
    <w:p w14:paraId="4406F3CA" w14:textId="77777777" w:rsidR="00992C45" w:rsidRPr="00992C45" w:rsidRDefault="00992C45" w:rsidP="0028398D">
      <w:pPr>
        <w:spacing w:after="240" w:line="240" w:lineRule="auto"/>
        <w:jc w:val="both"/>
      </w:pPr>
      <w:proofErr w:type="spellStart"/>
      <w:r w:rsidRPr="00992C45">
        <w:rPr>
          <w:lang w:val="fr-FR"/>
        </w:rPr>
        <w:t>Leedham</w:t>
      </w:r>
      <w:proofErr w:type="spellEnd"/>
      <w:r w:rsidRPr="00992C45">
        <w:rPr>
          <w:lang w:val="fr-FR"/>
        </w:rPr>
        <w:t>-Green, E. S.,</w:t>
      </w:r>
      <w:r w:rsidRPr="00992C45">
        <w:rPr>
          <w:i/>
          <w:iCs/>
          <w:lang w:val="fr-FR"/>
        </w:rPr>
        <w:t xml:space="preserve"> Books in Cambridge </w:t>
      </w:r>
      <w:proofErr w:type="gramStart"/>
      <w:r w:rsidRPr="00992C45">
        <w:rPr>
          <w:i/>
          <w:iCs/>
          <w:lang w:val="fr-FR"/>
        </w:rPr>
        <w:t>Inventories:</w:t>
      </w:r>
      <w:proofErr w:type="gramEnd"/>
      <w:r w:rsidRPr="00992C45">
        <w:rPr>
          <w:i/>
          <w:iCs/>
          <w:lang w:val="fr-FR"/>
        </w:rPr>
        <w:t xml:space="preserve"> Book-</w:t>
      </w:r>
      <w:proofErr w:type="spellStart"/>
      <w:r w:rsidRPr="00992C45">
        <w:rPr>
          <w:i/>
          <w:iCs/>
          <w:lang w:val="fr-FR"/>
        </w:rPr>
        <w:t>Lists</w:t>
      </w:r>
      <w:proofErr w:type="spellEnd"/>
      <w:r w:rsidRPr="00992C45">
        <w:rPr>
          <w:i/>
          <w:iCs/>
          <w:lang w:val="fr-FR"/>
        </w:rPr>
        <w:t xml:space="preserve"> </w:t>
      </w:r>
      <w:proofErr w:type="spellStart"/>
      <w:r w:rsidRPr="00992C45">
        <w:rPr>
          <w:i/>
          <w:iCs/>
          <w:lang w:val="fr-FR"/>
        </w:rPr>
        <w:t>from</w:t>
      </w:r>
      <w:proofErr w:type="spellEnd"/>
      <w:r w:rsidRPr="00992C45">
        <w:rPr>
          <w:i/>
          <w:iCs/>
          <w:lang w:val="fr-FR"/>
        </w:rPr>
        <w:t xml:space="preserve"> Vice-</w:t>
      </w:r>
      <w:proofErr w:type="spellStart"/>
      <w:r w:rsidRPr="00992C45">
        <w:rPr>
          <w:i/>
          <w:iCs/>
          <w:lang w:val="fr-FR"/>
        </w:rPr>
        <w:t>Chancellor’s</w:t>
      </w:r>
      <w:proofErr w:type="spellEnd"/>
      <w:r w:rsidRPr="00992C45">
        <w:rPr>
          <w:i/>
          <w:iCs/>
          <w:lang w:val="fr-FR"/>
        </w:rPr>
        <w:t xml:space="preserve"> Court </w:t>
      </w:r>
      <w:proofErr w:type="spellStart"/>
      <w:r w:rsidRPr="00992C45">
        <w:rPr>
          <w:i/>
          <w:iCs/>
          <w:lang w:val="fr-FR"/>
        </w:rPr>
        <w:t>Probate</w:t>
      </w:r>
      <w:proofErr w:type="spellEnd"/>
      <w:r w:rsidRPr="00992C45">
        <w:rPr>
          <w:i/>
          <w:iCs/>
          <w:lang w:val="fr-FR"/>
        </w:rPr>
        <w:t xml:space="preserve"> Inventories in the Tudor and Stuart </w:t>
      </w:r>
      <w:proofErr w:type="spellStart"/>
      <w:r w:rsidRPr="00992C45">
        <w:rPr>
          <w:i/>
          <w:iCs/>
          <w:lang w:val="fr-FR"/>
        </w:rPr>
        <w:t>Periods</w:t>
      </w:r>
      <w:proofErr w:type="spellEnd"/>
      <w:r w:rsidRPr="00992C45">
        <w:rPr>
          <w:i/>
          <w:iCs/>
          <w:lang w:val="fr-FR"/>
        </w:rPr>
        <w:t xml:space="preserve">, </w:t>
      </w:r>
      <w:r w:rsidRPr="00992C45">
        <w:rPr>
          <w:lang w:val="fr-FR"/>
        </w:rPr>
        <w:t>(Cambridge, 1986)</w:t>
      </w:r>
      <w:r w:rsidRPr="00992C45">
        <w:t> </w:t>
      </w:r>
    </w:p>
    <w:p w14:paraId="59C36F10" w14:textId="77777777" w:rsidR="00992C45" w:rsidRPr="00992C45" w:rsidRDefault="00992C45" w:rsidP="0028398D">
      <w:pPr>
        <w:spacing w:after="240" w:line="240" w:lineRule="auto"/>
        <w:jc w:val="both"/>
      </w:pPr>
      <w:r w:rsidRPr="00992C45">
        <w:rPr>
          <w:lang w:val="en-US"/>
        </w:rPr>
        <w:t xml:space="preserve">Lefebvre, </w:t>
      </w:r>
      <w:proofErr w:type="gramStart"/>
      <w:r w:rsidRPr="00992C45">
        <w:rPr>
          <w:lang w:val="en-US"/>
        </w:rPr>
        <w:t>Henri, ‘</w:t>
      </w:r>
      <w:proofErr w:type="gramEnd"/>
      <w:r w:rsidRPr="00992C45">
        <w:rPr>
          <w:lang w:val="en-US"/>
        </w:rPr>
        <w:t xml:space="preserve">The production of space’ in Jen Jack Gieseking, William Mangold (eds) with Cindi Katz, </w:t>
      </w:r>
      <w:proofErr w:type="spellStart"/>
      <w:r w:rsidRPr="00992C45">
        <w:rPr>
          <w:lang w:val="en-US"/>
        </w:rPr>
        <w:t>Cetha</w:t>
      </w:r>
      <w:proofErr w:type="spellEnd"/>
      <w:r w:rsidRPr="00992C45">
        <w:rPr>
          <w:lang w:val="en-US"/>
        </w:rPr>
        <w:t xml:space="preserve"> Low, Susan Saegert, </w:t>
      </w:r>
      <w:r w:rsidRPr="00992C45">
        <w:rPr>
          <w:i/>
          <w:iCs/>
          <w:lang w:val="en-US"/>
        </w:rPr>
        <w:t>The People, Place and Space Reader,</w:t>
      </w:r>
      <w:r w:rsidRPr="00992C45">
        <w:rPr>
          <w:lang w:val="en-US"/>
        </w:rPr>
        <w:t xml:space="preserve"> (Oxford, 2014), pp.289-293</w:t>
      </w:r>
      <w:r w:rsidRPr="00992C45">
        <w:t> </w:t>
      </w:r>
    </w:p>
    <w:p w14:paraId="39889B1E" w14:textId="77777777" w:rsidR="00992C45" w:rsidRPr="00992C45" w:rsidRDefault="00992C45" w:rsidP="0028398D">
      <w:pPr>
        <w:spacing w:after="240" w:line="240" w:lineRule="auto"/>
        <w:jc w:val="both"/>
      </w:pPr>
      <w:r w:rsidRPr="00992C45">
        <w:rPr>
          <w:lang w:val="en-US"/>
        </w:rPr>
        <w:lastRenderedPageBreak/>
        <w:t xml:space="preserve">Lenartowicz, </w:t>
      </w:r>
      <w:proofErr w:type="gramStart"/>
      <w:r w:rsidRPr="00992C45">
        <w:rPr>
          <w:lang w:val="en-US"/>
        </w:rPr>
        <w:t>Krzysztof, ‘</w:t>
      </w:r>
      <w:proofErr w:type="gramEnd"/>
      <w:r w:rsidRPr="00992C45">
        <w:rPr>
          <w:lang w:val="en-US"/>
        </w:rPr>
        <w:t xml:space="preserve">Equilateral triangle and the Holy Trinity’, </w:t>
      </w:r>
      <w:r w:rsidRPr="00992C45">
        <w:rPr>
          <w:i/>
          <w:iCs/>
          <w:lang w:val="en-US"/>
        </w:rPr>
        <w:t xml:space="preserve">Journal of Architecture and Urbanism, </w:t>
      </w:r>
      <w:r w:rsidRPr="00992C45">
        <w:rPr>
          <w:lang w:val="en-US"/>
        </w:rPr>
        <w:t>Vol. 38, No. 4, (2014), pp.220-233</w:t>
      </w:r>
      <w:r w:rsidRPr="00992C45">
        <w:t> </w:t>
      </w:r>
    </w:p>
    <w:p w14:paraId="48B3B3BA" w14:textId="77777777" w:rsidR="00992C45" w:rsidRPr="00992C45" w:rsidRDefault="00992C45" w:rsidP="0028398D">
      <w:pPr>
        <w:spacing w:after="240" w:line="240" w:lineRule="auto"/>
        <w:jc w:val="both"/>
      </w:pPr>
      <w:r w:rsidRPr="00992C45">
        <w:rPr>
          <w:lang w:val="en-US"/>
        </w:rPr>
        <w:t xml:space="preserve">Lewis, Samuel, </w:t>
      </w:r>
      <w:r w:rsidRPr="00992C45">
        <w:rPr>
          <w:i/>
          <w:iCs/>
          <w:lang w:val="en-US"/>
        </w:rPr>
        <w:t xml:space="preserve">A Topographical Dictionary of England, Volume 3, </w:t>
      </w:r>
      <w:r w:rsidRPr="00992C45">
        <w:rPr>
          <w:lang w:val="en-US"/>
        </w:rPr>
        <w:t>(London, 1845)</w:t>
      </w:r>
      <w:r w:rsidRPr="00992C45">
        <w:t> </w:t>
      </w:r>
    </w:p>
    <w:p w14:paraId="3102BAA4" w14:textId="77777777" w:rsidR="00992C45" w:rsidRPr="00992C45" w:rsidRDefault="00992C45" w:rsidP="0028398D">
      <w:pPr>
        <w:spacing w:after="240" w:line="240" w:lineRule="auto"/>
        <w:jc w:val="both"/>
      </w:pPr>
      <w:r w:rsidRPr="00992C45">
        <w:rPr>
          <w:lang w:val="en-US"/>
        </w:rPr>
        <w:t xml:space="preserve">Long, Bridget, ‘“Regular Progressive Work Occupies My Mind Best”: Needlework as a Source of Entertainment, Consolation and Reflection’, </w:t>
      </w:r>
      <w:r w:rsidRPr="00992C45">
        <w:rPr>
          <w:i/>
          <w:iCs/>
          <w:lang w:val="en-US"/>
        </w:rPr>
        <w:t xml:space="preserve">Textile: Cloth and Culture, </w:t>
      </w:r>
      <w:r w:rsidRPr="00992C45">
        <w:rPr>
          <w:lang w:val="en-US"/>
        </w:rPr>
        <w:t>Vol. 14, No. 2, (2016), pp.176-187</w:t>
      </w:r>
      <w:r w:rsidRPr="00992C45">
        <w:t> </w:t>
      </w:r>
    </w:p>
    <w:p w14:paraId="49344ABC" w14:textId="77777777" w:rsidR="00992C45" w:rsidRPr="00992C45" w:rsidRDefault="00992C45" w:rsidP="0028398D">
      <w:pPr>
        <w:spacing w:after="240" w:line="240" w:lineRule="auto"/>
        <w:jc w:val="both"/>
      </w:pPr>
      <w:r w:rsidRPr="00992C45">
        <w:rPr>
          <w:lang w:val="fr-FR"/>
        </w:rPr>
        <w:t xml:space="preserve">Lowe, Norman, </w:t>
      </w:r>
      <w:r w:rsidRPr="00992C45">
        <w:rPr>
          <w:i/>
          <w:iCs/>
          <w:lang w:val="fr-FR"/>
        </w:rPr>
        <w:t xml:space="preserve">The Lancashire Textile </w:t>
      </w:r>
      <w:proofErr w:type="spellStart"/>
      <w:r w:rsidRPr="00992C45">
        <w:rPr>
          <w:i/>
          <w:iCs/>
          <w:lang w:val="fr-FR"/>
        </w:rPr>
        <w:t>Industry</w:t>
      </w:r>
      <w:proofErr w:type="spellEnd"/>
      <w:r w:rsidRPr="00992C45">
        <w:rPr>
          <w:i/>
          <w:iCs/>
          <w:lang w:val="fr-FR"/>
        </w:rPr>
        <w:t xml:space="preserve"> in the </w:t>
      </w:r>
      <w:proofErr w:type="spellStart"/>
      <w:r w:rsidRPr="00992C45">
        <w:rPr>
          <w:i/>
          <w:iCs/>
          <w:lang w:val="fr-FR"/>
        </w:rPr>
        <w:t>Sixteenth</w:t>
      </w:r>
      <w:proofErr w:type="spellEnd"/>
      <w:r w:rsidRPr="00992C45">
        <w:rPr>
          <w:i/>
          <w:iCs/>
          <w:lang w:val="fr-FR"/>
        </w:rPr>
        <w:t xml:space="preserve"> Century, </w:t>
      </w:r>
      <w:r w:rsidRPr="00992C45">
        <w:rPr>
          <w:lang w:val="fr-FR"/>
        </w:rPr>
        <w:t>(Manchester, 1972)</w:t>
      </w:r>
      <w:r w:rsidRPr="00992C45">
        <w:t> </w:t>
      </w:r>
    </w:p>
    <w:p w14:paraId="7623E609" w14:textId="77777777" w:rsidR="00992C45" w:rsidRPr="00992C45" w:rsidRDefault="00992C45" w:rsidP="0028398D">
      <w:pPr>
        <w:spacing w:after="240" w:line="240" w:lineRule="auto"/>
        <w:jc w:val="both"/>
      </w:pPr>
      <w:r w:rsidRPr="00992C45">
        <w:rPr>
          <w:lang w:val="en-US"/>
        </w:rPr>
        <w:t xml:space="preserve">Lowry, </w:t>
      </w:r>
      <w:proofErr w:type="gramStart"/>
      <w:r w:rsidRPr="00992C45">
        <w:rPr>
          <w:lang w:val="en-US"/>
        </w:rPr>
        <w:t>Elizabeth, ‘</w:t>
      </w:r>
      <w:proofErr w:type="gramEnd"/>
      <w:r w:rsidRPr="00992C45">
        <w:rPr>
          <w:lang w:val="en-US"/>
        </w:rPr>
        <w:t xml:space="preserve">Household textiles 1660-1850: hidden items of material culture from the country house’, </w:t>
      </w:r>
      <w:r w:rsidRPr="00992C45">
        <w:rPr>
          <w:i/>
          <w:iCs/>
          <w:lang w:val="en-US"/>
        </w:rPr>
        <w:t xml:space="preserve">Family &amp; Community History, </w:t>
      </w:r>
      <w:r w:rsidRPr="00992C45">
        <w:rPr>
          <w:lang w:val="en-US"/>
        </w:rPr>
        <w:t>Vol. 23, No. 2, (2020), pp.95-118</w:t>
      </w:r>
      <w:r w:rsidRPr="00992C45">
        <w:t> </w:t>
      </w:r>
    </w:p>
    <w:p w14:paraId="5A3CDC02" w14:textId="77777777" w:rsidR="00992C45" w:rsidRPr="00992C45" w:rsidRDefault="00992C45" w:rsidP="0028398D">
      <w:pPr>
        <w:spacing w:after="240" w:line="240" w:lineRule="auto"/>
        <w:jc w:val="both"/>
      </w:pPr>
      <w:r w:rsidRPr="00992C45">
        <w:rPr>
          <w:lang w:val="en-US"/>
        </w:rPr>
        <w:t>Machin, R</w:t>
      </w:r>
      <w:proofErr w:type="gramStart"/>
      <w:r w:rsidRPr="00992C45">
        <w:rPr>
          <w:lang w:val="en-US"/>
        </w:rPr>
        <w:t>., ‘</w:t>
      </w:r>
      <w:proofErr w:type="gramEnd"/>
      <w:r w:rsidRPr="00992C45">
        <w:rPr>
          <w:lang w:val="en-US"/>
        </w:rPr>
        <w:t xml:space="preserve">The Great Rebuilding: a reassessment’, </w:t>
      </w:r>
      <w:r w:rsidRPr="00992C45">
        <w:rPr>
          <w:i/>
          <w:iCs/>
          <w:lang w:val="en-US"/>
        </w:rPr>
        <w:t xml:space="preserve">Past &amp; Present, </w:t>
      </w:r>
      <w:r w:rsidRPr="00992C45">
        <w:rPr>
          <w:lang w:val="en-US"/>
        </w:rPr>
        <w:t>Vol. 77, (1977), pp.33-56</w:t>
      </w:r>
      <w:r w:rsidRPr="00992C45">
        <w:t> </w:t>
      </w:r>
    </w:p>
    <w:p w14:paraId="6BD11290" w14:textId="77777777" w:rsidR="00992C45" w:rsidRPr="00992C45" w:rsidRDefault="00992C45" w:rsidP="0028398D">
      <w:pPr>
        <w:spacing w:after="240" w:line="240" w:lineRule="auto"/>
        <w:jc w:val="both"/>
      </w:pPr>
      <w:r w:rsidRPr="00992C45">
        <w:rPr>
          <w:lang w:val="en-US"/>
        </w:rPr>
        <w:t xml:space="preserve">MacIntyre, Alasdair, </w:t>
      </w:r>
      <w:r w:rsidRPr="00992C45">
        <w:rPr>
          <w:i/>
          <w:iCs/>
          <w:lang w:val="en-US"/>
        </w:rPr>
        <w:t xml:space="preserve">After Virtue: A Study in Moral Theory, </w:t>
      </w:r>
      <w:r w:rsidRPr="00992C45">
        <w:rPr>
          <w:lang w:val="en-US"/>
        </w:rPr>
        <w:t>(Paris, 1985)</w:t>
      </w:r>
      <w:r w:rsidRPr="00992C45">
        <w:t> </w:t>
      </w:r>
    </w:p>
    <w:p w14:paraId="4EC21659" w14:textId="77777777" w:rsidR="00992C45" w:rsidRPr="00992C45" w:rsidRDefault="00992C45" w:rsidP="0028398D">
      <w:pPr>
        <w:spacing w:after="240" w:line="240" w:lineRule="auto"/>
        <w:jc w:val="both"/>
      </w:pPr>
      <w:r w:rsidRPr="00992C45">
        <w:rPr>
          <w:lang w:val="en-US"/>
        </w:rPr>
        <w:t xml:space="preserve">MacKinnon, Dolly, ‘“Charity is worth it when it looks that good”: rural women and bequests of clothing in early modern England, in Susan Broomhall and Stephanie </w:t>
      </w:r>
      <w:proofErr w:type="spellStart"/>
      <w:r w:rsidRPr="00992C45">
        <w:rPr>
          <w:lang w:val="en-US"/>
        </w:rPr>
        <w:t>Tarbin</w:t>
      </w:r>
      <w:proofErr w:type="spellEnd"/>
      <w:r w:rsidRPr="00992C45">
        <w:rPr>
          <w:lang w:val="en-US"/>
        </w:rPr>
        <w:t xml:space="preserve"> (eds), </w:t>
      </w:r>
      <w:r w:rsidRPr="00992C45">
        <w:rPr>
          <w:i/>
          <w:iCs/>
          <w:lang w:val="en-US"/>
        </w:rPr>
        <w:t xml:space="preserve">Women, Identities and Communities in Early Modern Europe, </w:t>
      </w:r>
      <w:r w:rsidRPr="00992C45">
        <w:rPr>
          <w:lang w:val="en-US"/>
        </w:rPr>
        <w:t>(Farnham, 2008), pp.79-93</w:t>
      </w:r>
      <w:r w:rsidRPr="00992C45">
        <w:t> </w:t>
      </w:r>
    </w:p>
    <w:p w14:paraId="06E02DE0" w14:textId="77777777" w:rsidR="00992C45" w:rsidRPr="00992C45" w:rsidRDefault="00992C45" w:rsidP="0028398D">
      <w:pPr>
        <w:spacing w:after="240" w:line="240" w:lineRule="auto"/>
        <w:jc w:val="both"/>
      </w:pPr>
      <w:r w:rsidRPr="00992C45">
        <w:rPr>
          <w:lang w:val="en-US"/>
        </w:rPr>
        <w:t xml:space="preserve">Manco, </w:t>
      </w:r>
      <w:proofErr w:type="gramStart"/>
      <w:r w:rsidRPr="00992C45">
        <w:rPr>
          <w:lang w:val="en-US"/>
        </w:rPr>
        <w:t>Jean, ‘</w:t>
      </w:r>
      <w:proofErr w:type="gramEnd"/>
      <w:r w:rsidRPr="00992C45">
        <w:rPr>
          <w:lang w:val="en-US"/>
        </w:rPr>
        <w:t xml:space="preserve">Bath and the Great Rebuilding’, </w:t>
      </w:r>
      <w:r w:rsidRPr="00992C45">
        <w:rPr>
          <w:i/>
          <w:iCs/>
          <w:lang w:val="en-US"/>
        </w:rPr>
        <w:t xml:space="preserve">Bath History, </w:t>
      </w:r>
      <w:r w:rsidRPr="00992C45">
        <w:rPr>
          <w:lang w:val="en-US"/>
        </w:rPr>
        <w:t>Vol. 4, No. 2, (1992), pp.25-51</w:t>
      </w:r>
      <w:r w:rsidRPr="00992C45">
        <w:t> </w:t>
      </w:r>
    </w:p>
    <w:p w14:paraId="614CA02C" w14:textId="77777777" w:rsidR="00992C45" w:rsidRPr="00992C45" w:rsidRDefault="00992C45" w:rsidP="0028398D">
      <w:pPr>
        <w:spacing w:after="240" w:line="240" w:lineRule="auto"/>
        <w:jc w:val="both"/>
      </w:pPr>
      <w:r w:rsidRPr="00992C45">
        <w:rPr>
          <w:lang w:val="en-US"/>
        </w:rPr>
        <w:t xml:space="preserve">Maran, Joseph and Philipp W. </w:t>
      </w:r>
      <w:proofErr w:type="spellStart"/>
      <w:proofErr w:type="gramStart"/>
      <w:r w:rsidRPr="00992C45">
        <w:rPr>
          <w:lang w:val="en-US"/>
        </w:rPr>
        <w:t>Stockhammer</w:t>
      </w:r>
      <w:proofErr w:type="spellEnd"/>
      <w:r w:rsidRPr="00992C45">
        <w:rPr>
          <w:lang w:val="en-US"/>
        </w:rPr>
        <w:t>, ‘</w:t>
      </w:r>
      <w:proofErr w:type="gramEnd"/>
      <w:r w:rsidRPr="00992C45">
        <w:rPr>
          <w:lang w:val="en-US"/>
        </w:rPr>
        <w:t xml:space="preserve">Introduction’, in Joseph Maran and Philipp W. </w:t>
      </w:r>
      <w:proofErr w:type="spellStart"/>
      <w:r w:rsidRPr="00992C45">
        <w:rPr>
          <w:lang w:val="en-US"/>
        </w:rPr>
        <w:t>Stockhammer</w:t>
      </w:r>
      <w:proofErr w:type="spellEnd"/>
      <w:r w:rsidRPr="00992C45">
        <w:rPr>
          <w:lang w:val="en-US"/>
        </w:rPr>
        <w:t xml:space="preserve"> (eds), </w:t>
      </w:r>
      <w:r w:rsidRPr="00992C45">
        <w:rPr>
          <w:i/>
          <w:iCs/>
          <w:lang w:val="en-US"/>
        </w:rPr>
        <w:t xml:space="preserve">Materiality and Social Practice: Transformative Capacities of Intercultural Encounters, </w:t>
      </w:r>
      <w:r w:rsidRPr="00992C45">
        <w:rPr>
          <w:lang w:val="en-US"/>
        </w:rPr>
        <w:t>(Oxford, 2012), pp.1-3</w:t>
      </w:r>
      <w:r w:rsidRPr="00992C45">
        <w:t> </w:t>
      </w:r>
    </w:p>
    <w:p w14:paraId="53A9A1DB" w14:textId="77777777" w:rsidR="00992C45" w:rsidRPr="00992C45" w:rsidRDefault="00992C45" w:rsidP="0028398D">
      <w:pPr>
        <w:spacing w:after="240" w:line="240" w:lineRule="auto"/>
        <w:jc w:val="both"/>
      </w:pPr>
      <w:r w:rsidRPr="00992C45">
        <w:rPr>
          <w:lang w:val="en-US"/>
        </w:rPr>
        <w:t xml:space="preserve">Marsden, </w:t>
      </w:r>
      <w:proofErr w:type="gramStart"/>
      <w:r w:rsidRPr="00992C45">
        <w:rPr>
          <w:lang w:val="en-US"/>
        </w:rPr>
        <w:t>Adrian, ‘</w:t>
      </w:r>
      <w:proofErr w:type="gramEnd"/>
      <w:r w:rsidRPr="00992C45">
        <w:rPr>
          <w:lang w:val="en-US"/>
        </w:rPr>
        <w:t xml:space="preserve">How and how far did seventeenth-century tokens circulate? A consideration of some of the evidence from Norfolk’, </w:t>
      </w:r>
      <w:r w:rsidRPr="00992C45">
        <w:rPr>
          <w:i/>
          <w:iCs/>
          <w:lang w:val="en-US"/>
        </w:rPr>
        <w:t xml:space="preserve">Token Corresponding Society Bulletin, </w:t>
      </w:r>
      <w:r w:rsidRPr="00992C45">
        <w:rPr>
          <w:lang w:val="en-US"/>
        </w:rPr>
        <w:t>Vol. 13, No. 6, (2021), pp.213-222</w:t>
      </w:r>
      <w:r w:rsidRPr="00992C45">
        <w:t> </w:t>
      </w:r>
    </w:p>
    <w:p w14:paraId="2DB341A6" w14:textId="77777777" w:rsidR="00992C45" w:rsidRPr="00992C45" w:rsidRDefault="00992C45" w:rsidP="0028398D">
      <w:pPr>
        <w:spacing w:after="240" w:line="240" w:lineRule="auto"/>
        <w:jc w:val="both"/>
      </w:pPr>
      <w:r w:rsidRPr="00992C45">
        <w:rPr>
          <w:lang w:val="en-US"/>
        </w:rPr>
        <w:t xml:space="preserve">Marsh, Bower (ed.), </w:t>
      </w:r>
      <w:r w:rsidRPr="00992C45">
        <w:rPr>
          <w:i/>
          <w:iCs/>
          <w:lang w:val="en-US"/>
        </w:rPr>
        <w:t xml:space="preserve">Memorial Rings: Charles the Second to William the Fourth, in the Possession of Frederick Arthur Crisp, </w:t>
      </w:r>
      <w:r w:rsidRPr="00992C45">
        <w:rPr>
          <w:lang w:val="en-US"/>
        </w:rPr>
        <w:t>(London, 1908)</w:t>
      </w:r>
      <w:r w:rsidRPr="00992C45">
        <w:t> </w:t>
      </w:r>
    </w:p>
    <w:p w14:paraId="50EA5725" w14:textId="77777777" w:rsidR="00992C45" w:rsidRPr="00992C45" w:rsidRDefault="00992C45" w:rsidP="0028398D">
      <w:pPr>
        <w:spacing w:after="240" w:line="240" w:lineRule="auto"/>
        <w:jc w:val="both"/>
      </w:pPr>
      <w:r w:rsidRPr="00992C45">
        <w:rPr>
          <w:lang w:val="en-US"/>
        </w:rPr>
        <w:t xml:space="preserve">Marshall, </w:t>
      </w:r>
      <w:proofErr w:type="gramStart"/>
      <w:r w:rsidRPr="00992C45">
        <w:rPr>
          <w:lang w:val="en-US"/>
        </w:rPr>
        <w:t>George, ‘</w:t>
      </w:r>
      <w:proofErr w:type="gramEnd"/>
      <w:r w:rsidRPr="00992C45">
        <w:rPr>
          <w:lang w:val="en-US"/>
        </w:rPr>
        <w:t xml:space="preserve">Monumental Inscriptions’, </w:t>
      </w:r>
      <w:r w:rsidRPr="00992C45">
        <w:rPr>
          <w:i/>
          <w:iCs/>
          <w:lang w:val="en-US"/>
        </w:rPr>
        <w:t xml:space="preserve">East Anglian, </w:t>
      </w:r>
      <w:r w:rsidRPr="00992C45">
        <w:rPr>
          <w:lang w:val="en-US"/>
        </w:rPr>
        <w:t>Vol. 3, (1868), pp.320-339</w:t>
      </w:r>
      <w:r w:rsidRPr="00992C45">
        <w:t> </w:t>
      </w:r>
    </w:p>
    <w:p w14:paraId="491DF81D" w14:textId="77777777" w:rsidR="00992C45" w:rsidRPr="00992C45" w:rsidRDefault="00992C45" w:rsidP="0028398D">
      <w:pPr>
        <w:spacing w:after="240" w:line="240" w:lineRule="auto"/>
        <w:jc w:val="both"/>
      </w:pPr>
      <w:r w:rsidRPr="00992C45">
        <w:rPr>
          <w:lang w:val="en-US"/>
        </w:rPr>
        <w:t xml:space="preserve">McKendrick, Neil, John Brewer and John Harold Plumb, </w:t>
      </w:r>
      <w:r w:rsidRPr="00992C45">
        <w:rPr>
          <w:i/>
          <w:iCs/>
          <w:lang w:val="en-US"/>
        </w:rPr>
        <w:t xml:space="preserve">The Birth of a Consumer Society: The Commercialization of Eighteenth-Century England, </w:t>
      </w:r>
      <w:r w:rsidRPr="00992C45">
        <w:rPr>
          <w:lang w:val="en-US"/>
        </w:rPr>
        <w:t>(Bloomington, 1982)</w:t>
      </w:r>
      <w:r w:rsidRPr="00992C45">
        <w:t> </w:t>
      </w:r>
    </w:p>
    <w:p w14:paraId="1DC449ED" w14:textId="77777777" w:rsidR="00992C45" w:rsidRPr="00992C45" w:rsidRDefault="00992C45" w:rsidP="0028398D">
      <w:pPr>
        <w:spacing w:after="240" w:line="240" w:lineRule="auto"/>
        <w:jc w:val="both"/>
      </w:pPr>
      <w:r w:rsidRPr="00992C45">
        <w:rPr>
          <w:lang w:val="en-US"/>
        </w:rPr>
        <w:t xml:space="preserve">McLaren, Angus, </w:t>
      </w:r>
      <w:r w:rsidRPr="00992C45">
        <w:rPr>
          <w:i/>
          <w:iCs/>
          <w:lang w:val="en-US"/>
        </w:rPr>
        <w:t xml:space="preserve">Reproductive Rituals: The Perception of Fertility in England from the Sixteenth Century to the Nineteenth Century, </w:t>
      </w:r>
      <w:r w:rsidRPr="00992C45">
        <w:rPr>
          <w:lang w:val="en-US"/>
        </w:rPr>
        <w:t>(New York, 1984)</w:t>
      </w:r>
      <w:r w:rsidRPr="00992C45">
        <w:t> </w:t>
      </w:r>
    </w:p>
    <w:p w14:paraId="0E54D753" w14:textId="77777777" w:rsidR="00992C45" w:rsidRPr="00992C45" w:rsidRDefault="00992C45" w:rsidP="0028398D">
      <w:pPr>
        <w:spacing w:after="240" w:line="240" w:lineRule="auto"/>
        <w:jc w:val="both"/>
      </w:pPr>
      <w:r w:rsidRPr="00992C45">
        <w:rPr>
          <w:lang w:val="en-US"/>
        </w:rPr>
        <w:t xml:space="preserve">McShane, Angela, ‘Bad habits and female agency: attending to early modern women in the material history of intoxication’, in Merry Weisner Hanks (ed.), </w:t>
      </w:r>
      <w:r w:rsidRPr="00992C45">
        <w:rPr>
          <w:i/>
          <w:iCs/>
          <w:lang w:val="en-US"/>
        </w:rPr>
        <w:t xml:space="preserve">Challenging Women’s Agency and Activism in Early Modernity, </w:t>
      </w:r>
      <w:r w:rsidRPr="00992C45">
        <w:rPr>
          <w:lang w:val="en-US"/>
        </w:rPr>
        <w:t>(Amsterdam, 2020), pp.25-64</w:t>
      </w:r>
      <w:r w:rsidRPr="00992C45">
        <w:t> </w:t>
      </w:r>
    </w:p>
    <w:p w14:paraId="67D556E7" w14:textId="77777777" w:rsidR="00992C45" w:rsidRPr="00992C45" w:rsidRDefault="00992C45" w:rsidP="0028398D">
      <w:pPr>
        <w:spacing w:after="240" w:line="240" w:lineRule="auto"/>
        <w:jc w:val="both"/>
      </w:pPr>
      <w:r w:rsidRPr="00992C45">
        <w:rPr>
          <w:lang w:val="en-US"/>
        </w:rPr>
        <w:t xml:space="preserve">McShane, Angela, ‘Belonging and belongings: identity, emotion and memory stored in a tobacco box’, in Dagmar </w:t>
      </w:r>
      <w:proofErr w:type="spellStart"/>
      <w:r w:rsidRPr="00992C45">
        <w:rPr>
          <w:lang w:val="en-US"/>
        </w:rPr>
        <w:t>Freist</w:t>
      </w:r>
      <w:proofErr w:type="spellEnd"/>
      <w:r w:rsidRPr="00992C45">
        <w:rPr>
          <w:lang w:val="en-US"/>
        </w:rPr>
        <w:t xml:space="preserve">, Sabine </w:t>
      </w:r>
      <w:proofErr w:type="spellStart"/>
      <w:r w:rsidRPr="00992C45">
        <w:rPr>
          <w:lang w:val="en-US"/>
        </w:rPr>
        <w:t>Kyora</w:t>
      </w:r>
      <w:proofErr w:type="spellEnd"/>
      <w:r w:rsidRPr="00992C45">
        <w:rPr>
          <w:lang w:val="en-US"/>
        </w:rPr>
        <w:t xml:space="preserve"> and Melanie Unseld (eds), </w:t>
      </w:r>
      <w:proofErr w:type="spellStart"/>
      <w:r w:rsidRPr="00992C45">
        <w:rPr>
          <w:i/>
          <w:iCs/>
          <w:lang w:val="en-US"/>
        </w:rPr>
        <w:t>Transkulturelle</w:t>
      </w:r>
      <w:proofErr w:type="spellEnd"/>
      <w:r w:rsidRPr="00992C45">
        <w:rPr>
          <w:i/>
          <w:iCs/>
          <w:lang w:val="en-US"/>
        </w:rPr>
        <w:t xml:space="preserve"> </w:t>
      </w:r>
      <w:proofErr w:type="spellStart"/>
      <w:r w:rsidRPr="00992C45">
        <w:rPr>
          <w:i/>
          <w:iCs/>
          <w:lang w:val="en-US"/>
        </w:rPr>
        <w:lastRenderedPageBreak/>
        <w:t>Mehrfachzugehörigkeiten</w:t>
      </w:r>
      <w:proofErr w:type="spellEnd"/>
      <w:r w:rsidRPr="00992C45">
        <w:rPr>
          <w:i/>
          <w:iCs/>
          <w:lang w:val="en-US"/>
        </w:rPr>
        <w:t xml:space="preserve"> </w:t>
      </w:r>
      <w:proofErr w:type="spellStart"/>
      <w:r w:rsidRPr="00992C45">
        <w:rPr>
          <w:i/>
          <w:iCs/>
          <w:lang w:val="en-US"/>
        </w:rPr>
        <w:t>als</w:t>
      </w:r>
      <w:proofErr w:type="spellEnd"/>
      <w:r w:rsidRPr="00992C45">
        <w:rPr>
          <w:i/>
          <w:iCs/>
          <w:lang w:val="en-US"/>
        </w:rPr>
        <w:t xml:space="preserve"> </w:t>
      </w:r>
      <w:proofErr w:type="spellStart"/>
      <w:r w:rsidRPr="00992C45">
        <w:rPr>
          <w:i/>
          <w:iCs/>
          <w:lang w:val="en-US"/>
        </w:rPr>
        <w:t>kulturhistorisches</w:t>
      </w:r>
      <w:proofErr w:type="spellEnd"/>
      <w:r w:rsidRPr="00992C45">
        <w:rPr>
          <w:i/>
          <w:iCs/>
          <w:lang w:val="en-US"/>
        </w:rPr>
        <w:t xml:space="preserve"> </w:t>
      </w:r>
      <w:proofErr w:type="spellStart"/>
      <w:r w:rsidRPr="00992C45">
        <w:rPr>
          <w:i/>
          <w:iCs/>
          <w:lang w:val="en-US"/>
        </w:rPr>
        <w:t>Phänomen</w:t>
      </w:r>
      <w:proofErr w:type="spellEnd"/>
      <w:r w:rsidRPr="00992C45">
        <w:rPr>
          <w:i/>
          <w:iCs/>
          <w:lang w:val="en-US"/>
        </w:rPr>
        <w:t xml:space="preserve">. </w:t>
      </w:r>
      <w:proofErr w:type="spellStart"/>
      <w:r w:rsidRPr="00992C45">
        <w:rPr>
          <w:i/>
          <w:iCs/>
          <w:lang w:val="en-US"/>
        </w:rPr>
        <w:t>Räume</w:t>
      </w:r>
      <w:proofErr w:type="spellEnd"/>
      <w:r w:rsidRPr="00992C45">
        <w:rPr>
          <w:i/>
          <w:iCs/>
          <w:lang w:val="en-US"/>
        </w:rPr>
        <w:t xml:space="preserve"> – </w:t>
      </w:r>
      <w:proofErr w:type="spellStart"/>
      <w:r w:rsidRPr="00992C45">
        <w:rPr>
          <w:i/>
          <w:iCs/>
          <w:lang w:val="en-US"/>
        </w:rPr>
        <w:t>Materialitäten</w:t>
      </w:r>
      <w:proofErr w:type="spellEnd"/>
      <w:r w:rsidRPr="00992C45">
        <w:rPr>
          <w:i/>
          <w:iCs/>
          <w:lang w:val="en-US"/>
        </w:rPr>
        <w:t xml:space="preserve"> – </w:t>
      </w:r>
      <w:proofErr w:type="spellStart"/>
      <w:r w:rsidRPr="00992C45">
        <w:rPr>
          <w:i/>
          <w:iCs/>
          <w:lang w:val="en-US"/>
        </w:rPr>
        <w:t>Erinnerungen</w:t>
      </w:r>
      <w:proofErr w:type="spellEnd"/>
      <w:r w:rsidRPr="00992C45">
        <w:rPr>
          <w:i/>
          <w:iCs/>
          <w:lang w:val="en-US"/>
        </w:rPr>
        <w:t xml:space="preserve">, </w:t>
      </w:r>
      <w:r w:rsidRPr="00992C45">
        <w:rPr>
          <w:lang w:val="en-US"/>
        </w:rPr>
        <w:t>(Bielefeld, 2019), pp.59-82</w:t>
      </w:r>
      <w:r w:rsidRPr="00992C45">
        <w:t> </w:t>
      </w:r>
    </w:p>
    <w:p w14:paraId="7E73CE41" w14:textId="77777777" w:rsidR="00992C45" w:rsidRPr="00992C45" w:rsidRDefault="00992C45" w:rsidP="0028398D">
      <w:pPr>
        <w:spacing w:after="240" w:line="240" w:lineRule="auto"/>
        <w:jc w:val="both"/>
      </w:pPr>
      <w:r w:rsidRPr="00992C45">
        <w:rPr>
          <w:lang w:val="en-US"/>
        </w:rPr>
        <w:t xml:space="preserve">McShane, Angela, ‘Subjects and objects: material expressions of love and loyalty in seventeenth-century England’, </w:t>
      </w:r>
      <w:r w:rsidRPr="00992C45">
        <w:rPr>
          <w:i/>
          <w:iCs/>
          <w:lang w:val="en-US"/>
        </w:rPr>
        <w:t xml:space="preserve">Journal of British Studies, </w:t>
      </w:r>
      <w:r w:rsidRPr="00992C45">
        <w:rPr>
          <w:lang w:val="en-US"/>
        </w:rPr>
        <w:t>Vol. 48, (2009), pp.871-886</w:t>
      </w:r>
      <w:r w:rsidRPr="00992C45">
        <w:t> </w:t>
      </w:r>
    </w:p>
    <w:p w14:paraId="3BBC9ADC" w14:textId="77777777" w:rsidR="00992C45" w:rsidRPr="00992C45" w:rsidRDefault="00992C45" w:rsidP="0028398D">
      <w:pPr>
        <w:spacing w:after="240" w:line="240" w:lineRule="auto"/>
        <w:jc w:val="both"/>
      </w:pPr>
      <w:r w:rsidRPr="00992C45">
        <w:rPr>
          <w:lang w:val="en-US"/>
        </w:rPr>
        <w:t xml:space="preserve">McShane, </w:t>
      </w:r>
      <w:proofErr w:type="gramStart"/>
      <w:r w:rsidRPr="00992C45">
        <w:rPr>
          <w:lang w:val="en-US"/>
        </w:rPr>
        <w:t>Angela, ‘</w:t>
      </w:r>
      <w:proofErr w:type="gramEnd"/>
      <w:r w:rsidRPr="00992C45">
        <w:rPr>
          <w:lang w:val="en-US"/>
        </w:rPr>
        <w:t xml:space="preserve">Tobacco-taking and identity-making in early modern Britain and North America’, </w:t>
      </w:r>
      <w:r w:rsidRPr="00992C45">
        <w:rPr>
          <w:i/>
          <w:iCs/>
          <w:lang w:val="en-US"/>
        </w:rPr>
        <w:t xml:space="preserve">The Historical Journal, </w:t>
      </w:r>
      <w:r w:rsidRPr="00992C45">
        <w:rPr>
          <w:lang w:val="en-US"/>
        </w:rPr>
        <w:t>Vol. 65, (2022), pp.108-129</w:t>
      </w:r>
      <w:r w:rsidRPr="00992C45">
        <w:t> </w:t>
      </w:r>
    </w:p>
    <w:p w14:paraId="4D8DBE84" w14:textId="77777777" w:rsidR="00992C45" w:rsidRPr="00992C45" w:rsidRDefault="00992C45" w:rsidP="0028398D">
      <w:pPr>
        <w:spacing w:after="240" w:line="240" w:lineRule="auto"/>
        <w:jc w:val="both"/>
      </w:pPr>
      <w:r w:rsidRPr="00992C45">
        <w:rPr>
          <w:lang w:val="en-US"/>
        </w:rPr>
        <w:t xml:space="preserve">Mendelson, Sara and Patricia Crawford, </w:t>
      </w:r>
      <w:r w:rsidRPr="00992C45">
        <w:rPr>
          <w:i/>
          <w:iCs/>
          <w:lang w:val="en-US"/>
        </w:rPr>
        <w:t xml:space="preserve">Women in Early Modern England, 1550-1720, </w:t>
      </w:r>
      <w:r w:rsidRPr="00992C45">
        <w:rPr>
          <w:lang w:val="en-US"/>
        </w:rPr>
        <w:t>(Oxford,</w:t>
      </w:r>
      <w:r w:rsidRPr="00992C45">
        <w:rPr>
          <w:i/>
          <w:iCs/>
          <w:lang w:val="en-US"/>
        </w:rPr>
        <w:t xml:space="preserve"> </w:t>
      </w:r>
      <w:r w:rsidRPr="00992C45">
        <w:rPr>
          <w:lang w:val="en-US"/>
        </w:rPr>
        <w:t>1998)</w:t>
      </w:r>
      <w:r w:rsidRPr="00992C45">
        <w:t> </w:t>
      </w:r>
    </w:p>
    <w:p w14:paraId="51D2AA90" w14:textId="77777777" w:rsidR="00992C45" w:rsidRPr="00992C45" w:rsidRDefault="00992C45" w:rsidP="0028398D">
      <w:pPr>
        <w:spacing w:after="240" w:line="240" w:lineRule="auto"/>
        <w:jc w:val="both"/>
      </w:pPr>
      <w:r w:rsidRPr="00992C45">
        <w:rPr>
          <w:lang w:val="en-US"/>
        </w:rPr>
        <w:t xml:space="preserve">Middlemass, Cara </w:t>
      </w:r>
      <w:proofErr w:type="gramStart"/>
      <w:r w:rsidRPr="00992C45">
        <w:rPr>
          <w:lang w:val="en-US"/>
        </w:rPr>
        <w:t>Sian, ‘</w:t>
      </w:r>
      <w:proofErr w:type="gramEnd"/>
      <w:r w:rsidRPr="00992C45">
        <w:rPr>
          <w:lang w:val="en-US"/>
        </w:rPr>
        <w:t>Mourning jewellery in England, c.1500-1800’, (Newcastle University, 2018; unpublished PhD thesis)</w:t>
      </w:r>
      <w:r w:rsidRPr="00992C45">
        <w:t> </w:t>
      </w:r>
    </w:p>
    <w:p w14:paraId="19E643A3" w14:textId="77777777" w:rsidR="00992C45" w:rsidRPr="00992C45" w:rsidRDefault="00992C45" w:rsidP="0028398D">
      <w:pPr>
        <w:spacing w:after="240" w:line="240" w:lineRule="auto"/>
        <w:jc w:val="both"/>
      </w:pPr>
      <w:r w:rsidRPr="00992C45">
        <w:rPr>
          <w:lang w:val="en-US"/>
        </w:rPr>
        <w:t xml:space="preserve">Millmore, </w:t>
      </w:r>
      <w:proofErr w:type="gramStart"/>
      <w:r w:rsidRPr="00992C45">
        <w:rPr>
          <w:lang w:val="en-US"/>
        </w:rPr>
        <w:t>Bridget, ‘</w:t>
      </w:r>
      <w:proofErr w:type="gramEnd"/>
      <w:r w:rsidRPr="00992C45">
        <w:rPr>
          <w:lang w:val="en-US"/>
        </w:rPr>
        <w:t>Love tokens: engraved coins, emotions and the poor 1700-1856’, (University of Brighton, 2015; unpublished PhD thesis)</w:t>
      </w:r>
      <w:r w:rsidRPr="00992C45">
        <w:t> </w:t>
      </w:r>
    </w:p>
    <w:p w14:paraId="31BD7837" w14:textId="77777777" w:rsidR="00992C45" w:rsidRPr="00992C45" w:rsidRDefault="00992C45" w:rsidP="0028398D">
      <w:pPr>
        <w:spacing w:after="240" w:line="240" w:lineRule="auto"/>
        <w:jc w:val="both"/>
      </w:pPr>
      <w:r w:rsidRPr="00992C45">
        <w:rPr>
          <w:lang w:val="en-US"/>
        </w:rPr>
        <w:t xml:space="preserve">Minett, Claudia, ‘Patterns of bequest among the ‘middling sort’ in the parish of </w:t>
      </w:r>
      <w:proofErr w:type="spellStart"/>
      <w:r w:rsidRPr="00992C45">
        <w:rPr>
          <w:lang w:val="en-US"/>
        </w:rPr>
        <w:t>Giggleswick</w:t>
      </w:r>
      <w:proofErr w:type="spellEnd"/>
      <w:r w:rsidRPr="00992C45">
        <w:rPr>
          <w:lang w:val="en-US"/>
        </w:rPr>
        <w:t xml:space="preserve">: 1600-1750’, </w:t>
      </w:r>
      <w:r w:rsidRPr="00992C45">
        <w:rPr>
          <w:i/>
          <w:iCs/>
          <w:lang w:val="en-US"/>
        </w:rPr>
        <w:t xml:space="preserve">North Craven Heritage Trust Journal, </w:t>
      </w:r>
      <w:r w:rsidRPr="00992C45">
        <w:rPr>
          <w:lang w:val="en-US"/>
        </w:rPr>
        <w:t>(2017), pp.12-17</w:t>
      </w:r>
      <w:r w:rsidRPr="00992C45">
        <w:t> </w:t>
      </w:r>
    </w:p>
    <w:p w14:paraId="4CB9B211" w14:textId="77777777" w:rsidR="00992C45" w:rsidRPr="00992C45" w:rsidRDefault="00992C45" w:rsidP="0028398D">
      <w:pPr>
        <w:spacing w:after="240" w:line="240" w:lineRule="auto"/>
        <w:jc w:val="both"/>
      </w:pPr>
      <w:r w:rsidRPr="00992C45">
        <w:rPr>
          <w:lang w:val="en-US"/>
        </w:rPr>
        <w:t xml:space="preserve">Mitchiner, Michael and Anne Skinner, ‘English tokens, c.1425-1672’, </w:t>
      </w:r>
      <w:r w:rsidRPr="00992C45">
        <w:rPr>
          <w:i/>
          <w:iCs/>
          <w:lang w:val="en-US"/>
        </w:rPr>
        <w:t xml:space="preserve">British Numismatic Journal, </w:t>
      </w:r>
      <w:r w:rsidRPr="00992C45">
        <w:rPr>
          <w:lang w:val="en-US"/>
        </w:rPr>
        <w:t>Vol. 54, No. 11, (1984), pp.86-153</w:t>
      </w:r>
      <w:r w:rsidRPr="00992C45">
        <w:t> </w:t>
      </w:r>
    </w:p>
    <w:p w14:paraId="0AF11916" w14:textId="77777777" w:rsidR="00992C45" w:rsidRPr="00992C45" w:rsidRDefault="00992C45" w:rsidP="0028398D">
      <w:pPr>
        <w:spacing w:after="240" w:line="240" w:lineRule="auto"/>
        <w:jc w:val="both"/>
      </w:pPr>
      <w:r w:rsidRPr="00992C45">
        <w:rPr>
          <w:lang w:val="fr-FR"/>
        </w:rPr>
        <w:t>Moore, J. S., ‘</w:t>
      </w:r>
      <w:proofErr w:type="spellStart"/>
      <w:r w:rsidRPr="00992C45">
        <w:rPr>
          <w:lang w:val="fr-FR"/>
        </w:rPr>
        <w:t>Probate</w:t>
      </w:r>
      <w:proofErr w:type="spellEnd"/>
      <w:r w:rsidRPr="00992C45">
        <w:rPr>
          <w:lang w:val="fr-FR"/>
        </w:rPr>
        <w:t xml:space="preserve"> </w:t>
      </w:r>
      <w:proofErr w:type="gramStart"/>
      <w:r w:rsidRPr="00992C45">
        <w:rPr>
          <w:lang w:val="fr-FR"/>
        </w:rPr>
        <w:t>inventories:</w:t>
      </w:r>
      <w:proofErr w:type="gramEnd"/>
      <w:r w:rsidRPr="00992C45">
        <w:rPr>
          <w:lang w:val="fr-FR"/>
        </w:rPr>
        <w:t xml:space="preserve"> </w:t>
      </w:r>
      <w:proofErr w:type="spellStart"/>
      <w:r w:rsidRPr="00992C45">
        <w:rPr>
          <w:lang w:val="fr-FR"/>
        </w:rPr>
        <w:t>problems</w:t>
      </w:r>
      <w:proofErr w:type="spellEnd"/>
      <w:r w:rsidRPr="00992C45">
        <w:rPr>
          <w:lang w:val="fr-FR"/>
        </w:rPr>
        <w:t xml:space="preserve"> and prospects’, in Philip </w:t>
      </w:r>
      <w:proofErr w:type="spellStart"/>
      <w:r w:rsidRPr="00992C45">
        <w:rPr>
          <w:lang w:val="fr-FR"/>
        </w:rPr>
        <w:t>Riden</w:t>
      </w:r>
      <w:proofErr w:type="spellEnd"/>
      <w:r w:rsidRPr="00992C45">
        <w:rPr>
          <w:lang w:val="fr-FR"/>
        </w:rPr>
        <w:t xml:space="preserve"> (</w:t>
      </w:r>
      <w:proofErr w:type="spellStart"/>
      <w:r w:rsidRPr="00992C45">
        <w:rPr>
          <w:lang w:val="fr-FR"/>
        </w:rPr>
        <w:t>ed</w:t>
      </w:r>
      <w:proofErr w:type="spellEnd"/>
      <w:r w:rsidRPr="00992C45">
        <w:rPr>
          <w:lang w:val="fr-FR"/>
        </w:rPr>
        <w:t xml:space="preserve">.), </w:t>
      </w:r>
      <w:proofErr w:type="spellStart"/>
      <w:r w:rsidRPr="00992C45">
        <w:rPr>
          <w:i/>
          <w:iCs/>
          <w:lang w:val="fr-FR"/>
        </w:rPr>
        <w:t>Probate</w:t>
      </w:r>
      <w:proofErr w:type="spellEnd"/>
      <w:r w:rsidRPr="00992C45">
        <w:rPr>
          <w:i/>
          <w:iCs/>
          <w:lang w:val="fr-FR"/>
        </w:rPr>
        <w:t xml:space="preserve"> Records and the Local Community, </w:t>
      </w:r>
      <w:r w:rsidRPr="00992C45">
        <w:rPr>
          <w:lang w:val="fr-FR"/>
        </w:rPr>
        <w:t>(Gloucester, 1985), pp.11-28</w:t>
      </w:r>
      <w:r w:rsidRPr="00992C45">
        <w:t> </w:t>
      </w:r>
    </w:p>
    <w:p w14:paraId="5E5C0B7A" w14:textId="77777777" w:rsidR="00992C45" w:rsidRPr="00992C45" w:rsidRDefault="00992C45" w:rsidP="0028398D">
      <w:pPr>
        <w:spacing w:after="240" w:line="240" w:lineRule="auto"/>
        <w:jc w:val="both"/>
      </w:pPr>
      <w:proofErr w:type="spellStart"/>
      <w:r w:rsidRPr="00992C45">
        <w:rPr>
          <w:lang w:val="en-US"/>
        </w:rPr>
        <w:t>Mouffe</w:t>
      </w:r>
      <w:proofErr w:type="spellEnd"/>
      <w:r w:rsidRPr="00992C45">
        <w:rPr>
          <w:lang w:val="en-US"/>
        </w:rPr>
        <w:t xml:space="preserve">, Chantal, ‘Feminism, citizenship, and radical democratic politics’, in Judith Butler and Joan Scott (eds), </w:t>
      </w:r>
      <w:r w:rsidRPr="00992C45">
        <w:rPr>
          <w:i/>
          <w:iCs/>
          <w:lang w:val="en-US"/>
        </w:rPr>
        <w:t xml:space="preserve">Feminists Theorize the Political, </w:t>
      </w:r>
      <w:r w:rsidRPr="00992C45">
        <w:rPr>
          <w:lang w:val="en-US"/>
        </w:rPr>
        <w:t>(London, 1992), pp.369-384</w:t>
      </w:r>
      <w:r w:rsidRPr="00992C45">
        <w:t> </w:t>
      </w:r>
    </w:p>
    <w:p w14:paraId="0C3120CA" w14:textId="77777777" w:rsidR="00992C45" w:rsidRPr="00992C45" w:rsidRDefault="00992C45" w:rsidP="0028398D">
      <w:pPr>
        <w:spacing w:after="240" w:line="240" w:lineRule="auto"/>
        <w:jc w:val="both"/>
      </w:pPr>
      <w:r w:rsidRPr="00992C45">
        <w:rPr>
          <w:lang w:val="fr-FR"/>
        </w:rPr>
        <w:t>Muir</w:t>
      </w:r>
      <w:r w:rsidRPr="00992C45">
        <w:rPr>
          <w:i/>
          <w:iCs/>
          <w:lang w:val="fr-FR"/>
        </w:rPr>
        <w:t>,</w:t>
      </w:r>
      <w:r w:rsidRPr="00992C45">
        <w:rPr>
          <w:lang w:val="fr-FR"/>
        </w:rPr>
        <w:t xml:space="preserve"> Edward,</w:t>
      </w:r>
      <w:r w:rsidRPr="00992C45">
        <w:rPr>
          <w:i/>
          <w:iCs/>
          <w:lang w:val="fr-FR"/>
        </w:rPr>
        <w:t xml:space="preserve"> </w:t>
      </w:r>
      <w:proofErr w:type="spellStart"/>
      <w:r w:rsidRPr="00992C45">
        <w:rPr>
          <w:i/>
          <w:iCs/>
          <w:lang w:val="fr-FR"/>
        </w:rPr>
        <w:t>Ritual</w:t>
      </w:r>
      <w:proofErr w:type="spellEnd"/>
      <w:r w:rsidRPr="00992C45">
        <w:rPr>
          <w:i/>
          <w:iCs/>
          <w:lang w:val="fr-FR"/>
        </w:rPr>
        <w:t xml:space="preserve"> in </w:t>
      </w:r>
      <w:proofErr w:type="spellStart"/>
      <w:r w:rsidRPr="00992C45">
        <w:rPr>
          <w:i/>
          <w:iCs/>
          <w:lang w:val="fr-FR"/>
        </w:rPr>
        <w:t>Early</w:t>
      </w:r>
      <w:proofErr w:type="spellEnd"/>
      <w:r w:rsidRPr="00992C45">
        <w:rPr>
          <w:i/>
          <w:iCs/>
          <w:lang w:val="fr-FR"/>
        </w:rPr>
        <w:t xml:space="preserve"> Modern Europe</w:t>
      </w:r>
      <w:r w:rsidRPr="00992C45">
        <w:rPr>
          <w:lang w:val="fr-FR"/>
        </w:rPr>
        <w:t>, (Cambridge, 2005)</w:t>
      </w:r>
      <w:r w:rsidRPr="00992C45">
        <w:t> </w:t>
      </w:r>
    </w:p>
    <w:p w14:paraId="53C39436" w14:textId="77777777" w:rsidR="00992C45" w:rsidRPr="00992C45" w:rsidRDefault="00992C45" w:rsidP="0028398D">
      <w:pPr>
        <w:spacing w:after="240" w:line="240" w:lineRule="auto"/>
        <w:jc w:val="both"/>
      </w:pPr>
      <w:proofErr w:type="spellStart"/>
      <w:r w:rsidRPr="00992C45">
        <w:rPr>
          <w:lang w:val="fr-FR"/>
        </w:rPr>
        <w:t>Muldrew</w:t>
      </w:r>
      <w:proofErr w:type="spellEnd"/>
      <w:r w:rsidRPr="00992C45">
        <w:rPr>
          <w:lang w:val="fr-FR"/>
        </w:rPr>
        <w:t>, Craig, ‘‘</w:t>
      </w:r>
      <w:proofErr w:type="spellStart"/>
      <w:r w:rsidRPr="00992C45">
        <w:rPr>
          <w:lang w:val="fr-FR"/>
        </w:rPr>
        <w:t>Th’ancient</w:t>
      </w:r>
      <w:proofErr w:type="spellEnd"/>
      <w:r w:rsidRPr="00992C45">
        <w:rPr>
          <w:lang w:val="fr-FR"/>
        </w:rPr>
        <w:t xml:space="preserve"> </w:t>
      </w:r>
      <w:proofErr w:type="spellStart"/>
      <w:r w:rsidRPr="00992C45">
        <w:rPr>
          <w:lang w:val="fr-FR"/>
        </w:rPr>
        <w:t>Distaff</w:t>
      </w:r>
      <w:proofErr w:type="spellEnd"/>
      <w:r w:rsidRPr="00992C45">
        <w:rPr>
          <w:lang w:val="fr-FR"/>
        </w:rPr>
        <w:t>’ and ‘</w:t>
      </w:r>
      <w:proofErr w:type="spellStart"/>
      <w:r w:rsidRPr="00992C45">
        <w:rPr>
          <w:lang w:val="fr-FR"/>
        </w:rPr>
        <w:t>Whirling</w:t>
      </w:r>
      <w:proofErr w:type="spellEnd"/>
      <w:r w:rsidRPr="00992C45">
        <w:rPr>
          <w:lang w:val="fr-FR"/>
        </w:rPr>
        <w:t xml:space="preserve"> </w:t>
      </w:r>
      <w:proofErr w:type="spellStart"/>
      <w:r w:rsidRPr="00992C45">
        <w:rPr>
          <w:lang w:val="fr-FR"/>
        </w:rPr>
        <w:t>Spindle</w:t>
      </w:r>
      <w:proofErr w:type="spellEnd"/>
      <w:proofErr w:type="gramStart"/>
      <w:r w:rsidRPr="00992C45">
        <w:rPr>
          <w:lang w:val="fr-FR"/>
        </w:rPr>
        <w:t>’:</w:t>
      </w:r>
      <w:proofErr w:type="gramEnd"/>
      <w:r w:rsidRPr="00992C45">
        <w:rPr>
          <w:lang w:val="fr-FR"/>
        </w:rPr>
        <w:t xml:space="preserve"> </w:t>
      </w:r>
      <w:proofErr w:type="spellStart"/>
      <w:r w:rsidRPr="00992C45">
        <w:rPr>
          <w:lang w:val="fr-FR"/>
        </w:rPr>
        <w:t>measuring</w:t>
      </w:r>
      <w:proofErr w:type="spellEnd"/>
      <w:r w:rsidRPr="00992C45">
        <w:rPr>
          <w:lang w:val="fr-FR"/>
        </w:rPr>
        <w:t xml:space="preserve"> the contribution of </w:t>
      </w:r>
      <w:proofErr w:type="spellStart"/>
      <w:r w:rsidRPr="00992C45">
        <w:rPr>
          <w:lang w:val="fr-FR"/>
        </w:rPr>
        <w:t>spinning</w:t>
      </w:r>
      <w:proofErr w:type="spellEnd"/>
      <w:r w:rsidRPr="00992C45">
        <w:rPr>
          <w:lang w:val="fr-FR"/>
        </w:rPr>
        <w:t xml:space="preserve"> to </w:t>
      </w:r>
      <w:proofErr w:type="spellStart"/>
      <w:r w:rsidRPr="00992C45">
        <w:rPr>
          <w:lang w:val="fr-FR"/>
        </w:rPr>
        <w:t>household</w:t>
      </w:r>
      <w:proofErr w:type="spellEnd"/>
      <w:r w:rsidRPr="00992C45">
        <w:rPr>
          <w:lang w:val="fr-FR"/>
        </w:rPr>
        <w:t xml:space="preserve"> </w:t>
      </w:r>
      <w:proofErr w:type="spellStart"/>
      <w:r w:rsidRPr="00992C45">
        <w:rPr>
          <w:lang w:val="fr-FR"/>
        </w:rPr>
        <w:t>earnings</w:t>
      </w:r>
      <w:proofErr w:type="spellEnd"/>
      <w:r w:rsidRPr="00992C45">
        <w:rPr>
          <w:lang w:val="fr-FR"/>
        </w:rPr>
        <w:t xml:space="preserve"> and the national </w:t>
      </w:r>
      <w:proofErr w:type="spellStart"/>
      <w:r w:rsidRPr="00992C45">
        <w:rPr>
          <w:lang w:val="fr-FR"/>
        </w:rPr>
        <w:t>economy</w:t>
      </w:r>
      <w:proofErr w:type="spellEnd"/>
      <w:r w:rsidRPr="00992C45">
        <w:rPr>
          <w:lang w:val="fr-FR"/>
        </w:rPr>
        <w:t xml:space="preserve"> in </w:t>
      </w:r>
      <w:proofErr w:type="spellStart"/>
      <w:r w:rsidRPr="00992C45">
        <w:rPr>
          <w:lang w:val="fr-FR"/>
        </w:rPr>
        <w:t>England</w:t>
      </w:r>
      <w:proofErr w:type="spellEnd"/>
      <w:r w:rsidRPr="00992C45">
        <w:rPr>
          <w:lang w:val="fr-FR"/>
        </w:rPr>
        <w:t xml:space="preserve">, 1550-1770', </w:t>
      </w:r>
      <w:proofErr w:type="spellStart"/>
      <w:r w:rsidRPr="00992C45">
        <w:rPr>
          <w:i/>
          <w:iCs/>
          <w:lang w:val="fr-FR"/>
        </w:rPr>
        <w:t>Economic</w:t>
      </w:r>
      <w:proofErr w:type="spellEnd"/>
      <w:r w:rsidRPr="00992C45">
        <w:rPr>
          <w:i/>
          <w:iCs/>
          <w:lang w:val="fr-FR"/>
        </w:rPr>
        <w:t xml:space="preserve"> </w:t>
      </w:r>
      <w:proofErr w:type="spellStart"/>
      <w:r w:rsidRPr="00992C45">
        <w:rPr>
          <w:i/>
          <w:iCs/>
          <w:lang w:val="fr-FR"/>
        </w:rPr>
        <w:t>History</w:t>
      </w:r>
      <w:proofErr w:type="spellEnd"/>
      <w:r w:rsidRPr="00992C45">
        <w:rPr>
          <w:i/>
          <w:iCs/>
          <w:lang w:val="fr-FR"/>
        </w:rPr>
        <w:t xml:space="preserve"> </w:t>
      </w:r>
      <w:proofErr w:type="spellStart"/>
      <w:r w:rsidRPr="00992C45">
        <w:rPr>
          <w:i/>
          <w:iCs/>
          <w:lang w:val="fr-FR"/>
        </w:rPr>
        <w:t>Review</w:t>
      </w:r>
      <w:proofErr w:type="spellEnd"/>
      <w:r w:rsidRPr="00992C45">
        <w:rPr>
          <w:i/>
          <w:iCs/>
          <w:lang w:val="fr-FR"/>
        </w:rPr>
        <w:t xml:space="preserve">, </w:t>
      </w:r>
      <w:r w:rsidRPr="00992C45">
        <w:rPr>
          <w:lang w:val="fr-FR"/>
        </w:rPr>
        <w:t>Vol. 65, No. 2, (2012), pp.498-526</w:t>
      </w:r>
      <w:r w:rsidRPr="00992C45">
        <w:t> </w:t>
      </w:r>
    </w:p>
    <w:p w14:paraId="1119C99D" w14:textId="77777777" w:rsidR="00992C45" w:rsidRPr="00992C45" w:rsidRDefault="00992C45" w:rsidP="0028398D">
      <w:pPr>
        <w:spacing w:after="240" w:line="240" w:lineRule="auto"/>
        <w:jc w:val="both"/>
      </w:pPr>
      <w:proofErr w:type="spellStart"/>
      <w:r w:rsidRPr="00992C45">
        <w:rPr>
          <w:lang w:val="fr-FR"/>
        </w:rPr>
        <w:t>Muldrew</w:t>
      </w:r>
      <w:proofErr w:type="spellEnd"/>
      <w:r w:rsidRPr="00992C45">
        <w:rPr>
          <w:lang w:val="fr-FR"/>
        </w:rPr>
        <w:t>, Craig,</w:t>
      </w:r>
      <w:r w:rsidRPr="00992C45">
        <w:rPr>
          <w:i/>
          <w:iCs/>
          <w:lang w:val="fr-FR"/>
        </w:rPr>
        <w:t xml:space="preserve"> The Economy of </w:t>
      </w:r>
      <w:proofErr w:type="gramStart"/>
      <w:r w:rsidRPr="00992C45">
        <w:rPr>
          <w:i/>
          <w:iCs/>
          <w:lang w:val="fr-FR"/>
        </w:rPr>
        <w:t>Obligation:</w:t>
      </w:r>
      <w:proofErr w:type="gramEnd"/>
      <w:r w:rsidRPr="00992C45">
        <w:rPr>
          <w:i/>
          <w:iCs/>
          <w:lang w:val="fr-FR"/>
        </w:rPr>
        <w:t xml:space="preserve"> The Culture of </w:t>
      </w:r>
      <w:proofErr w:type="spellStart"/>
      <w:r w:rsidRPr="00992C45">
        <w:rPr>
          <w:i/>
          <w:iCs/>
          <w:lang w:val="fr-FR"/>
        </w:rPr>
        <w:t>Credit</w:t>
      </w:r>
      <w:proofErr w:type="spellEnd"/>
      <w:r w:rsidRPr="00992C45">
        <w:rPr>
          <w:i/>
          <w:iCs/>
          <w:lang w:val="fr-FR"/>
        </w:rPr>
        <w:t xml:space="preserve"> and Social Relations in </w:t>
      </w:r>
      <w:proofErr w:type="spellStart"/>
      <w:r w:rsidRPr="00992C45">
        <w:rPr>
          <w:i/>
          <w:iCs/>
          <w:lang w:val="fr-FR"/>
        </w:rPr>
        <w:t>Early</w:t>
      </w:r>
      <w:proofErr w:type="spellEnd"/>
      <w:r w:rsidRPr="00992C45">
        <w:rPr>
          <w:i/>
          <w:iCs/>
          <w:lang w:val="fr-FR"/>
        </w:rPr>
        <w:t xml:space="preserve"> Modern </w:t>
      </w:r>
      <w:proofErr w:type="spellStart"/>
      <w:r w:rsidRPr="00992C45">
        <w:rPr>
          <w:i/>
          <w:iCs/>
          <w:lang w:val="fr-FR"/>
        </w:rPr>
        <w:t>England</w:t>
      </w:r>
      <w:proofErr w:type="spellEnd"/>
      <w:r w:rsidRPr="00992C45">
        <w:rPr>
          <w:lang w:val="fr-FR"/>
        </w:rPr>
        <w:t>, (Basingstoke, 1998)</w:t>
      </w:r>
      <w:r w:rsidRPr="00992C45">
        <w:t> </w:t>
      </w:r>
    </w:p>
    <w:p w14:paraId="25585864" w14:textId="77777777" w:rsidR="00992C45" w:rsidRPr="00992C45" w:rsidRDefault="00992C45" w:rsidP="0028398D">
      <w:pPr>
        <w:spacing w:after="240" w:line="240" w:lineRule="auto"/>
        <w:jc w:val="both"/>
      </w:pPr>
      <w:r w:rsidRPr="00992C45">
        <w:rPr>
          <w:lang w:val="en-US"/>
        </w:rPr>
        <w:t xml:space="preserve">Mytum, </w:t>
      </w:r>
      <w:proofErr w:type="gramStart"/>
      <w:r w:rsidRPr="00992C45">
        <w:rPr>
          <w:lang w:val="en-US"/>
        </w:rPr>
        <w:t>Harold, ‘</w:t>
      </w:r>
      <w:proofErr w:type="gramEnd"/>
      <w:r w:rsidRPr="00992C45">
        <w:rPr>
          <w:lang w:val="en-US"/>
        </w:rPr>
        <w:t xml:space="preserve">Materiality and memory: an archaeological perspective on the popular adoption of linear time in Britain’, </w:t>
      </w:r>
      <w:r w:rsidRPr="00992C45">
        <w:rPr>
          <w:i/>
          <w:iCs/>
          <w:lang w:val="en-US"/>
        </w:rPr>
        <w:t xml:space="preserve">Antiquity, </w:t>
      </w:r>
      <w:r w:rsidRPr="00992C45">
        <w:rPr>
          <w:lang w:val="en-US"/>
        </w:rPr>
        <w:t>Vol. 81, No. 312, (2007), pp.381-396</w:t>
      </w:r>
      <w:r w:rsidRPr="00992C45">
        <w:t> </w:t>
      </w:r>
    </w:p>
    <w:p w14:paraId="4943AB53" w14:textId="77777777" w:rsidR="00992C45" w:rsidRPr="00992C45" w:rsidRDefault="00992C45" w:rsidP="0028398D">
      <w:pPr>
        <w:spacing w:after="240" w:line="240" w:lineRule="auto"/>
        <w:jc w:val="both"/>
      </w:pPr>
      <w:proofErr w:type="spellStart"/>
      <w:r w:rsidRPr="00992C45">
        <w:rPr>
          <w:lang w:val="en-US"/>
        </w:rPr>
        <w:t>Newstok</w:t>
      </w:r>
      <w:proofErr w:type="spellEnd"/>
      <w:r w:rsidRPr="00992C45">
        <w:rPr>
          <w:lang w:val="en-US"/>
        </w:rPr>
        <w:t xml:space="preserve">, Scott L., </w:t>
      </w:r>
      <w:r w:rsidRPr="00992C45">
        <w:rPr>
          <w:i/>
          <w:iCs/>
          <w:lang w:val="en-US"/>
        </w:rPr>
        <w:t xml:space="preserve">Quoting Death in Early Modern England: The Poetics of Epitaphs Beyond the Tomb, </w:t>
      </w:r>
      <w:r w:rsidRPr="00992C45">
        <w:rPr>
          <w:lang w:val="en-US"/>
        </w:rPr>
        <w:t>(London, 2009)</w:t>
      </w:r>
      <w:r w:rsidRPr="00992C45">
        <w:t> </w:t>
      </w:r>
    </w:p>
    <w:p w14:paraId="4410756E" w14:textId="77777777" w:rsidR="00992C45" w:rsidRPr="00992C45" w:rsidRDefault="00992C45" w:rsidP="0028398D">
      <w:pPr>
        <w:spacing w:after="240" w:line="240" w:lineRule="auto"/>
        <w:jc w:val="both"/>
      </w:pPr>
      <w:r w:rsidRPr="00992C45">
        <w:rPr>
          <w:lang w:val="en-US"/>
        </w:rPr>
        <w:t xml:space="preserve">Newton, </w:t>
      </w:r>
      <w:proofErr w:type="gramStart"/>
      <w:r w:rsidRPr="00992C45">
        <w:rPr>
          <w:lang w:val="en-US"/>
        </w:rPr>
        <w:t>Gill, ‘</w:t>
      </w:r>
      <w:proofErr w:type="gramEnd"/>
      <w:r w:rsidRPr="00992C45">
        <w:rPr>
          <w:lang w:val="en-US"/>
        </w:rPr>
        <w:t xml:space="preserve">Clandestine marriage in early modern London: when, where and why?’, </w:t>
      </w:r>
      <w:r w:rsidRPr="00992C45">
        <w:rPr>
          <w:i/>
          <w:iCs/>
          <w:lang w:val="en-US"/>
        </w:rPr>
        <w:t xml:space="preserve">Continuity and Change, </w:t>
      </w:r>
      <w:r w:rsidRPr="00992C45">
        <w:rPr>
          <w:lang w:val="en-US"/>
        </w:rPr>
        <w:t>Vol. 29, No. 2, (2014), pp.151-180</w:t>
      </w:r>
      <w:r w:rsidRPr="00992C45">
        <w:t> </w:t>
      </w:r>
    </w:p>
    <w:p w14:paraId="4675D47A" w14:textId="77777777" w:rsidR="00992C45" w:rsidRPr="00992C45" w:rsidRDefault="00992C45" w:rsidP="0028398D">
      <w:pPr>
        <w:spacing w:after="240" w:line="240" w:lineRule="auto"/>
        <w:jc w:val="both"/>
      </w:pPr>
      <w:r w:rsidRPr="00992C45">
        <w:rPr>
          <w:lang w:val="en-US"/>
        </w:rPr>
        <w:t xml:space="preserve">Nicolini, Davide, </w:t>
      </w:r>
      <w:r w:rsidRPr="00992C45">
        <w:rPr>
          <w:i/>
          <w:iCs/>
          <w:lang w:val="en-US"/>
        </w:rPr>
        <w:t xml:space="preserve">Practice Theory, Work, and Organization: An Introduction, </w:t>
      </w:r>
      <w:r w:rsidRPr="00992C45">
        <w:rPr>
          <w:lang w:val="en-US"/>
        </w:rPr>
        <w:t>(Oxford, 2012)</w:t>
      </w:r>
      <w:r w:rsidRPr="00992C45">
        <w:t> </w:t>
      </w:r>
    </w:p>
    <w:p w14:paraId="31652C28" w14:textId="77777777" w:rsidR="00992C45" w:rsidRPr="00992C45" w:rsidRDefault="00992C45" w:rsidP="0028398D">
      <w:pPr>
        <w:spacing w:after="240" w:line="240" w:lineRule="auto"/>
        <w:jc w:val="both"/>
      </w:pPr>
      <w:r w:rsidRPr="00992C45">
        <w:rPr>
          <w:lang w:val="fr-FR"/>
        </w:rPr>
        <w:lastRenderedPageBreak/>
        <w:t>O’Brien, Karen, ‘</w:t>
      </w:r>
      <w:proofErr w:type="spellStart"/>
      <w:r w:rsidRPr="00992C45">
        <w:rPr>
          <w:lang w:val="fr-FR"/>
        </w:rPr>
        <w:t>Companions</w:t>
      </w:r>
      <w:proofErr w:type="spellEnd"/>
      <w:r w:rsidRPr="00992C45">
        <w:rPr>
          <w:lang w:val="fr-FR"/>
        </w:rPr>
        <w:t xml:space="preserve"> of </w:t>
      </w:r>
      <w:proofErr w:type="spellStart"/>
      <w:r w:rsidRPr="00992C45">
        <w:rPr>
          <w:lang w:val="fr-FR"/>
        </w:rPr>
        <w:t>heart</w:t>
      </w:r>
      <w:proofErr w:type="spellEnd"/>
      <w:r w:rsidRPr="00992C45">
        <w:rPr>
          <w:lang w:val="fr-FR"/>
        </w:rPr>
        <w:t xml:space="preserve"> and </w:t>
      </w:r>
      <w:proofErr w:type="spellStart"/>
      <w:proofErr w:type="gramStart"/>
      <w:r w:rsidRPr="00992C45">
        <w:rPr>
          <w:lang w:val="fr-FR"/>
        </w:rPr>
        <w:t>hearth</w:t>
      </w:r>
      <w:proofErr w:type="spellEnd"/>
      <w:r w:rsidRPr="00992C45">
        <w:rPr>
          <w:lang w:val="fr-FR"/>
        </w:rPr>
        <w:t>:</w:t>
      </w:r>
      <w:proofErr w:type="gramEnd"/>
      <w:r w:rsidRPr="00992C45">
        <w:rPr>
          <w:lang w:val="fr-FR"/>
        </w:rPr>
        <w:t xml:space="preserve"> </w:t>
      </w:r>
      <w:proofErr w:type="spellStart"/>
      <w:r w:rsidRPr="00992C45">
        <w:rPr>
          <w:lang w:val="fr-FR"/>
        </w:rPr>
        <w:t>hardship</w:t>
      </w:r>
      <w:proofErr w:type="spellEnd"/>
      <w:r w:rsidRPr="00992C45">
        <w:rPr>
          <w:lang w:val="fr-FR"/>
        </w:rPr>
        <w:t xml:space="preserve"> and the </w:t>
      </w:r>
      <w:proofErr w:type="spellStart"/>
      <w:r w:rsidRPr="00992C45">
        <w:rPr>
          <w:lang w:val="fr-FR"/>
        </w:rPr>
        <w:t>changing</w:t>
      </w:r>
      <w:proofErr w:type="spellEnd"/>
      <w:r w:rsidRPr="00992C45">
        <w:rPr>
          <w:lang w:val="fr-FR"/>
        </w:rPr>
        <w:t xml:space="preserve"> structure of the </w:t>
      </w:r>
      <w:proofErr w:type="spellStart"/>
      <w:r w:rsidRPr="00992C45">
        <w:rPr>
          <w:lang w:val="fr-FR"/>
        </w:rPr>
        <w:t>family</w:t>
      </w:r>
      <w:proofErr w:type="spellEnd"/>
      <w:r w:rsidRPr="00992C45">
        <w:rPr>
          <w:lang w:val="fr-FR"/>
        </w:rPr>
        <w:t xml:space="preserve"> in </w:t>
      </w:r>
      <w:proofErr w:type="spellStart"/>
      <w:r w:rsidRPr="00992C45">
        <w:rPr>
          <w:lang w:val="fr-FR"/>
        </w:rPr>
        <w:t>early</w:t>
      </w:r>
      <w:proofErr w:type="spellEnd"/>
      <w:r w:rsidRPr="00992C45">
        <w:rPr>
          <w:lang w:val="fr-FR"/>
        </w:rPr>
        <w:t xml:space="preserve"> modern English townships’, </w:t>
      </w:r>
      <w:r w:rsidRPr="00992C45">
        <w:rPr>
          <w:i/>
          <w:iCs/>
          <w:lang w:val="fr-FR"/>
        </w:rPr>
        <w:t xml:space="preserve">Journal of Family </w:t>
      </w:r>
      <w:proofErr w:type="spellStart"/>
      <w:r w:rsidRPr="00992C45">
        <w:rPr>
          <w:i/>
          <w:iCs/>
          <w:lang w:val="fr-FR"/>
        </w:rPr>
        <w:t>History</w:t>
      </w:r>
      <w:proofErr w:type="spellEnd"/>
      <w:r w:rsidRPr="00992C45">
        <w:rPr>
          <w:i/>
          <w:iCs/>
          <w:lang w:val="fr-FR"/>
        </w:rPr>
        <w:t>,</w:t>
      </w:r>
      <w:r w:rsidRPr="00992C45">
        <w:rPr>
          <w:lang w:val="fr-FR"/>
        </w:rPr>
        <w:t xml:space="preserve"> Vol. 39, No. 3, (2014), pp.183-203</w:t>
      </w:r>
      <w:r w:rsidRPr="00992C45">
        <w:t> </w:t>
      </w:r>
    </w:p>
    <w:p w14:paraId="115BBA39" w14:textId="77777777" w:rsidR="00992C45" w:rsidRPr="00992C45" w:rsidRDefault="00992C45" w:rsidP="0028398D">
      <w:pPr>
        <w:spacing w:after="240" w:line="240" w:lineRule="auto"/>
        <w:jc w:val="both"/>
      </w:pPr>
      <w:r w:rsidRPr="00992C45">
        <w:rPr>
          <w:lang w:val="en-US"/>
        </w:rPr>
        <w:t xml:space="preserve">O’Hara, </w:t>
      </w:r>
      <w:proofErr w:type="gramStart"/>
      <w:r w:rsidRPr="00992C45">
        <w:rPr>
          <w:lang w:val="en-US"/>
        </w:rPr>
        <w:t>Diane, ‘</w:t>
      </w:r>
      <w:proofErr w:type="gramEnd"/>
      <w:r w:rsidRPr="00992C45">
        <w:rPr>
          <w:lang w:val="en-US"/>
        </w:rPr>
        <w:t xml:space="preserve">The language of tokens and the making of marriage’, </w:t>
      </w:r>
      <w:r w:rsidRPr="00992C45">
        <w:rPr>
          <w:i/>
          <w:iCs/>
          <w:lang w:val="en-US"/>
        </w:rPr>
        <w:t xml:space="preserve">Rural History, </w:t>
      </w:r>
      <w:r w:rsidRPr="00992C45">
        <w:rPr>
          <w:lang w:val="en-US"/>
        </w:rPr>
        <w:t>Vol. 3, No.1, (1992), pp.1-40</w:t>
      </w:r>
      <w:r w:rsidRPr="00992C45">
        <w:t> </w:t>
      </w:r>
    </w:p>
    <w:p w14:paraId="0703DF52" w14:textId="77777777" w:rsidR="00992C45" w:rsidRPr="00992C45" w:rsidRDefault="00992C45" w:rsidP="0028398D">
      <w:pPr>
        <w:spacing w:after="240" w:line="240" w:lineRule="auto"/>
        <w:jc w:val="both"/>
      </w:pPr>
      <w:r w:rsidRPr="00992C45">
        <w:rPr>
          <w:lang w:val="en-US"/>
        </w:rPr>
        <w:t>Ormerod, George,</w:t>
      </w:r>
      <w:r w:rsidRPr="00992C45">
        <w:rPr>
          <w:i/>
          <w:iCs/>
          <w:lang w:val="en-US"/>
        </w:rPr>
        <w:t xml:space="preserve"> The History of the County Palatine and City of Chester, Vol. 3, </w:t>
      </w:r>
      <w:r w:rsidRPr="00992C45">
        <w:rPr>
          <w:lang w:val="en-US"/>
        </w:rPr>
        <w:t>(London, 1819)</w:t>
      </w:r>
      <w:r w:rsidRPr="00992C45">
        <w:t> </w:t>
      </w:r>
    </w:p>
    <w:p w14:paraId="3A9B129F" w14:textId="77777777" w:rsidR="00992C45" w:rsidRPr="00992C45" w:rsidRDefault="00992C45" w:rsidP="0028398D">
      <w:pPr>
        <w:spacing w:after="240" w:line="240" w:lineRule="auto"/>
        <w:jc w:val="both"/>
      </w:pPr>
      <w:r w:rsidRPr="00992C45">
        <w:rPr>
          <w:lang w:val="en-US"/>
        </w:rPr>
        <w:t xml:space="preserve">Ortner, </w:t>
      </w:r>
      <w:proofErr w:type="gramStart"/>
      <w:r w:rsidRPr="00992C45">
        <w:rPr>
          <w:lang w:val="en-US"/>
        </w:rPr>
        <w:t>Sherry, ‘</w:t>
      </w:r>
      <w:proofErr w:type="gramEnd"/>
      <w:r w:rsidRPr="00992C45">
        <w:rPr>
          <w:lang w:val="en-US"/>
        </w:rPr>
        <w:t xml:space="preserve">Theory in anthropology since the </w:t>
      </w:r>
      <w:proofErr w:type="gramStart"/>
      <w:r w:rsidRPr="00992C45">
        <w:rPr>
          <w:lang w:val="en-US"/>
        </w:rPr>
        <w:t>sixties’,</w:t>
      </w:r>
      <w:proofErr w:type="gramEnd"/>
      <w:r w:rsidRPr="00992C45">
        <w:rPr>
          <w:lang w:val="en-US"/>
        </w:rPr>
        <w:t xml:space="preserve"> </w:t>
      </w:r>
      <w:r w:rsidRPr="00992C45">
        <w:rPr>
          <w:i/>
          <w:iCs/>
          <w:lang w:val="en-US"/>
        </w:rPr>
        <w:t xml:space="preserve">Comparative Studies in Society and History, </w:t>
      </w:r>
      <w:r w:rsidRPr="00992C45">
        <w:rPr>
          <w:lang w:val="en-US"/>
        </w:rPr>
        <w:t>Vol. 26, No. 1, (1984), pp.126-166,</w:t>
      </w:r>
      <w:r w:rsidRPr="00992C45">
        <w:t> </w:t>
      </w:r>
    </w:p>
    <w:p w14:paraId="6A2642B0" w14:textId="77777777" w:rsidR="00992C45" w:rsidRPr="00992C45" w:rsidRDefault="00992C45" w:rsidP="0028398D">
      <w:pPr>
        <w:spacing w:after="240" w:line="240" w:lineRule="auto"/>
        <w:jc w:val="both"/>
      </w:pPr>
      <w:r w:rsidRPr="00992C45">
        <w:rPr>
          <w:lang w:val="en-US"/>
        </w:rPr>
        <w:t>Outhwaite, R. B.,</w:t>
      </w:r>
      <w:r w:rsidRPr="00992C45">
        <w:rPr>
          <w:i/>
          <w:iCs/>
          <w:lang w:val="en-US"/>
        </w:rPr>
        <w:t xml:space="preserve"> Clandestine Marriage in England, 1500-1850, </w:t>
      </w:r>
      <w:r w:rsidRPr="00992C45">
        <w:rPr>
          <w:lang w:val="en-US"/>
        </w:rPr>
        <w:t>(London, 1995)</w:t>
      </w:r>
      <w:r w:rsidRPr="00992C45">
        <w:t> </w:t>
      </w:r>
    </w:p>
    <w:p w14:paraId="58D94D7A" w14:textId="77777777" w:rsidR="00992C45" w:rsidRPr="00992C45" w:rsidRDefault="00992C45" w:rsidP="0028398D">
      <w:pPr>
        <w:spacing w:after="240" w:line="240" w:lineRule="auto"/>
        <w:jc w:val="both"/>
      </w:pPr>
      <w:r w:rsidRPr="00992C45">
        <w:rPr>
          <w:lang w:val="en-US"/>
        </w:rPr>
        <w:t>Overton, Mark, Jane Whittle, Darron Dean and Andrew Hann,</w:t>
      </w:r>
      <w:r w:rsidRPr="00992C45">
        <w:rPr>
          <w:i/>
          <w:iCs/>
          <w:lang w:val="en-US"/>
        </w:rPr>
        <w:t xml:space="preserve"> Production and Consumption in English Households, 1600-1750, </w:t>
      </w:r>
      <w:r w:rsidRPr="00992C45">
        <w:rPr>
          <w:lang w:val="en-US"/>
        </w:rPr>
        <w:t>(London, 2004)</w:t>
      </w:r>
      <w:r w:rsidRPr="00992C45">
        <w:t> </w:t>
      </w:r>
    </w:p>
    <w:p w14:paraId="237E1E9C" w14:textId="77777777" w:rsidR="00992C45" w:rsidRPr="00992C45" w:rsidRDefault="00992C45" w:rsidP="0028398D">
      <w:pPr>
        <w:spacing w:after="240" w:line="240" w:lineRule="auto"/>
        <w:jc w:val="both"/>
      </w:pPr>
      <w:r w:rsidRPr="00992C45">
        <w:rPr>
          <w:lang w:val="fr-FR"/>
        </w:rPr>
        <w:t xml:space="preserve">Palmer, Ned, </w:t>
      </w:r>
      <w:r w:rsidRPr="00992C45">
        <w:rPr>
          <w:i/>
          <w:iCs/>
          <w:lang w:val="fr-FR"/>
        </w:rPr>
        <w:t xml:space="preserve">A </w:t>
      </w:r>
      <w:proofErr w:type="spellStart"/>
      <w:r w:rsidRPr="00992C45">
        <w:rPr>
          <w:i/>
          <w:iCs/>
          <w:lang w:val="fr-FR"/>
        </w:rPr>
        <w:t>Cheesemonger’s</w:t>
      </w:r>
      <w:proofErr w:type="spellEnd"/>
      <w:r w:rsidRPr="00992C45">
        <w:rPr>
          <w:i/>
          <w:iCs/>
          <w:lang w:val="fr-FR"/>
        </w:rPr>
        <w:t xml:space="preserve"> </w:t>
      </w:r>
      <w:proofErr w:type="spellStart"/>
      <w:r w:rsidRPr="00992C45">
        <w:rPr>
          <w:i/>
          <w:iCs/>
          <w:lang w:val="fr-FR"/>
        </w:rPr>
        <w:t>History</w:t>
      </w:r>
      <w:proofErr w:type="spellEnd"/>
      <w:r w:rsidRPr="00992C45">
        <w:rPr>
          <w:i/>
          <w:iCs/>
          <w:lang w:val="fr-FR"/>
        </w:rPr>
        <w:t xml:space="preserve"> of the British Isles, </w:t>
      </w:r>
      <w:r w:rsidRPr="00992C45">
        <w:rPr>
          <w:lang w:val="fr-FR"/>
        </w:rPr>
        <w:t>(London, 2019)</w:t>
      </w:r>
      <w:r w:rsidRPr="00992C45">
        <w:t> </w:t>
      </w:r>
    </w:p>
    <w:p w14:paraId="3868FF9E" w14:textId="77777777" w:rsidR="00992C45" w:rsidRPr="00992C45" w:rsidRDefault="00992C45" w:rsidP="0028398D">
      <w:pPr>
        <w:spacing w:after="240" w:line="240" w:lineRule="auto"/>
        <w:jc w:val="both"/>
      </w:pPr>
      <w:r w:rsidRPr="00992C45">
        <w:rPr>
          <w:lang w:val="en-US"/>
        </w:rPr>
        <w:t xml:space="preserve">Parsons </w:t>
      </w:r>
      <w:proofErr w:type="spellStart"/>
      <w:r w:rsidRPr="00992C45">
        <w:rPr>
          <w:lang w:val="en-US"/>
        </w:rPr>
        <w:t>Earwaker</w:t>
      </w:r>
      <w:proofErr w:type="spellEnd"/>
      <w:r w:rsidRPr="00992C45">
        <w:rPr>
          <w:lang w:val="en-US"/>
        </w:rPr>
        <w:t xml:space="preserve">, John, </w:t>
      </w:r>
      <w:r w:rsidRPr="00992C45">
        <w:rPr>
          <w:i/>
          <w:iCs/>
          <w:lang w:val="en-US"/>
        </w:rPr>
        <w:t xml:space="preserve">East Cheshire: Past and Present: Or, A History of the </w:t>
      </w:r>
      <w:proofErr w:type="spellStart"/>
      <w:r w:rsidRPr="00992C45">
        <w:rPr>
          <w:i/>
          <w:iCs/>
          <w:lang w:val="en-US"/>
        </w:rPr>
        <w:t>Hundred</w:t>
      </w:r>
      <w:proofErr w:type="spellEnd"/>
      <w:r w:rsidRPr="00992C45">
        <w:rPr>
          <w:i/>
          <w:iCs/>
          <w:lang w:val="en-US"/>
        </w:rPr>
        <w:t xml:space="preserve"> of Macclesfield, in the County Palatine of Chester, Volume 2, </w:t>
      </w:r>
      <w:r w:rsidRPr="00992C45">
        <w:rPr>
          <w:lang w:val="en-US"/>
        </w:rPr>
        <w:t>(London, 1880)</w:t>
      </w:r>
      <w:r w:rsidRPr="00992C45">
        <w:t> </w:t>
      </w:r>
    </w:p>
    <w:p w14:paraId="2F232C09" w14:textId="77777777" w:rsidR="00992C45" w:rsidRPr="00992C45" w:rsidRDefault="00992C45" w:rsidP="0028398D">
      <w:pPr>
        <w:spacing w:after="240" w:line="240" w:lineRule="auto"/>
        <w:jc w:val="both"/>
      </w:pPr>
      <w:r w:rsidRPr="00992C45">
        <w:rPr>
          <w:lang w:val="fr-FR"/>
        </w:rPr>
        <w:t xml:space="preserve">Pearson, David, ‘Patterns of book </w:t>
      </w:r>
      <w:proofErr w:type="spellStart"/>
      <w:r w:rsidRPr="00992C45">
        <w:rPr>
          <w:lang w:val="fr-FR"/>
        </w:rPr>
        <w:t>ownership</w:t>
      </w:r>
      <w:proofErr w:type="spellEnd"/>
      <w:r w:rsidRPr="00992C45">
        <w:rPr>
          <w:lang w:val="fr-FR"/>
        </w:rPr>
        <w:t xml:space="preserve"> in </w:t>
      </w:r>
      <w:proofErr w:type="spellStart"/>
      <w:r w:rsidRPr="00992C45">
        <w:rPr>
          <w:lang w:val="fr-FR"/>
        </w:rPr>
        <w:t>late</w:t>
      </w:r>
      <w:proofErr w:type="spellEnd"/>
      <w:r w:rsidRPr="00992C45">
        <w:rPr>
          <w:lang w:val="fr-FR"/>
        </w:rPr>
        <w:t xml:space="preserve"> </w:t>
      </w:r>
      <w:proofErr w:type="spellStart"/>
      <w:r w:rsidRPr="00992C45">
        <w:rPr>
          <w:lang w:val="fr-FR"/>
        </w:rPr>
        <w:t>seventeenth</w:t>
      </w:r>
      <w:proofErr w:type="spellEnd"/>
      <w:r w:rsidRPr="00992C45">
        <w:rPr>
          <w:lang w:val="fr-FR"/>
        </w:rPr>
        <w:t xml:space="preserve">-century </w:t>
      </w:r>
      <w:proofErr w:type="spellStart"/>
      <w:r w:rsidRPr="00992C45">
        <w:rPr>
          <w:lang w:val="fr-FR"/>
        </w:rPr>
        <w:t>England</w:t>
      </w:r>
      <w:proofErr w:type="spellEnd"/>
      <w:r w:rsidRPr="00992C45">
        <w:rPr>
          <w:lang w:val="fr-FR"/>
        </w:rPr>
        <w:t xml:space="preserve">’, </w:t>
      </w:r>
      <w:r w:rsidRPr="00992C45">
        <w:rPr>
          <w:i/>
          <w:iCs/>
          <w:lang w:val="fr-FR"/>
        </w:rPr>
        <w:t xml:space="preserve">The Library, </w:t>
      </w:r>
      <w:r w:rsidRPr="00992C45">
        <w:rPr>
          <w:lang w:val="fr-FR"/>
        </w:rPr>
        <w:t>Vol. 1, No. 2, (2010), pp.139-167</w:t>
      </w:r>
      <w:r w:rsidRPr="00992C45">
        <w:t> </w:t>
      </w:r>
    </w:p>
    <w:p w14:paraId="735D34BA" w14:textId="77777777" w:rsidR="00992C45" w:rsidRPr="00992C45" w:rsidRDefault="00992C45" w:rsidP="0028398D">
      <w:pPr>
        <w:spacing w:after="240" w:line="240" w:lineRule="auto"/>
        <w:jc w:val="both"/>
      </w:pPr>
      <w:r w:rsidRPr="00992C45">
        <w:rPr>
          <w:lang w:val="en-US"/>
        </w:rPr>
        <w:t xml:space="preserve">Pelling, Margaret, ‘Finding widowers: men without women in English towns before 1700’, in Sandra Cavallo and Lyndan Warner (eds), </w:t>
      </w:r>
      <w:r w:rsidRPr="00992C45">
        <w:rPr>
          <w:i/>
          <w:iCs/>
          <w:lang w:val="en-US"/>
        </w:rPr>
        <w:t xml:space="preserve">Widowhood in Medieval and Early Modern Europe, </w:t>
      </w:r>
      <w:r w:rsidRPr="00992C45">
        <w:rPr>
          <w:lang w:val="en-US"/>
        </w:rPr>
        <w:t>(London, 1999), pp.37-54</w:t>
      </w:r>
      <w:r w:rsidRPr="00992C45">
        <w:t> </w:t>
      </w:r>
    </w:p>
    <w:p w14:paraId="59BCAD25" w14:textId="77777777" w:rsidR="00992C45" w:rsidRPr="00992C45" w:rsidRDefault="00992C45" w:rsidP="0028398D">
      <w:pPr>
        <w:spacing w:after="240" w:line="240" w:lineRule="auto"/>
        <w:jc w:val="both"/>
      </w:pPr>
      <w:r w:rsidRPr="00992C45">
        <w:rPr>
          <w:lang w:val="en-US"/>
        </w:rPr>
        <w:t xml:space="preserve">Pelling, Margaret, ‘Who most needs to marry? Ageing and inequality among women and men in early modern Norwich’, in Lynn Botelho and Pat Thane (eds), </w:t>
      </w:r>
      <w:r w:rsidRPr="00992C45">
        <w:rPr>
          <w:i/>
          <w:iCs/>
          <w:lang w:val="en-US"/>
        </w:rPr>
        <w:t xml:space="preserve">Women and Ageing in British Society Since 1500, </w:t>
      </w:r>
      <w:r w:rsidRPr="00992C45">
        <w:rPr>
          <w:lang w:val="en-US"/>
        </w:rPr>
        <w:t>(London, 2001)</w:t>
      </w:r>
      <w:r w:rsidRPr="00992C45">
        <w:t> </w:t>
      </w:r>
    </w:p>
    <w:p w14:paraId="364B3BBC" w14:textId="77777777" w:rsidR="00992C45" w:rsidRPr="00992C45" w:rsidRDefault="00992C45" w:rsidP="0028398D">
      <w:pPr>
        <w:spacing w:after="240" w:line="240" w:lineRule="auto"/>
        <w:jc w:val="both"/>
      </w:pPr>
      <w:r w:rsidRPr="00992C45">
        <w:rPr>
          <w:lang w:val="en-US"/>
        </w:rPr>
        <w:t xml:space="preserve">Pennell, Sara, </w:t>
      </w:r>
      <w:proofErr w:type="gramStart"/>
      <w:r w:rsidRPr="00992C45">
        <w:rPr>
          <w:lang w:val="en-US"/>
        </w:rPr>
        <w:t>‘”Pots</w:t>
      </w:r>
      <w:proofErr w:type="gramEnd"/>
      <w:r w:rsidRPr="00992C45">
        <w:rPr>
          <w:lang w:val="en-US"/>
        </w:rPr>
        <w:t xml:space="preserve"> and pans history”: the material culture of the kitchen in early modern England’, </w:t>
      </w:r>
      <w:r w:rsidRPr="00992C45">
        <w:rPr>
          <w:i/>
          <w:iCs/>
          <w:lang w:val="en-US"/>
        </w:rPr>
        <w:t>Journal of Design History</w:t>
      </w:r>
      <w:r w:rsidRPr="00992C45">
        <w:rPr>
          <w:lang w:val="en-US"/>
        </w:rPr>
        <w:t>, Vol. 11, (1998), pp.201-216</w:t>
      </w:r>
      <w:r w:rsidRPr="00992C45">
        <w:t> </w:t>
      </w:r>
    </w:p>
    <w:p w14:paraId="7F3F6639" w14:textId="77777777" w:rsidR="00992C45" w:rsidRPr="00992C45" w:rsidRDefault="00992C45" w:rsidP="0028398D">
      <w:pPr>
        <w:spacing w:after="240" w:line="240" w:lineRule="auto"/>
        <w:jc w:val="both"/>
      </w:pPr>
      <w:r w:rsidRPr="00992C45">
        <w:rPr>
          <w:lang w:val="en-US"/>
        </w:rPr>
        <w:t xml:space="preserve">Pennell, </w:t>
      </w:r>
      <w:proofErr w:type="gramStart"/>
      <w:r w:rsidRPr="00992C45">
        <w:rPr>
          <w:lang w:val="en-US"/>
        </w:rPr>
        <w:t>Sara, ‘</w:t>
      </w:r>
      <w:proofErr w:type="gramEnd"/>
      <w:r w:rsidRPr="00992C45">
        <w:rPr>
          <w:lang w:val="en-US"/>
        </w:rPr>
        <w:t xml:space="preserve">Mundane materiality, or should small things still be forgotten? Material culture, micro-histories and the problem of scale’, in Karen Harvey (ed.), </w:t>
      </w:r>
      <w:r w:rsidRPr="00992C45">
        <w:rPr>
          <w:i/>
          <w:iCs/>
          <w:lang w:val="en-US"/>
        </w:rPr>
        <w:t xml:space="preserve">History and Material Culture: A Student’s Guide to Approaching Alternative Sources, </w:t>
      </w:r>
      <w:r w:rsidRPr="00992C45">
        <w:rPr>
          <w:lang w:val="en-US"/>
        </w:rPr>
        <w:t>(London, 2009), pp.173-191</w:t>
      </w:r>
      <w:r w:rsidRPr="00992C45">
        <w:t> </w:t>
      </w:r>
    </w:p>
    <w:p w14:paraId="3E418B1F" w14:textId="77777777" w:rsidR="00992C45" w:rsidRPr="00992C45" w:rsidRDefault="00992C45" w:rsidP="0028398D">
      <w:pPr>
        <w:spacing w:after="240" w:line="240" w:lineRule="auto"/>
        <w:jc w:val="both"/>
      </w:pPr>
      <w:r w:rsidRPr="00992C45">
        <w:rPr>
          <w:lang w:val="en-US"/>
        </w:rPr>
        <w:t xml:space="preserve">Pennell, </w:t>
      </w:r>
      <w:proofErr w:type="gramStart"/>
      <w:r w:rsidRPr="00992C45">
        <w:rPr>
          <w:lang w:val="en-US"/>
        </w:rPr>
        <w:t>Sara, ‘</w:t>
      </w:r>
      <w:proofErr w:type="gramEnd"/>
      <w:r w:rsidRPr="00992C45">
        <w:rPr>
          <w:lang w:val="en-US"/>
        </w:rPr>
        <w:t xml:space="preserve">The material culture of food in early modern England, c.1650-1750’, in Sarah Tarlow and Susie West (eds), </w:t>
      </w:r>
      <w:r w:rsidRPr="00992C45">
        <w:rPr>
          <w:i/>
          <w:iCs/>
          <w:lang w:val="en-US"/>
        </w:rPr>
        <w:t xml:space="preserve">The Familiar Past? Archaeologies of Later Historical Britain, </w:t>
      </w:r>
      <w:r w:rsidRPr="00992C45">
        <w:rPr>
          <w:lang w:val="en-US"/>
        </w:rPr>
        <w:t>(London, 1999), pp.35-50</w:t>
      </w:r>
      <w:r w:rsidRPr="00992C45">
        <w:t> </w:t>
      </w:r>
    </w:p>
    <w:p w14:paraId="73830C2F" w14:textId="77777777" w:rsidR="00992C45" w:rsidRPr="00992C45" w:rsidRDefault="00992C45" w:rsidP="0028398D">
      <w:pPr>
        <w:spacing w:after="240" w:line="240" w:lineRule="auto"/>
        <w:jc w:val="both"/>
      </w:pPr>
      <w:r w:rsidRPr="00992C45">
        <w:rPr>
          <w:lang w:val="en-US"/>
        </w:rPr>
        <w:t xml:space="preserve">Peters, </w:t>
      </w:r>
      <w:proofErr w:type="gramStart"/>
      <w:r w:rsidRPr="00992C45">
        <w:rPr>
          <w:lang w:val="en-US"/>
        </w:rPr>
        <w:t>Christine, ‘</w:t>
      </w:r>
      <w:proofErr w:type="gramEnd"/>
      <w:r w:rsidRPr="00992C45">
        <w:rPr>
          <w:lang w:val="en-US"/>
        </w:rPr>
        <w:t xml:space="preserve">Gender, sacrament and ritual: the making and meaning of marriage in late medieval and early modern England’, </w:t>
      </w:r>
      <w:r w:rsidRPr="00992C45">
        <w:rPr>
          <w:i/>
          <w:iCs/>
          <w:lang w:val="en-US"/>
        </w:rPr>
        <w:t xml:space="preserve">Past &amp; Present, </w:t>
      </w:r>
      <w:r w:rsidRPr="00992C45">
        <w:rPr>
          <w:lang w:val="en-US"/>
        </w:rPr>
        <w:t>No. 169, (2000), pp.63-96</w:t>
      </w:r>
      <w:r w:rsidRPr="00992C45">
        <w:t> </w:t>
      </w:r>
    </w:p>
    <w:p w14:paraId="057764CF" w14:textId="77777777" w:rsidR="00992C45" w:rsidRPr="00992C45" w:rsidRDefault="00992C45" w:rsidP="0028398D">
      <w:pPr>
        <w:spacing w:after="240" w:line="240" w:lineRule="auto"/>
        <w:jc w:val="both"/>
      </w:pPr>
      <w:r w:rsidRPr="00992C45">
        <w:rPr>
          <w:lang w:val="en-US"/>
        </w:rPr>
        <w:lastRenderedPageBreak/>
        <w:t xml:space="preserve">Randles, </w:t>
      </w:r>
      <w:proofErr w:type="gramStart"/>
      <w:r w:rsidRPr="00992C45">
        <w:rPr>
          <w:lang w:val="en-US"/>
        </w:rPr>
        <w:t>Sarah, ‘</w:t>
      </w:r>
      <w:proofErr w:type="gramEnd"/>
      <w:r w:rsidRPr="00992C45">
        <w:rPr>
          <w:lang w:val="en-US"/>
        </w:rPr>
        <w:t xml:space="preserve">"The Pattern of All Patience": Gender, Agency and Emotions in Embroidery Pattern Books in Early Modern England’, in Susan Broomhall (ed.), </w:t>
      </w:r>
      <w:r w:rsidRPr="00992C45">
        <w:rPr>
          <w:i/>
          <w:iCs/>
          <w:lang w:val="en-US"/>
        </w:rPr>
        <w:t xml:space="preserve">Authority, Gender and Emotions in Late Medieval and Early Modern England, </w:t>
      </w:r>
      <w:r w:rsidRPr="00992C45">
        <w:rPr>
          <w:lang w:val="en-US"/>
        </w:rPr>
        <w:t>(Basingstoke, 2015), pp.150-167</w:t>
      </w:r>
      <w:r w:rsidRPr="00992C45">
        <w:t> </w:t>
      </w:r>
    </w:p>
    <w:p w14:paraId="506304E2" w14:textId="77777777" w:rsidR="00992C45" w:rsidRPr="00992C45" w:rsidRDefault="00992C45" w:rsidP="0028398D">
      <w:pPr>
        <w:spacing w:after="240" w:line="240" w:lineRule="auto"/>
        <w:jc w:val="both"/>
      </w:pPr>
      <w:r w:rsidRPr="00992C45">
        <w:rPr>
          <w:lang w:val="en-US"/>
        </w:rPr>
        <w:t xml:space="preserve">Reckwitz, </w:t>
      </w:r>
      <w:proofErr w:type="gramStart"/>
      <w:r w:rsidRPr="00992C45">
        <w:rPr>
          <w:lang w:val="en-US"/>
        </w:rPr>
        <w:t>Andreas, ‘</w:t>
      </w:r>
      <w:proofErr w:type="gramEnd"/>
      <w:r w:rsidRPr="00992C45">
        <w:rPr>
          <w:lang w:val="en-US"/>
        </w:rPr>
        <w:t xml:space="preserve">Affective spaces: a praxeological outlook’, </w:t>
      </w:r>
      <w:r w:rsidRPr="00992C45">
        <w:rPr>
          <w:i/>
          <w:iCs/>
          <w:lang w:val="en-US"/>
        </w:rPr>
        <w:t xml:space="preserve">Rethinking History, </w:t>
      </w:r>
      <w:r w:rsidRPr="00992C45">
        <w:rPr>
          <w:lang w:val="en-US"/>
        </w:rPr>
        <w:t>Vol. 16, No. 2, (2012), pp.241-258</w:t>
      </w:r>
      <w:r w:rsidRPr="00992C45">
        <w:t> </w:t>
      </w:r>
    </w:p>
    <w:p w14:paraId="01BF27F9" w14:textId="77777777" w:rsidR="00992C45" w:rsidRPr="00992C45" w:rsidRDefault="00992C45" w:rsidP="0028398D">
      <w:pPr>
        <w:spacing w:after="240" w:line="240" w:lineRule="auto"/>
        <w:jc w:val="both"/>
      </w:pPr>
      <w:r w:rsidRPr="00992C45">
        <w:rPr>
          <w:lang w:val="en-US"/>
        </w:rPr>
        <w:t xml:space="preserve">Reckwitz, Andreas, ‘The status of the “material” in theories of culture: from “social structure” to “artefacts”, </w:t>
      </w:r>
      <w:r w:rsidRPr="00992C45">
        <w:rPr>
          <w:i/>
          <w:iCs/>
          <w:lang w:val="en-US"/>
        </w:rPr>
        <w:t xml:space="preserve">Journal for the Theory of Social </w:t>
      </w:r>
      <w:proofErr w:type="spellStart"/>
      <w:r w:rsidRPr="00992C45">
        <w:rPr>
          <w:i/>
          <w:iCs/>
          <w:lang w:val="en-US"/>
        </w:rPr>
        <w:t>Behaviour</w:t>
      </w:r>
      <w:proofErr w:type="spellEnd"/>
      <w:r w:rsidRPr="00992C45">
        <w:rPr>
          <w:i/>
          <w:iCs/>
          <w:lang w:val="en-US"/>
        </w:rPr>
        <w:t xml:space="preserve">, </w:t>
      </w:r>
      <w:r w:rsidRPr="00992C45">
        <w:rPr>
          <w:lang w:val="en-US"/>
        </w:rPr>
        <w:t>Vol. 32, (2002), pp.195-217</w:t>
      </w:r>
      <w:r w:rsidRPr="00992C45">
        <w:t> </w:t>
      </w:r>
    </w:p>
    <w:p w14:paraId="1D6D3514" w14:textId="77777777" w:rsidR="00992C45" w:rsidRPr="00992C45" w:rsidRDefault="00992C45" w:rsidP="0028398D">
      <w:pPr>
        <w:spacing w:after="240" w:line="240" w:lineRule="auto"/>
        <w:jc w:val="both"/>
      </w:pPr>
      <w:r w:rsidRPr="00992C45">
        <w:rPr>
          <w:lang w:val="en-US"/>
        </w:rPr>
        <w:t xml:space="preserve">Reckwitz, Andreas, 'Toward a theory of social practices: a development in culturalist theorizing', </w:t>
      </w:r>
      <w:r w:rsidRPr="00992C45">
        <w:rPr>
          <w:i/>
          <w:iCs/>
          <w:lang w:val="en-US"/>
        </w:rPr>
        <w:t>European Journal of Social Theory</w:t>
      </w:r>
      <w:r w:rsidRPr="00992C45">
        <w:rPr>
          <w:lang w:val="en-US"/>
        </w:rPr>
        <w:t>, Vol.5, No.2, (2002), pp.243-263</w:t>
      </w:r>
      <w:r w:rsidRPr="00992C45">
        <w:t> </w:t>
      </w:r>
    </w:p>
    <w:p w14:paraId="019A0DE6" w14:textId="77777777" w:rsidR="00992C45" w:rsidRPr="00992C45" w:rsidRDefault="00992C45" w:rsidP="0028398D">
      <w:pPr>
        <w:spacing w:after="240" w:line="240" w:lineRule="auto"/>
        <w:jc w:val="both"/>
      </w:pPr>
      <w:r w:rsidRPr="00992C45">
        <w:rPr>
          <w:lang w:val="en-US"/>
        </w:rPr>
        <w:t xml:space="preserve">Reddy, William, </w:t>
      </w:r>
      <w:r w:rsidRPr="00992C45">
        <w:rPr>
          <w:i/>
          <w:iCs/>
          <w:lang w:val="en-US"/>
        </w:rPr>
        <w:t>The Navigation of Feeling: A Framework for the History of Emotions</w:t>
      </w:r>
      <w:r w:rsidRPr="00992C45">
        <w:rPr>
          <w:lang w:val="en-US"/>
        </w:rPr>
        <w:t>, (Cambridge, 2001), pp.145-172</w:t>
      </w:r>
      <w:r w:rsidRPr="00992C45">
        <w:t> </w:t>
      </w:r>
    </w:p>
    <w:p w14:paraId="0E13DB91" w14:textId="77777777" w:rsidR="00992C45" w:rsidRPr="00992C45" w:rsidRDefault="00992C45" w:rsidP="0028398D">
      <w:pPr>
        <w:spacing w:after="240" w:line="240" w:lineRule="auto"/>
        <w:jc w:val="both"/>
      </w:pPr>
      <w:proofErr w:type="spellStart"/>
      <w:r w:rsidRPr="00992C45">
        <w:rPr>
          <w:lang w:val="en-US"/>
        </w:rPr>
        <w:t>Refford</w:t>
      </w:r>
      <w:proofErr w:type="spellEnd"/>
      <w:r w:rsidRPr="00992C45">
        <w:rPr>
          <w:lang w:val="en-US"/>
        </w:rPr>
        <w:t xml:space="preserve">, Brian, </w:t>
      </w:r>
      <w:r w:rsidRPr="00992C45">
        <w:rPr>
          <w:i/>
          <w:iCs/>
          <w:lang w:val="en-US"/>
        </w:rPr>
        <w:t xml:space="preserve">The Bonds of Trade: Commerce and Community in the Liverpool Slave Trade, 1695-1775, </w:t>
      </w:r>
      <w:r w:rsidRPr="00992C45">
        <w:rPr>
          <w:lang w:val="en-US"/>
        </w:rPr>
        <w:t>(San Diego, 2008)</w:t>
      </w:r>
      <w:r w:rsidRPr="00992C45">
        <w:t> </w:t>
      </w:r>
    </w:p>
    <w:p w14:paraId="2ADB0732" w14:textId="77777777" w:rsidR="00992C45" w:rsidRPr="00992C45" w:rsidRDefault="00992C45" w:rsidP="0028398D">
      <w:pPr>
        <w:spacing w:after="240" w:line="240" w:lineRule="auto"/>
        <w:jc w:val="both"/>
      </w:pPr>
      <w:r w:rsidRPr="00992C45">
        <w:rPr>
          <w:lang w:val="fr-FR"/>
        </w:rPr>
        <w:t xml:space="preserve">Renaud, Frank, </w:t>
      </w:r>
      <w:r w:rsidRPr="00992C45">
        <w:rPr>
          <w:i/>
          <w:iCs/>
          <w:lang w:val="fr-FR"/>
        </w:rPr>
        <w:t xml:space="preserve">Contributions </w:t>
      </w:r>
      <w:proofErr w:type="spellStart"/>
      <w:r w:rsidRPr="00992C45">
        <w:rPr>
          <w:i/>
          <w:iCs/>
          <w:lang w:val="fr-FR"/>
        </w:rPr>
        <w:t>Towards</w:t>
      </w:r>
      <w:proofErr w:type="spellEnd"/>
      <w:r w:rsidRPr="00992C45">
        <w:rPr>
          <w:i/>
          <w:iCs/>
          <w:lang w:val="fr-FR"/>
        </w:rPr>
        <w:t xml:space="preserve"> a </w:t>
      </w:r>
      <w:proofErr w:type="spellStart"/>
      <w:r w:rsidRPr="00992C45">
        <w:rPr>
          <w:i/>
          <w:iCs/>
          <w:lang w:val="fr-FR"/>
        </w:rPr>
        <w:t>History</w:t>
      </w:r>
      <w:proofErr w:type="spellEnd"/>
      <w:r w:rsidRPr="00992C45">
        <w:rPr>
          <w:i/>
          <w:iCs/>
          <w:lang w:val="fr-FR"/>
        </w:rPr>
        <w:t xml:space="preserve"> of the Ancient Parish of </w:t>
      </w:r>
      <w:proofErr w:type="gramStart"/>
      <w:r w:rsidRPr="00992C45">
        <w:rPr>
          <w:i/>
          <w:iCs/>
          <w:lang w:val="fr-FR"/>
        </w:rPr>
        <w:t>Prestbury:</w:t>
      </w:r>
      <w:proofErr w:type="gramEnd"/>
      <w:r w:rsidRPr="00992C45">
        <w:rPr>
          <w:i/>
          <w:iCs/>
          <w:lang w:val="fr-FR"/>
        </w:rPr>
        <w:t xml:space="preserve"> in Cheshire, </w:t>
      </w:r>
      <w:r w:rsidRPr="00992C45">
        <w:rPr>
          <w:lang w:val="fr-FR"/>
        </w:rPr>
        <w:t>(Manchester, 1876)</w:t>
      </w:r>
      <w:r w:rsidRPr="00992C45">
        <w:t> </w:t>
      </w:r>
    </w:p>
    <w:p w14:paraId="2FAFCD03" w14:textId="77777777" w:rsidR="00992C45" w:rsidRPr="00992C45" w:rsidRDefault="00992C45" w:rsidP="0028398D">
      <w:pPr>
        <w:spacing w:after="240" w:line="240" w:lineRule="auto"/>
        <w:jc w:val="both"/>
      </w:pPr>
      <w:r w:rsidRPr="00992C45">
        <w:rPr>
          <w:lang w:val="en-US"/>
        </w:rPr>
        <w:t xml:space="preserve">Richardson, Catherine, ‘Furniture and furnishings’, in Amanda Flather (ed.), </w:t>
      </w:r>
      <w:r w:rsidRPr="00992C45">
        <w:rPr>
          <w:i/>
          <w:iCs/>
          <w:lang w:val="en-US"/>
        </w:rPr>
        <w:t xml:space="preserve">A Cultural History of the Home in the Renaissance, </w:t>
      </w:r>
      <w:r w:rsidRPr="00992C45">
        <w:rPr>
          <w:lang w:val="en-US"/>
        </w:rPr>
        <w:t>(London, 2021), pp.83-102</w:t>
      </w:r>
      <w:r w:rsidRPr="00992C45">
        <w:t> </w:t>
      </w:r>
    </w:p>
    <w:p w14:paraId="0658C4FF" w14:textId="77777777" w:rsidR="00992C45" w:rsidRPr="00992C45" w:rsidRDefault="00992C45" w:rsidP="0028398D">
      <w:pPr>
        <w:spacing w:after="240" w:line="240" w:lineRule="auto"/>
        <w:jc w:val="both"/>
      </w:pPr>
      <w:r w:rsidRPr="00992C45">
        <w:rPr>
          <w:lang w:val="en-US"/>
        </w:rPr>
        <w:t xml:space="preserve">Richardson, Catherine, </w:t>
      </w:r>
      <w:r w:rsidRPr="00992C45">
        <w:rPr>
          <w:i/>
          <w:iCs/>
          <w:lang w:val="en-US"/>
        </w:rPr>
        <w:t>Domestic Life and Domestic Tragedy in Early Modern England: The Material Life of the Household</w:t>
      </w:r>
      <w:r w:rsidRPr="00992C45">
        <w:rPr>
          <w:lang w:val="en-US"/>
        </w:rPr>
        <w:t>, (Manchester, 2009)</w:t>
      </w:r>
      <w:r w:rsidRPr="00992C45">
        <w:t> </w:t>
      </w:r>
    </w:p>
    <w:p w14:paraId="168A1EC1" w14:textId="77777777" w:rsidR="00992C45" w:rsidRPr="00992C45" w:rsidRDefault="00992C45" w:rsidP="0028398D">
      <w:pPr>
        <w:spacing w:after="240" w:line="240" w:lineRule="auto"/>
        <w:jc w:val="both"/>
      </w:pPr>
      <w:r w:rsidRPr="00992C45">
        <w:rPr>
          <w:lang w:val="en-US"/>
        </w:rPr>
        <w:t xml:space="preserve">Richardson, Catherine, Tara Hamling and David </w:t>
      </w:r>
      <w:proofErr w:type="spellStart"/>
      <w:proofErr w:type="gramStart"/>
      <w:r w:rsidRPr="00992C45">
        <w:rPr>
          <w:lang w:val="en-US"/>
        </w:rPr>
        <w:t>Gaimster</w:t>
      </w:r>
      <w:proofErr w:type="spellEnd"/>
      <w:r w:rsidRPr="00992C45">
        <w:rPr>
          <w:lang w:val="en-US"/>
        </w:rPr>
        <w:t>, ‘</w:t>
      </w:r>
      <w:proofErr w:type="gramEnd"/>
      <w:r w:rsidRPr="00992C45">
        <w:rPr>
          <w:lang w:val="en-US"/>
        </w:rPr>
        <w:t xml:space="preserve">Introduction’ in Catherine Richardson, Tara Hamling and David </w:t>
      </w:r>
      <w:proofErr w:type="spellStart"/>
      <w:r w:rsidRPr="00992C45">
        <w:rPr>
          <w:lang w:val="en-US"/>
        </w:rPr>
        <w:t>Gaimster</w:t>
      </w:r>
      <w:proofErr w:type="spellEnd"/>
      <w:r w:rsidRPr="00992C45">
        <w:rPr>
          <w:lang w:val="en-US"/>
        </w:rPr>
        <w:t xml:space="preserve"> (eds), </w:t>
      </w:r>
      <w:r w:rsidRPr="00992C45">
        <w:rPr>
          <w:i/>
          <w:iCs/>
          <w:lang w:val="en-US"/>
        </w:rPr>
        <w:t xml:space="preserve">The Routledge Handbook of Material Culture in Early Modern Europe, </w:t>
      </w:r>
      <w:r w:rsidRPr="00992C45">
        <w:rPr>
          <w:lang w:val="en-US"/>
        </w:rPr>
        <w:t>(Abingdon, 2017), pp.3-28</w:t>
      </w:r>
      <w:r w:rsidRPr="00992C45">
        <w:t> </w:t>
      </w:r>
    </w:p>
    <w:p w14:paraId="4BCA7F1B" w14:textId="77777777" w:rsidR="00992C45" w:rsidRPr="00992C45" w:rsidRDefault="00992C45" w:rsidP="0028398D">
      <w:pPr>
        <w:spacing w:after="240" w:line="240" w:lineRule="auto"/>
        <w:jc w:val="both"/>
      </w:pPr>
      <w:r w:rsidRPr="00992C45">
        <w:rPr>
          <w:lang w:val="en-US"/>
        </w:rPr>
        <w:t xml:space="preserve">Riello, </w:t>
      </w:r>
      <w:proofErr w:type="gramStart"/>
      <w:r w:rsidRPr="00992C45">
        <w:rPr>
          <w:lang w:val="en-US"/>
        </w:rPr>
        <w:t>Giorgio, ‘</w:t>
      </w:r>
      <w:proofErr w:type="gramEnd"/>
      <w:r w:rsidRPr="00992C45">
        <w:rPr>
          <w:lang w:val="en-US"/>
        </w:rPr>
        <w:t xml:space="preserve">Global things: Europe’s early modern material transformation’, in Catherine Richardson, Tara Hamling and David </w:t>
      </w:r>
      <w:proofErr w:type="spellStart"/>
      <w:r w:rsidRPr="00992C45">
        <w:rPr>
          <w:lang w:val="en-US"/>
        </w:rPr>
        <w:t>Gaimster</w:t>
      </w:r>
      <w:proofErr w:type="spellEnd"/>
      <w:r w:rsidRPr="00992C45">
        <w:rPr>
          <w:lang w:val="en-US"/>
        </w:rPr>
        <w:t xml:space="preserve"> (eds), </w:t>
      </w:r>
      <w:r w:rsidRPr="00992C45">
        <w:rPr>
          <w:i/>
          <w:iCs/>
          <w:lang w:val="en-US"/>
        </w:rPr>
        <w:t xml:space="preserve">The Routledge Handbook of Material Culture in Early Modern Europe, </w:t>
      </w:r>
      <w:r w:rsidRPr="00992C45">
        <w:rPr>
          <w:lang w:val="en-US"/>
        </w:rPr>
        <w:t>(Abingdon, 2017), pp.29-45</w:t>
      </w:r>
      <w:r w:rsidRPr="00992C45">
        <w:t> </w:t>
      </w:r>
    </w:p>
    <w:p w14:paraId="327B1EB7" w14:textId="77777777" w:rsidR="00992C45" w:rsidRPr="00992C45" w:rsidRDefault="00992C45" w:rsidP="0028398D">
      <w:pPr>
        <w:spacing w:after="240" w:line="240" w:lineRule="auto"/>
        <w:jc w:val="both"/>
      </w:pPr>
      <w:r w:rsidRPr="00992C45">
        <w:rPr>
          <w:lang w:val="fr-FR"/>
        </w:rPr>
        <w:t xml:space="preserve">Rist, Thomas, ‘Monuments and </w:t>
      </w:r>
      <w:proofErr w:type="gramStart"/>
      <w:r w:rsidRPr="00992C45">
        <w:rPr>
          <w:lang w:val="fr-FR"/>
        </w:rPr>
        <w:t>religion:</w:t>
      </w:r>
      <w:proofErr w:type="gramEnd"/>
      <w:r w:rsidRPr="00992C45">
        <w:rPr>
          <w:lang w:val="fr-FR"/>
        </w:rPr>
        <w:t xml:space="preserve"> George </w:t>
      </w:r>
      <w:proofErr w:type="spellStart"/>
      <w:r w:rsidRPr="00992C45">
        <w:rPr>
          <w:lang w:val="fr-FR"/>
        </w:rPr>
        <w:t>Herbert’s</w:t>
      </w:r>
      <w:proofErr w:type="spellEnd"/>
      <w:r w:rsidRPr="00992C45">
        <w:rPr>
          <w:lang w:val="fr-FR"/>
        </w:rPr>
        <w:t xml:space="preserve"> </w:t>
      </w:r>
      <w:proofErr w:type="spellStart"/>
      <w:r w:rsidRPr="00992C45">
        <w:rPr>
          <w:lang w:val="fr-FR"/>
        </w:rPr>
        <w:t>poetic</w:t>
      </w:r>
      <w:proofErr w:type="spellEnd"/>
      <w:r w:rsidRPr="00992C45">
        <w:rPr>
          <w:lang w:val="fr-FR"/>
        </w:rPr>
        <w:t xml:space="preserve"> </w:t>
      </w:r>
      <w:proofErr w:type="spellStart"/>
      <w:r w:rsidRPr="00992C45">
        <w:rPr>
          <w:lang w:val="fr-FR"/>
        </w:rPr>
        <w:t>materials</w:t>
      </w:r>
      <w:proofErr w:type="spellEnd"/>
      <w:r w:rsidRPr="00992C45">
        <w:rPr>
          <w:lang w:val="fr-FR"/>
        </w:rPr>
        <w:t>’ in Andrew Gordon and Thomas Rist (</w:t>
      </w:r>
      <w:proofErr w:type="spellStart"/>
      <w:r w:rsidRPr="00992C45">
        <w:rPr>
          <w:lang w:val="fr-FR"/>
        </w:rPr>
        <w:t>eds</w:t>
      </w:r>
      <w:proofErr w:type="spellEnd"/>
      <w:r w:rsidRPr="00992C45">
        <w:rPr>
          <w:lang w:val="fr-FR"/>
        </w:rPr>
        <w:t xml:space="preserve">), </w:t>
      </w:r>
      <w:r w:rsidRPr="00992C45">
        <w:rPr>
          <w:i/>
          <w:iCs/>
          <w:lang w:val="fr-FR"/>
        </w:rPr>
        <w:t xml:space="preserve">The Arts of Remembrance in </w:t>
      </w:r>
      <w:proofErr w:type="spellStart"/>
      <w:r w:rsidRPr="00992C45">
        <w:rPr>
          <w:i/>
          <w:iCs/>
          <w:lang w:val="fr-FR"/>
        </w:rPr>
        <w:t>Early</w:t>
      </w:r>
      <w:proofErr w:type="spellEnd"/>
      <w:r w:rsidRPr="00992C45">
        <w:rPr>
          <w:i/>
          <w:iCs/>
          <w:lang w:val="fr-FR"/>
        </w:rPr>
        <w:t xml:space="preserve"> Modern </w:t>
      </w:r>
      <w:proofErr w:type="spellStart"/>
      <w:proofErr w:type="gramStart"/>
      <w:r w:rsidRPr="00992C45">
        <w:rPr>
          <w:i/>
          <w:iCs/>
          <w:lang w:val="fr-FR"/>
        </w:rPr>
        <w:t>England</w:t>
      </w:r>
      <w:proofErr w:type="spellEnd"/>
      <w:r w:rsidRPr="00992C45">
        <w:rPr>
          <w:i/>
          <w:iCs/>
          <w:lang w:val="fr-FR"/>
        </w:rPr>
        <w:t>:</w:t>
      </w:r>
      <w:proofErr w:type="gramEnd"/>
      <w:r w:rsidRPr="00992C45">
        <w:rPr>
          <w:i/>
          <w:iCs/>
          <w:lang w:val="fr-FR"/>
        </w:rPr>
        <w:t xml:space="preserve"> </w:t>
      </w:r>
      <w:proofErr w:type="spellStart"/>
      <w:r w:rsidRPr="00992C45">
        <w:rPr>
          <w:i/>
          <w:iCs/>
          <w:lang w:val="fr-FR"/>
        </w:rPr>
        <w:t>Memorial</w:t>
      </w:r>
      <w:proofErr w:type="spellEnd"/>
      <w:r w:rsidRPr="00992C45">
        <w:rPr>
          <w:i/>
          <w:iCs/>
          <w:lang w:val="fr-FR"/>
        </w:rPr>
        <w:t xml:space="preserve"> Cultures of the Post Reformation, </w:t>
      </w:r>
      <w:r w:rsidRPr="00992C45">
        <w:rPr>
          <w:lang w:val="fr-FR"/>
        </w:rPr>
        <w:t>(</w:t>
      </w:r>
      <w:proofErr w:type="spellStart"/>
      <w:r w:rsidRPr="00992C45">
        <w:rPr>
          <w:lang w:val="fr-FR"/>
        </w:rPr>
        <w:t>Abingdon</w:t>
      </w:r>
      <w:proofErr w:type="spellEnd"/>
      <w:r w:rsidRPr="00992C45">
        <w:rPr>
          <w:lang w:val="fr-FR"/>
        </w:rPr>
        <w:t>, 2013), pp.105-124</w:t>
      </w:r>
      <w:r w:rsidRPr="00992C45">
        <w:t> </w:t>
      </w:r>
    </w:p>
    <w:p w14:paraId="385623DA" w14:textId="77777777" w:rsidR="00992C45" w:rsidRPr="00992C45" w:rsidRDefault="00992C45" w:rsidP="0028398D">
      <w:pPr>
        <w:spacing w:after="240" w:line="240" w:lineRule="auto"/>
        <w:jc w:val="both"/>
      </w:pPr>
      <w:r w:rsidRPr="00992C45">
        <w:rPr>
          <w:lang w:val="en-US"/>
        </w:rPr>
        <w:t xml:space="preserve">Robin, Cynthia and Nan </w:t>
      </w:r>
      <w:proofErr w:type="gramStart"/>
      <w:r w:rsidRPr="00992C45">
        <w:rPr>
          <w:lang w:val="en-US"/>
        </w:rPr>
        <w:t>Rothschild, ‘</w:t>
      </w:r>
      <w:proofErr w:type="gramEnd"/>
      <w:r w:rsidRPr="00992C45">
        <w:rPr>
          <w:lang w:val="en-US"/>
        </w:rPr>
        <w:t xml:space="preserve">Archaeological ethnographies: social dynamics of outdoor space’, </w:t>
      </w:r>
      <w:r w:rsidRPr="00992C45">
        <w:rPr>
          <w:i/>
          <w:iCs/>
          <w:lang w:val="en-US"/>
        </w:rPr>
        <w:t>Journal of Social</w:t>
      </w:r>
      <w:r w:rsidRPr="00992C45">
        <w:rPr>
          <w:lang w:val="en-US"/>
        </w:rPr>
        <w:t xml:space="preserve"> </w:t>
      </w:r>
      <w:r w:rsidRPr="00992C45">
        <w:rPr>
          <w:i/>
          <w:iCs/>
          <w:lang w:val="en-US"/>
        </w:rPr>
        <w:t xml:space="preserve">Archaeology, </w:t>
      </w:r>
      <w:r w:rsidRPr="00992C45">
        <w:rPr>
          <w:lang w:val="en-US"/>
        </w:rPr>
        <w:t>Vol. 2, No. 2, (2002), pp.159-72</w:t>
      </w:r>
      <w:r w:rsidRPr="00992C45">
        <w:t> </w:t>
      </w:r>
    </w:p>
    <w:p w14:paraId="5BAA4613" w14:textId="77777777" w:rsidR="00992C45" w:rsidRPr="00992C45" w:rsidRDefault="00992C45" w:rsidP="0028398D">
      <w:pPr>
        <w:spacing w:after="240" w:line="240" w:lineRule="auto"/>
        <w:jc w:val="both"/>
      </w:pPr>
      <w:r w:rsidRPr="00992C45">
        <w:rPr>
          <w:lang w:val="en-US"/>
        </w:rPr>
        <w:t xml:space="preserve">Ronnes, Hanneke and Alexandra Westra, ‘An age of autography: the English sixteenth-century country house and its dated inscription’, </w:t>
      </w:r>
      <w:r w:rsidRPr="00992C45">
        <w:rPr>
          <w:i/>
          <w:iCs/>
          <w:lang w:val="en-US"/>
        </w:rPr>
        <w:t>Explorations in Renaissance Culture</w:t>
      </w:r>
      <w:r w:rsidRPr="00992C45">
        <w:rPr>
          <w:lang w:val="en-US"/>
        </w:rPr>
        <w:t>, Vol. 2, (2011), pp.39-64</w:t>
      </w:r>
      <w:r w:rsidRPr="00992C45">
        <w:t> </w:t>
      </w:r>
    </w:p>
    <w:p w14:paraId="2E4F259D" w14:textId="77777777" w:rsidR="00992C45" w:rsidRPr="00992C45" w:rsidRDefault="00992C45" w:rsidP="0028398D">
      <w:pPr>
        <w:spacing w:after="240" w:line="240" w:lineRule="auto"/>
        <w:jc w:val="both"/>
      </w:pPr>
      <w:r w:rsidRPr="00992C45">
        <w:rPr>
          <w:lang w:val="en-US"/>
        </w:rPr>
        <w:t xml:space="preserve">Rosenwein, Barbara, ‘Review of William Reddy, </w:t>
      </w:r>
      <w:r w:rsidRPr="00992C45">
        <w:rPr>
          <w:i/>
          <w:iCs/>
          <w:lang w:val="en-US"/>
        </w:rPr>
        <w:t>The Navigation of Feeling: A Framework for the History of Emotions</w:t>
      </w:r>
      <w:r w:rsidRPr="00992C45">
        <w:rPr>
          <w:lang w:val="en-US"/>
        </w:rPr>
        <w:t xml:space="preserve">, (Cambridge, 2001)’, </w:t>
      </w:r>
      <w:r w:rsidRPr="00992C45">
        <w:rPr>
          <w:i/>
          <w:iCs/>
          <w:lang w:val="en-US"/>
        </w:rPr>
        <w:t xml:space="preserve">American Historical Review, </w:t>
      </w:r>
      <w:r w:rsidRPr="00992C45">
        <w:rPr>
          <w:lang w:val="en-US"/>
        </w:rPr>
        <w:t>Vol. 107, No. 4, (2002), pp.1181-1182</w:t>
      </w:r>
      <w:r w:rsidRPr="00992C45">
        <w:t> </w:t>
      </w:r>
    </w:p>
    <w:p w14:paraId="2D62C24A" w14:textId="77777777" w:rsidR="00992C45" w:rsidRPr="00992C45" w:rsidRDefault="00992C45" w:rsidP="0028398D">
      <w:pPr>
        <w:spacing w:after="240" w:line="240" w:lineRule="auto"/>
        <w:jc w:val="both"/>
      </w:pPr>
      <w:r w:rsidRPr="00992C45">
        <w:rPr>
          <w:lang w:val="en-US"/>
        </w:rPr>
        <w:lastRenderedPageBreak/>
        <w:t xml:space="preserve">Rosenwein, Barbara, </w:t>
      </w:r>
      <w:r w:rsidRPr="00992C45">
        <w:rPr>
          <w:i/>
          <w:iCs/>
          <w:lang w:val="en-US"/>
        </w:rPr>
        <w:t xml:space="preserve">Emotional Communities in the Early Middle Ages, </w:t>
      </w:r>
      <w:r w:rsidRPr="00992C45">
        <w:rPr>
          <w:lang w:val="en-US"/>
        </w:rPr>
        <w:t>(Ithaca, 2006)</w:t>
      </w:r>
      <w:r w:rsidRPr="00992C45">
        <w:t> </w:t>
      </w:r>
    </w:p>
    <w:p w14:paraId="40C46AF2" w14:textId="77777777" w:rsidR="00992C45" w:rsidRPr="00992C45" w:rsidRDefault="00992C45" w:rsidP="0028398D">
      <w:pPr>
        <w:spacing w:after="240" w:line="240" w:lineRule="auto"/>
        <w:jc w:val="both"/>
      </w:pPr>
      <w:proofErr w:type="spellStart"/>
      <w:r w:rsidRPr="00992C45">
        <w:rPr>
          <w:lang w:val="fr-FR"/>
        </w:rPr>
        <w:t>Rosselin</w:t>
      </w:r>
      <w:proofErr w:type="spellEnd"/>
      <w:r w:rsidRPr="00992C45">
        <w:rPr>
          <w:lang w:val="fr-FR"/>
        </w:rPr>
        <w:t xml:space="preserve">, Céline ‘The ins and </w:t>
      </w:r>
      <w:proofErr w:type="spellStart"/>
      <w:r w:rsidRPr="00992C45">
        <w:rPr>
          <w:lang w:val="fr-FR"/>
        </w:rPr>
        <w:t>outs</w:t>
      </w:r>
      <w:proofErr w:type="spellEnd"/>
      <w:r w:rsidRPr="00992C45">
        <w:rPr>
          <w:lang w:val="fr-FR"/>
        </w:rPr>
        <w:t xml:space="preserve"> of the </w:t>
      </w:r>
      <w:proofErr w:type="gramStart"/>
      <w:r w:rsidRPr="00992C45">
        <w:rPr>
          <w:lang w:val="fr-FR"/>
        </w:rPr>
        <w:t>hall:</w:t>
      </w:r>
      <w:proofErr w:type="gramEnd"/>
      <w:r w:rsidRPr="00992C45">
        <w:rPr>
          <w:lang w:val="fr-FR"/>
        </w:rPr>
        <w:t xml:space="preserve"> </w:t>
      </w:r>
      <w:proofErr w:type="spellStart"/>
      <w:r w:rsidRPr="00992C45">
        <w:rPr>
          <w:lang w:val="fr-FR"/>
        </w:rPr>
        <w:t>a</w:t>
      </w:r>
      <w:proofErr w:type="spellEnd"/>
      <w:r w:rsidRPr="00992C45">
        <w:rPr>
          <w:lang w:val="fr-FR"/>
        </w:rPr>
        <w:t xml:space="preserve"> </w:t>
      </w:r>
      <w:proofErr w:type="spellStart"/>
      <w:r w:rsidRPr="00992C45">
        <w:rPr>
          <w:lang w:val="fr-FR"/>
        </w:rPr>
        <w:t>Parisian</w:t>
      </w:r>
      <w:proofErr w:type="spellEnd"/>
      <w:r w:rsidRPr="00992C45">
        <w:rPr>
          <w:lang w:val="fr-FR"/>
        </w:rPr>
        <w:t xml:space="preserve"> </w:t>
      </w:r>
      <w:proofErr w:type="spellStart"/>
      <w:r w:rsidRPr="00992C45">
        <w:rPr>
          <w:lang w:val="fr-FR"/>
        </w:rPr>
        <w:t>example</w:t>
      </w:r>
      <w:proofErr w:type="spellEnd"/>
      <w:r w:rsidRPr="00992C45">
        <w:rPr>
          <w:lang w:val="fr-FR"/>
        </w:rPr>
        <w:t xml:space="preserve">’, in Irene </w:t>
      </w:r>
      <w:proofErr w:type="spellStart"/>
      <w:r w:rsidRPr="00992C45">
        <w:rPr>
          <w:lang w:val="fr-FR"/>
        </w:rPr>
        <w:t>Cieraad</w:t>
      </w:r>
      <w:proofErr w:type="spellEnd"/>
      <w:r w:rsidRPr="00992C45">
        <w:rPr>
          <w:lang w:val="fr-FR"/>
        </w:rPr>
        <w:t xml:space="preserve"> (</w:t>
      </w:r>
      <w:proofErr w:type="spellStart"/>
      <w:r w:rsidRPr="00992C45">
        <w:rPr>
          <w:lang w:val="fr-FR"/>
        </w:rPr>
        <w:t>ed</w:t>
      </w:r>
      <w:proofErr w:type="spellEnd"/>
      <w:r w:rsidRPr="00992C45">
        <w:rPr>
          <w:lang w:val="fr-FR"/>
        </w:rPr>
        <w:t xml:space="preserve">.), </w:t>
      </w:r>
      <w:r w:rsidRPr="00992C45">
        <w:rPr>
          <w:i/>
          <w:iCs/>
          <w:lang w:val="fr-FR"/>
        </w:rPr>
        <w:t xml:space="preserve">At </w:t>
      </w:r>
      <w:proofErr w:type="gramStart"/>
      <w:r w:rsidRPr="00992C45">
        <w:rPr>
          <w:i/>
          <w:iCs/>
          <w:lang w:val="fr-FR"/>
        </w:rPr>
        <w:t>Home:</w:t>
      </w:r>
      <w:proofErr w:type="gramEnd"/>
      <w:r w:rsidRPr="00992C45">
        <w:rPr>
          <w:i/>
          <w:iCs/>
          <w:lang w:val="fr-FR"/>
        </w:rPr>
        <w:t xml:space="preserve"> An </w:t>
      </w:r>
      <w:proofErr w:type="spellStart"/>
      <w:r w:rsidRPr="00992C45">
        <w:rPr>
          <w:i/>
          <w:iCs/>
          <w:lang w:val="fr-FR"/>
        </w:rPr>
        <w:t>Anthropology</w:t>
      </w:r>
      <w:proofErr w:type="spellEnd"/>
      <w:r w:rsidRPr="00992C45">
        <w:rPr>
          <w:i/>
          <w:iCs/>
          <w:lang w:val="fr-FR"/>
        </w:rPr>
        <w:t xml:space="preserve"> of Domestic </w:t>
      </w:r>
      <w:proofErr w:type="spellStart"/>
      <w:r w:rsidRPr="00992C45">
        <w:rPr>
          <w:i/>
          <w:iCs/>
          <w:lang w:val="fr-FR"/>
        </w:rPr>
        <w:t>Space</w:t>
      </w:r>
      <w:proofErr w:type="spellEnd"/>
      <w:r w:rsidRPr="00992C45">
        <w:rPr>
          <w:lang w:val="fr-FR"/>
        </w:rPr>
        <w:t>, (Syracuse, 1999), pp.53-59</w:t>
      </w:r>
      <w:r w:rsidRPr="00992C45">
        <w:t> </w:t>
      </w:r>
    </w:p>
    <w:p w14:paraId="4A47AC7E" w14:textId="77777777" w:rsidR="00992C45" w:rsidRPr="00992C45" w:rsidRDefault="00992C45" w:rsidP="0028398D">
      <w:pPr>
        <w:spacing w:after="240" w:line="240" w:lineRule="auto"/>
        <w:jc w:val="both"/>
      </w:pPr>
      <w:r w:rsidRPr="00992C45">
        <w:rPr>
          <w:lang w:val="en-US"/>
        </w:rPr>
        <w:t xml:space="preserve">Rosselin, Céline, ‘The ins and outs of the hall: a Parisian example’, in Irene </w:t>
      </w:r>
      <w:proofErr w:type="spellStart"/>
      <w:r w:rsidRPr="00992C45">
        <w:rPr>
          <w:lang w:val="en-US"/>
        </w:rPr>
        <w:t>Cieraad</w:t>
      </w:r>
      <w:proofErr w:type="spellEnd"/>
      <w:r w:rsidRPr="00992C45">
        <w:rPr>
          <w:lang w:val="en-US"/>
        </w:rPr>
        <w:t xml:space="preserve"> (ed.), </w:t>
      </w:r>
      <w:r w:rsidRPr="00992C45">
        <w:rPr>
          <w:i/>
          <w:iCs/>
          <w:lang w:val="en-US"/>
        </w:rPr>
        <w:t xml:space="preserve">At Home: An Anthropology of Domestic Space, </w:t>
      </w:r>
      <w:r w:rsidRPr="00992C45">
        <w:rPr>
          <w:lang w:val="en-US"/>
        </w:rPr>
        <w:t>(Syracuse, 1999), pp.53-59</w:t>
      </w:r>
      <w:r w:rsidRPr="00992C45">
        <w:t> </w:t>
      </w:r>
    </w:p>
    <w:p w14:paraId="3AB12ACD" w14:textId="77777777" w:rsidR="00992C45" w:rsidRPr="00992C45" w:rsidRDefault="00992C45" w:rsidP="0028398D">
      <w:pPr>
        <w:spacing w:after="240" w:line="240" w:lineRule="auto"/>
        <w:jc w:val="both"/>
      </w:pPr>
      <w:r w:rsidRPr="00992C45">
        <w:rPr>
          <w:lang w:val="en-US"/>
        </w:rPr>
        <w:t xml:space="preserve">Ruggles-Brise, Sheelah, </w:t>
      </w:r>
      <w:r w:rsidRPr="00992C45">
        <w:rPr>
          <w:i/>
          <w:iCs/>
          <w:lang w:val="en-US"/>
        </w:rPr>
        <w:t xml:space="preserve">Sealed Bottles, </w:t>
      </w:r>
      <w:r w:rsidRPr="00992C45">
        <w:rPr>
          <w:lang w:val="en-US"/>
        </w:rPr>
        <w:t>(London, 1949)</w:t>
      </w:r>
      <w:r w:rsidRPr="00992C45">
        <w:t> </w:t>
      </w:r>
    </w:p>
    <w:p w14:paraId="39C3C9D3" w14:textId="77777777" w:rsidR="00992C45" w:rsidRPr="00992C45" w:rsidRDefault="00992C45" w:rsidP="0028398D">
      <w:pPr>
        <w:spacing w:after="240" w:line="240" w:lineRule="auto"/>
        <w:jc w:val="both"/>
      </w:pPr>
      <w:r w:rsidRPr="00992C45">
        <w:rPr>
          <w:lang w:val="en-US"/>
        </w:rPr>
        <w:t xml:space="preserve">Rushton, Peter, ‘Property, power and family networks: the problem of disputed marriage in early modern England’, </w:t>
      </w:r>
      <w:r w:rsidRPr="00992C45">
        <w:rPr>
          <w:i/>
          <w:iCs/>
          <w:lang w:val="en-US"/>
        </w:rPr>
        <w:t xml:space="preserve">Journal of Family History, </w:t>
      </w:r>
      <w:r w:rsidRPr="00992C45">
        <w:rPr>
          <w:lang w:val="en-US"/>
        </w:rPr>
        <w:t>Vol. 11, No. 3, (1986), pp.205-219</w:t>
      </w:r>
      <w:r w:rsidRPr="00992C45">
        <w:t> </w:t>
      </w:r>
    </w:p>
    <w:p w14:paraId="272264D8" w14:textId="77777777" w:rsidR="00992C45" w:rsidRPr="00992C45" w:rsidRDefault="00992C45" w:rsidP="0028398D">
      <w:pPr>
        <w:spacing w:after="240" w:line="240" w:lineRule="auto"/>
        <w:jc w:val="both"/>
      </w:pPr>
      <w:r w:rsidRPr="00992C45">
        <w:rPr>
          <w:lang w:val="en-US"/>
        </w:rPr>
        <w:t xml:space="preserve">Ryan, Pat, ‘The buildings of rural Ingatestone, Essex 1556-1601: ‘Great Rebuilding’ or ‘Housing Revolution’?’, </w:t>
      </w:r>
      <w:r w:rsidRPr="00992C45">
        <w:rPr>
          <w:i/>
          <w:iCs/>
          <w:lang w:val="en-US"/>
        </w:rPr>
        <w:t xml:space="preserve">Vernacular Architecture, </w:t>
      </w:r>
      <w:r w:rsidRPr="00992C45">
        <w:rPr>
          <w:lang w:val="en-US"/>
        </w:rPr>
        <w:t>Vol. 31, No. 1, (2000), pp.11-25</w:t>
      </w:r>
      <w:r w:rsidRPr="00992C45">
        <w:t> </w:t>
      </w:r>
    </w:p>
    <w:p w14:paraId="6D8366FE" w14:textId="77777777" w:rsidR="00992C45" w:rsidRPr="00992C45" w:rsidRDefault="00992C45" w:rsidP="0028398D">
      <w:pPr>
        <w:spacing w:after="240" w:line="240" w:lineRule="auto"/>
        <w:jc w:val="both"/>
      </w:pPr>
      <w:proofErr w:type="spellStart"/>
      <w:r w:rsidRPr="00992C45">
        <w:rPr>
          <w:lang w:val="en-US"/>
        </w:rPr>
        <w:t>Satris</w:t>
      </w:r>
      <w:proofErr w:type="spellEnd"/>
      <w:r w:rsidRPr="00992C45">
        <w:rPr>
          <w:lang w:val="en-US"/>
        </w:rPr>
        <w:t xml:space="preserve">, </w:t>
      </w:r>
      <w:proofErr w:type="gramStart"/>
      <w:r w:rsidRPr="00992C45">
        <w:rPr>
          <w:lang w:val="en-US"/>
        </w:rPr>
        <w:t>Stephen, ‘</w:t>
      </w:r>
      <w:proofErr w:type="gramEnd"/>
      <w:r w:rsidRPr="00992C45">
        <w:rPr>
          <w:lang w:val="en-US"/>
        </w:rPr>
        <w:t xml:space="preserve">Review: Theodore Schatzki, </w:t>
      </w:r>
      <w:r w:rsidRPr="00992C45">
        <w:rPr>
          <w:i/>
          <w:iCs/>
          <w:lang w:val="en-US"/>
        </w:rPr>
        <w:t xml:space="preserve">Social Practices: A </w:t>
      </w:r>
      <w:proofErr w:type="spellStart"/>
      <w:r w:rsidRPr="00992C45">
        <w:rPr>
          <w:i/>
          <w:iCs/>
          <w:lang w:val="en-US"/>
        </w:rPr>
        <w:t>Wittgensteinian</w:t>
      </w:r>
      <w:proofErr w:type="spellEnd"/>
      <w:r w:rsidRPr="00992C45">
        <w:rPr>
          <w:i/>
          <w:iCs/>
          <w:lang w:val="en-US"/>
        </w:rPr>
        <w:t xml:space="preserve"> Approach to Human Activity and the Social, </w:t>
      </w:r>
      <w:r w:rsidRPr="00992C45">
        <w:rPr>
          <w:lang w:val="en-US"/>
        </w:rPr>
        <w:t xml:space="preserve">(Cambridge, 1996)’, </w:t>
      </w:r>
      <w:r w:rsidRPr="00992C45">
        <w:rPr>
          <w:i/>
          <w:iCs/>
          <w:lang w:val="en-US"/>
        </w:rPr>
        <w:t xml:space="preserve">The Review of Metaphysics, </w:t>
      </w:r>
      <w:r w:rsidRPr="00992C45">
        <w:rPr>
          <w:lang w:val="en-US"/>
        </w:rPr>
        <w:t>Vol. 52, No. 1, (1998), pp.174-175</w:t>
      </w:r>
      <w:r w:rsidRPr="00992C45">
        <w:t> </w:t>
      </w:r>
    </w:p>
    <w:p w14:paraId="651304C6" w14:textId="77777777" w:rsidR="00992C45" w:rsidRPr="00992C45" w:rsidRDefault="00992C45" w:rsidP="0028398D">
      <w:pPr>
        <w:spacing w:after="240" w:line="240" w:lineRule="auto"/>
        <w:jc w:val="both"/>
      </w:pPr>
      <w:r w:rsidRPr="00992C45">
        <w:rPr>
          <w:lang w:val="fr-FR"/>
        </w:rPr>
        <w:t xml:space="preserve">Saul, Nigel, </w:t>
      </w:r>
      <w:r w:rsidRPr="00992C45">
        <w:rPr>
          <w:i/>
          <w:iCs/>
          <w:lang w:val="fr-FR"/>
        </w:rPr>
        <w:t xml:space="preserve">English Church Monuments in the Middle Ages, </w:t>
      </w:r>
      <w:r w:rsidRPr="00992C45">
        <w:rPr>
          <w:lang w:val="fr-FR"/>
        </w:rPr>
        <w:t>(Oxford, 2009)</w:t>
      </w:r>
      <w:r w:rsidRPr="00992C45">
        <w:t> </w:t>
      </w:r>
    </w:p>
    <w:p w14:paraId="25AB0C5A" w14:textId="77777777" w:rsidR="00992C45" w:rsidRPr="00992C45" w:rsidRDefault="00992C45" w:rsidP="0028398D">
      <w:pPr>
        <w:spacing w:after="240" w:line="240" w:lineRule="auto"/>
        <w:jc w:val="both"/>
      </w:pPr>
      <w:r w:rsidRPr="00992C45">
        <w:rPr>
          <w:lang w:val="en-US"/>
        </w:rPr>
        <w:t xml:space="preserve">Scarisbrick, Diana, </w:t>
      </w:r>
      <w:r w:rsidRPr="00992C45">
        <w:rPr>
          <w:i/>
          <w:iCs/>
          <w:lang w:val="en-US"/>
        </w:rPr>
        <w:t>Rings: Jewelry of Power, Love and Loyalty</w:t>
      </w:r>
      <w:r w:rsidRPr="00992C45">
        <w:rPr>
          <w:lang w:val="en-US"/>
        </w:rPr>
        <w:t>, (London, 2007)</w:t>
      </w:r>
      <w:r w:rsidRPr="00992C45">
        <w:t> </w:t>
      </w:r>
    </w:p>
    <w:p w14:paraId="2E05AC2B" w14:textId="77777777" w:rsidR="00992C45" w:rsidRPr="00992C45" w:rsidRDefault="00992C45" w:rsidP="0028398D">
      <w:pPr>
        <w:spacing w:after="240" w:line="240" w:lineRule="auto"/>
        <w:jc w:val="both"/>
      </w:pPr>
      <w:r w:rsidRPr="00992C45">
        <w:rPr>
          <w:lang w:val="en-US"/>
        </w:rPr>
        <w:t>Scarisbrick</w:t>
      </w:r>
      <w:r w:rsidRPr="00992C45">
        <w:rPr>
          <w:i/>
          <w:iCs/>
          <w:lang w:val="en-US"/>
        </w:rPr>
        <w:t xml:space="preserve">, </w:t>
      </w:r>
      <w:r w:rsidRPr="00992C45">
        <w:rPr>
          <w:lang w:val="en-US"/>
        </w:rPr>
        <w:t xml:space="preserve">Diana, </w:t>
      </w:r>
      <w:r w:rsidRPr="00992C45">
        <w:rPr>
          <w:i/>
          <w:iCs/>
          <w:lang w:val="en-US"/>
        </w:rPr>
        <w:t>Rings: Symbols of Wealth, Power and Affection</w:t>
      </w:r>
      <w:r w:rsidRPr="00992C45">
        <w:rPr>
          <w:lang w:val="en-US"/>
        </w:rPr>
        <w:t>, (London, 1993)</w:t>
      </w:r>
      <w:r w:rsidRPr="00992C45">
        <w:t> </w:t>
      </w:r>
    </w:p>
    <w:p w14:paraId="2AAAAE70" w14:textId="77777777" w:rsidR="00992C45" w:rsidRPr="00992C45" w:rsidRDefault="00992C45" w:rsidP="0028398D">
      <w:pPr>
        <w:spacing w:after="240" w:line="240" w:lineRule="auto"/>
        <w:jc w:val="both"/>
      </w:pPr>
      <w:r w:rsidRPr="00992C45">
        <w:rPr>
          <w:lang w:val="en-US"/>
        </w:rPr>
        <w:t xml:space="preserve">Schatzki, </w:t>
      </w:r>
      <w:proofErr w:type="gramStart"/>
      <w:r w:rsidRPr="00992C45">
        <w:rPr>
          <w:lang w:val="en-US"/>
        </w:rPr>
        <w:t>Theodore, ‘</w:t>
      </w:r>
      <w:proofErr w:type="gramEnd"/>
      <w:r w:rsidRPr="00992C45">
        <w:rPr>
          <w:lang w:val="en-US"/>
        </w:rPr>
        <w:t>A primer on practices: theory and research’, in Joy Higgs, Ronald Barnett and Stephen Billett (eds), Practice-Based Education: Perspectives and Strategies, (Rotterdam, 2012), pp.13-26</w:t>
      </w:r>
      <w:r w:rsidRPr="00992C45">
        <w:t> </w:t>
      </w:r>
    </w:p>
    <w:p w14:paraId="70F2B6BB" w14:textId="77777777" w:rsidR="00992C45" w:rsidRPr="00992C45" w:rsidRDefault="00992C45" w:rsidP="0028398D">
      <w:pPr>
        <w:spacing w:after="240" w:line="240" w:lineRule="auto"/>
        <w:jc w:val="both"/>
      </w:pPr>
      <w:r w:rsidRPr="00992C45">
        <w:rPr>
          <w:lang w:val="en-US"/>
        </w:rPr>
        <w:t xml:space="preserve">Schatzki, Theodore, ‘Materiality and social life’, </w:t>
      </w:r>
      <w:r w:rsidRPr="00992C45">
        <w:rPr>
          <w:i/>
          <w:iCs/>
          <w:lang w:val="en-US"/>
        </w:rPr>
        <w:t xml:space="preserve">Nature and Culture, </w:t>
      </w:r>
      <w:r w:rsidRPr="00992C45">
        <w:rPr>
          <w:lang w:val="en-US"/>
        </w:rPr>
        <w:t>Vol. 5, No. 2, (2010), pp.123-149</w:t>
      </w:r>
      <w:r w:rsidRPr="00992C45">
        <w:t> </w:t>
      </w:r>
    </w:p>
    <w:p w14:paraId="2A591F0B" w14:textId="77777777" w:rsidR="00992C45" w:rsidRPr="00992C45" w:rsidRDefault="00992C45" w:rsidP="0028398D">
      <w:pPr>
        <w:spacing w:after="240" w:line="240" w:lineRule="auto"/>
        <w:jc w:val="both"/>
      </w:pPr>
      <w:r w:rsidRPr="00992C45">
        <w:rPr>
          <w:lang w:val="en-US"/>
        </w:rPr>
        <w:t xml:space="preserve">Schatzki, Theodore, </w:t>
      </w:r>
      <w:r w:rsidRPr="00992C45">
        <w:rPr>
          <w:i/>
          <w:iCs/>
          <w:lang w:val="en-US"/>
        </w:rPr>
        <w:t xml:space="preserve">The Site of the Social: A Philosophical Exploration of the Constitution of Social Life and Change, </w:t>
      </w:r>
      <w:r w:rsidRPr="00992C45">
        <w:rPr>
          <w:lang w:val="en-US"/>
        </w:rPr>
        <w:t>(Pennsylvania, 2002)</w:t>
      </w:r>
      <w:r w:rsidRPr="00992C45">
        <w:t> </w:t>
      </w:r>
    </w:p>
    <w:p w14:paraId="3808AD42" w14:textId="77777777" w:rsidR="00992C45" w:rsidRPr="00992C45" w:rsidRDefault="00992C45" w:rsidP="0028398D">
      <w:pPr>
        <w:spacing w:after="240" w:line="240" w:lineRule="auto"/>
        <w:jc w:val="both"/>
      </w:pPr>
      <w:r w:rsidRPr="00992C45">
        <w:rPr>
          <w:lang w:val="en-US"/>
        </w:rPr>
        <w:t xml:space="preserve">Scheer, </w:t>
      </w:r>
      <w:proofErr w:type="gramStart"/>
      <w:r w:rsidRPr="00992C45">
        <w:rPr>
          <w:lang w:val="en-US"/>
        </w:rPr>
        <w:t>Monique, ‘</w:t>
      </w:r>
      <w:proofErr w:type="gramEnd"/>
      <w:r w:rsidRPr="00992C45">
        <w:rPr>
          <w:lang w:val="en-US"/>
        </w:rPr>
        <w:t xml:space="preserve">Are emotions a kind of practice (and is that what makes them have a history)? A </w:t>
      </w:r>
      <w:proofErr w:type="spellStart"/>
      <w:r w:rsidRPr="00992C45">
        <w:rPr>
          <w:lang w:val="en-US"/>
        </w:rPr>
        <w:t>Bourdieuian</w:t>
      </w:r>
      <w:proofErr w:type="spellEnd"/>
      <w:r w:rsidRPr="00992C45">
        <w:rPr>
          <w:lang w:val="en-US"/>
        </w:rPr>
        <w:t xml:space="preserve"> approach to understanding emotion’, </w:t>
      </w:r>
      <w:r w:rsidRPr="00992C45">
        <w:rPr>
          <w:i/>
          <w:iCs/>
          <w:lang w:val="en-US"/>
        </w:rPr>
        <w:t xml:space="preserve">History and Theory, </w:t>
      </w:r>
      <w:r w:rsidRPr="00992C45">
        <w:rPr>
          <w:lang w:val="en-US"/>
        </w:rPr>
        <w:t>Vol. 52, No. 2, (2012), pp.193-220</w:t>
      </w:r>
      <w:r w:rsidRPr="00992C45">
        <w:t> </w:t>
      </w:r>
    </w:p>
    <w:p w14:paraId="3FEB82A9" w14:textId="77777777" w:rsidR="00992C45" w:rsidRPr="00992C45" w:rsidRDefault="00992C45" w:rsidP="0028398D">
      <w:pPr>
        <w:spacing w:after="240" w:line="240" w:lineRule="auto"/>
        <w:jc w:val="both"/>
      </w:pPr>
      <w:r w:rsidRPr="00992C45">
        <w:rPr>
          <w:lang w:val="en-US"/>
        </w:rPr>
        <w:t xml:space="preserve">Schlueter, </w:t>
      </w:r>
      <w:proofErr w:type="gramStart"/>
      <w:r w:rsidRPr="00992C45">
        <w:rPr>
          <w:lang w:val="en-US"/>
        </w:rPr>
        <w:t>June, ‘</w:t>
      </w:r>
      <w:proofErr w:type="gramEnd"/>
      <w:r w:rsidRPr="00992C45">
        <w:rPr>
          <w:lang w:val="en-US"/>
        </w:rPr>
        <w:t xml:space="preserve">Drawing in a theatre: Peacham, de Witt, and the table-book’, </w:t>
      </w:r>
      <w:r w:rsidRPr="00992C45">
        <w:rPr>
          <w:i/>
          <w:iCs/>
          <w:lang w:val="en-US"/>
        </w:rPr>
        <w:t xml:space="preserve">Theatre Notebook, </w:t>
      </w:r>
      <w:r w:rsidRPr="00992C45">
        <w:rPr>
          <w:lang w:val="en-US"/>
        </w:rPr>
        <w:t>Vol. 68, No. 2, (2014), pp.69-86</w:t>
      </w:r>
      <w:r w:rsidRPr="00992C45">
        <w:t> </w:t>
      </w:r>
    </w:p>
    <w:p w14:paraId="49006463" w14:textId="77777777" w:rsidR="00992C45" w:rsidRPr="00992C45" w:rsidRDefault="00992C45" w:rsidP="0028398D">
      <w:pPr>
        <w:spacing w:after="240" w:line="240" w:lineRule="auto"/>
        <w:jc w:val="both"/>
      </w:pPr>
      <w:proofErr w:type="spellStart"/>
      <w:r w:rsidRPr="00992C45">
        <w:rPr>
          <w:lang w:val="fr-FR"/>
        </w:rPr>
        <w:t>Schofield</w:t>
      </w:r>
      <w:proofErr w:type="spellEnd"/>
      <w:r w:rsidRPr="00992C45">
        <w:rPr>
          <w:lang w:val="fr-FR"/>
        </w:rPr>
        <w:t xml:space="preserve">, Roger, ‘Dimensions of </w:t>
      </w:r>
      <w:proofErr w:type="spellStart"/>
      <w:r w:rsidRPr="00992C45">
        <w:rPr>
          <w:lang w:val="fr-FR"/>
        </w:rPr>
        <w:t>illiteracy</w:t>
      </w:r>
      <w:proofErr w:type="spellEnd"/>
      <w:r w:rsidRPr="00992C45">
        <w:rPr>
          <w:lang w:val="fr-FR"/>
        </w:rPr>
        <w:t xml:space="preserve">, 1750-1850’, </w:t>
      </w:r>
      <w:r w:rsidRPr="00992C45">
        <w:rPr>
          <w:i/>
          <w:iCs/>
          <w:lang w:val="fr-FR"/>
        </w:rPr>
        <w:t xml:space="preserve">Explorations in </w:t>
      </w:r>
      <w:proofErr w:type="spellStart"/>
      <w:r w:rsidRPr="00992C45">
        <w:rPr>
          <w:i/>
          <w:iCs/>
          <w:lang w:val="fr-FR"/>
        </w:rPr>
        <w:t>Economic</w:t>
      </w:r>
      <w:proofErr w:type="spellEnd"/>
      <w:r w:rsidRPr="00992C45">
        <w:rPr>
          <w:i/>
          <w:iCs/>
          <w:lang w:val="fr-FR"/>
        </w:rPr>
        <w:t xml:space="preserve"> </w:t>
      </w:r>
      <w:proofErr w:type="spellStart"/>
      <w:r w:rsidRPr="00992C45">
        <w:rPr>
          <w:i/>
          <w:iCs/>
          <w:lang w:val="fr-FR"/>
        </w:rPr>
        <w:t>History</w:t>
      </w:r>
      <w:proofErr w:type="spellEnd"/>
      <w:r w:rsidRPr="00992C45">
        <w:rPr>
          <w:i/>
          <w:iCs/>
          <w:lang w:val="fr-FR"/>
        </w:rPr>
        <w:t xml:space="preserve">, </w:t>
      </w:r>
      <w:r w:rsidRPr="00992C45">
        <w:rPr>
          <w:lang w:val="fr-FR"/>
        </w:rPr>
        <w:t>Vol. 10, No. 4, (1973), pp.437-454</w:t>
      </w:r>
      <w:r w:rsidRPr="00992C45">
        <w:t> </w:t>
      </w:r>
    </w:p>
    <w:p w14:paraId="2F17FF62" w14:textId="77777777" w:rsidR="00992C45" w:rsidRPr="00992C45" w:rsidRDefault="00992C45" w:rsidP="0028398D">
      <w:pPr>
        <w:spacing w:after="240" w:line="240" w:lineRule="auto"/>
        <w:jc w:val="both"/>
      </w:pPr>
      <w:proofErr w:type="spellStart"/>
      <w:r w:rsidRPr="00992C45">
        <w:rPr>
          <w:lang w:val="fr-FR"/>
        </w:rPr>
        <w:t>Schwyzer</w:t>
      </w:r>
      <w:proofErr w:type="spellEnd"/>
      <w:r w:rsidRPr="00992C45">
        <w:rPr>
          <w:lang w:val="fr-FR"/>
        </w:rPr>
        <w:t xml:space="preserve">, Philip, ‘“A </w:t>
      </w:r>
      <w:proofErr w:type="spellStart"/>
      <w:r w:rsidRPr="00992C45">
        <w:rPr>
          <w:lang w:val="fr-FR"/>
        </w:rPr>
        <w:t>tomb</w:t>
      </w:r>
      <w:proofErr w:type="spellEnd"/>
      <w:r w:rsidRPr="00992C45">
        <w:rPr>
          <w:lang w:val="fr-FR"/>
        </w:rPr>
        <w:t xml:space="preserve"> once </w:t>
      </w:r>
      <w:proofErr w:type="spellStart"/>
      <w:r w:rsidRPr="00992C45">
        <w:rPr>
          <w:lang w:val="fr-FR"/>
        </w:rPr>
        <w:t>stood</w:t>
      </w:r>
      <w:proofErr w:type="spellEnd"/>
      <w:r w:rsidRPr="00992C45">
        <w:rPr>
          <w:lang w:val="fr-FR"/>
        </w:rPr>
        <w:t xml:space="preserve"> in </w:t>
      </w:r>
      <w:proofErr w:type="spellStart"/>
      <w:r w:rsidRPr="00992C45">
        <w:rPr>
          <w:lang w:val="fr-FR"/>
        </w:rPr>
        <w:t>this</w:t>
      </w:r>
      <w:proofErr w:type="spellEnd"/>
      <w:r w:rsidRPr="00992C45">
        <w:rPr>
          <w:lang w:val="fr-FR"/>
        </w:rPr>
        <w:t xml:space="preserve"> room</w:t>
      </w:r>
      <w:proofErr w:type="gramStart"/>
      <w:r w:rsidRPr="00992C45">
        <w:rPr>
          <w:lang w:val="fr-FR"/>
        </w:rPr>
        <w:t>”:</w:t>
      </w:r>
      <w:proofErr w:type="gramEnd"/>
      <w:r w:rsidRPr="00992C45">
        <w:rPr>
          <w:lang w:val="fr-FR"/>
        </w:rPr>
        <w:t xml:space="preserve"> </w:t>
      </w:r>
      <w:proofErr w:type="spellStart"/>
      <w:r w:rsidRPr="00992C45">
        <w:rPr>
          <w:lang w:val="fr-FR"/>
        </w:rPr>
        <w:t>memorials</w:t>
      </w:r>
      <w:proofErr w:type="spellEnd"/>
      <w:r w:rsidRPr="00992C45">
        <w:rPr>
          <w:lang w:val="fr-FR"/>
        </w:rPr>
        <w:t xml:space="preserve"> to </w:t>
      </w:r>
      <w:proofErr w:type="spellStart"/>
      <w:r w:rsidRPr="00992C45">
        <w:rPr>
          <w:lang w:val="fr-FR"/>
        </w:rPr>
        <w:t>memorials</w:t>
      </w:r>
      <w:proofErr w:type="spellEnd"/>
      <w:r w:rsidRPr="00992C45">
        <w:rPr>
          <w:lang w:val="fr-FR"/>
        </w:rPr>
        <w:t xml:space="preserve"> in </w:t>
      </w:r>
      <w:proofErr w:type="spellStart"/>
      <w:r w:rsidRPr="00992C45">
        <w:rPr>
          <w:lang w:val="fr-FR"/>
        </w:rPr>
        <w:t>early</w:t>
      </w:r>
      <w:proofErr w:type="spellEnd"/>
      <w:r w:rsidRPr="00992C45">
        <w:rPr>
          <w:lang w:val="fr-FR"/>
        </w:rPr>
        <w:t xml:space="preserve"> modern </w:t>
      </w:r>
      <w:proofErr w:type="spellStart"/>
      <w:r w:rsidRPr="00992C45">
        <w:rPr>
          <w:lang w:val="fr-FR"/>
        </w:rPr>
        <w:t>England</w:t>
      </w:r>
      <w:proofErr w:type="spellEnd"/>
      <w:r w:rsidRPr="00992C45">
        <w:rPr>
          <w:lang w:val="fr-FR"/>
        </w:rPr>
        <w:t xml:space="preserve">’, </w:t>
      </w:r>
      <w:r w:rsidRPr="00992C45">
        <w:rPr>
          <w:i/>
          <w:iCs/>
          <w:lang w:val="fr-FR"/>
        </w:rPr>
        <w:t xml:space="preserve">Journal of </w:t>
      </w:r>
      <w:proofErr w:type="spellStart"/>
      <w:r w:rsidRPr="00992C45">
        <w:rPr>
          <w:i/>
          <w:iCs/>
          <w:lang w:val="fr-FR"/>
        </w:rPr>
        <w:t>Medieval</w:t>
      </w:r>
      <w:proofErr w:type="spellEnd"/>
      <w:r w:rsidRPr="00992C45">
        <w:rPr>
          <w:i/>
          <w:iCs/>
          <w:lang w:val="fr-FR"/>
        </w:rPr>
        <w:t xml:space="preserve"> and </w:t>
      </w:r>
      <w:proofErr w:type="spellStart"/>
      <w:r w:rsidRPr="00992C45">
        <w:rPr>
          <w:i/>
          <w:iCs/>
          <w:lang w:val="fr-FR"/>
        </w:rPr>
        <w:t>Early</w:t>
      </w:r>
      <w:proofErr w:type="spellEnd"/>
      <w:r w:rsidRPr="00992C45">
        <w:rPr>
          <w:i/>
          <w:iCs/>
          <w:lang w:val="fr-FR"/>
        </w:rPr>
        <w:t xml:space="preserve"> Modern </w:t>
      </w:r>
      <w:proofErr w:type="spellStart"/>
      <w:r w:rsidRPr="00992C45">
        <w:rPr>
          <w:i/>
          <w:iCs/>
          <w:lang w:val="fr-FR"/>
        </w:rPr>
        <w:t>Studies</w:t>
      </w:r>
      <w:proofErr w:type="spellEnd"/>
      <w:r w:rsidRPr="00992C45">
        <w:rPr>
          <w:lang w:val="fr-FR"/>
        </w:rPr>
        <w:t>, Vol. 48, No. 2, (2018), pp.365-385</w:t>
      </w:r>
      <w:r w:rsidRPr="00992C45">
        <w:t> </w:t>
      </w:r>
    </w:p>
    <w:p w14:paraId="46AD2F23" w14:textId="77777777" w:rsidR="00992C45" w:rsidRPr="00992C45" w:rsidRDefault="00992C45" w:rsidP="0028398D">
      <w:pPr>
        <w:spacing w:after="240" w:line="240" w:lineRule="auto"/>
        <w:jc w:val="both"/>
      </w:pPr>
      <w:r w:rsidRPr="00992C45">
        <w:rPr>
          <w:lang w:val="en-US"/>
        </w:rPr>
        <w:lastRenderedPageBreak/>
        <w:t>Seznec, Jean,</w:t>
      </w:r>
      <w:r w:rsidRPr="00992C45">
        <w:rPr>
          <w:i/>
          <w:iCs/>
          <w:lang w:val="en-US"/>
        </w:rPr>
        <w:t xml:space="preserve"> The Survival of the Pagan Gods: The Mythological Tradition and Its Place in Renaissance Humanism and Art</w:t>
      </w:r>
      <w:r w:rsidRPr="00992C45">
        <w:rPr>
          <w:lang w:val="en-US"/>
        </w:rPr>
        <w:t>, (Princeton, 1972)</w:t>
      </w:r>
      <w:r w:rsidRPr="00992C45">
        <w:t> </w:t>
      </w:r>
    </w:p>
    <w:p w14:paraId="7CF63810" w14:textId="77777777" w:rsidR="00992C45" w:rsidRPr="00992C45" w:rsidRDefault="00992C45" w:rsidP="0028398D">
      <w:pPr>
        <w:spacing w:after="240" w:line="240" w:lineRule="auto"/>
        <w:jc w:val="both"/>
      </w:pPr>
      <w:r w:rsidRPr="00992C45">
        <w:rPr>
          <w:lang w:val="fr-FR"/>
        </w:rPr>
        <w:t xml:space="preserve">Sherlock, Peter, </w:t>
      </w:r>
      <w:r w:rsidRPr="00992C45">
        <w:rPr>
          <w:i/>
          <w:iCs/>
          <w:lang w:val="fr-FR"/>
        </w:rPr>
        <w:t xml:space="preserve">Monuments and Memory in </w:t>
      </w:r>
      <w:proofErr w:type="spellStart"/>
      <w:r w:rsidRPr="00992C45">
        <w:rPr>
          <w:i/>
          <w:iCs/>
          <w:lang w:val="fr-FR"/>
        </w:rPr>
        <w:t>Early</w:t>
      </w:r>
      <w:proofErr w:type="spellEnd"/>
      <w:r w:rsidRPr="00992C45">
        <w:rPr>
          <w:i/>
          <w:iCs/>
          <w:lang w:val="fr-FR"/>
        </w:rPr>
        <w:t xml:space="preserve"> Modern </w:t>
      </w:r>
      <w:proofErr w:type="spellStart"/>
      <w:r w:rsidRPr="00992C45">
        <w:rPr>
          <w:i/>
          <w:iCs/>
          <w:lang w:val="fr-FR"/>
        </w:rPr>
        <w:t>England</w:t>
      </w:r>
      <w:proofErr w:type="spellEnd"/>
      <w:r w:rsidRPr="00992C45">
        <w:rPr>
          <w:i/>
          <w:iCs/>
          <w:lang w:val="fr-FR"/>
        </w:rPr>
        <w:t xml:space="preserve">, </w:t>
      </w:r>
      <w:r w:rsidRPr="00992C45">
        <w:rPr>
          <w:lang w:val="fr-FR"/>
        </w:rPr>
        <w:t>(</w:t>
      </w:r>
      <w:proofErr w:type="spellStart"/>
      <w:r w:rsidRPr="00992C45">
        <w:rPr>
          <w:lang w:val="fr-FR"/>
        </w:rPr>
        <w:t>Bodmin</w:t>
      </w:r>
      <w:proofErr w:type="spellEnd"/>
      <w:r w:rsidRPr="00992C45">
        <w:rPr>
          <w:lang w:val="fr-FR"/>
        </w:rPr>
        <w:t>, 2008)</w:t>
      </w:r>
      <w:r w:rsidRPr="00992C45">
        <w:t> </w:t>
      </w:r>
    </w:p>
    <w:p w14:paraId="0CD1C2AA" w14:textId="77777777" w:rsidR="00992C45" w:rsidRPr="00992C45" w:rsidRDefault="00992C45" w:rsidP="0028398D">
      <w:pPr>
        <w:spacing w:after="240" w:line="240" w:lineRule="auto"/>
        <w:jc w:val="both"/>
      </w:pPr>
      <w:r w:rsidRPr="00992C45">
        <w:rPr>
          <w:lang w:val="en-US"/>
        </w:rPr>
        <w:t xml:space="preserve">Shove, Elizabeth, Mika </w:t>
      </w:r>
      <w:proofErr w:type="spellStart"/>
      <w:r w:rsidRPr="00992C45">
        <w:rPr>
          <w:lang w:val="en-US"/>
        </w:rPr>
        <w:t>Pantzar</w:t>
      </w:r>
      <w:proofErr w:type="spellEnd"/>
      <w:r w:rsidRPr="00992C45">
        <w:rPr>
          <w:lang w:val="en-US"/>
        </w:rPr>
        <w:t xml:space="preserve"> and Matt Watson, </w:t>
      </w:r>
      <w:r w:rsidRPr="00992C45">
        <w:rPr>
          <w:i/>
          <w:iCs/>
          <w:lang w:val="en-US"/>
        </w:rPr>
        <w:t xml:space="preserve">The Dynamics of Social Practice: Everyday Life and How It Changes, </w:t>
      </w:r>
      <w:r w:rsidRPr="00992C45">
        <w:rPr>
          <w:lang w:val="en-US"/>
        </w:rPr>
        <w:t>(Newbury Park, 2012)</w:t>
      </w:r>
      <w:r w:rsidRPr="00992C45">
        <w:t> </w:t>
      </w:r>
    </w:p>
    <w:p w14:paraId="6625A92E" w14:textId="77777777" w:rsidR="00992C45" w:rsidRPr="00992C45" w:rsidRDefault="00992C45" w:rsidP="0028398D">
      <w:pPr>
        <w:spacing w:after="240" w:line="240" w:lineRule="auto"/>
        <w:jc w:val="both"/>
      </w:pPr>
      <w:proofErr w:type="spellStart"/>
      <w:r w:rsidRPr="00992C45">
        <w:rPr>
          <w:lang w:val="en-US"/>
        </w:rPr>
        <w:t>Skemer</w:t>
      </w:r>
      <w:proofErr w:type="spellEnd"/>
      <w:r w:rsidRPr="00992C45">
        <w:rPr>
          <w:lang w:val="en-US"/>
        </w:rPr>
        <w:t xml:space="preserve">, Don, </w:t>
      </w:r>
      <w:r w:rsidRPr="00992C45">
        <w:rPr>
          <w:i/>
          <w:iCs/>
          <w:lang w:val="en-US"/>
        </w:rPr>
        <w:t>Binding Words:</w:t>
      </w:r>
      <w:r w:rsidRPr="00992C45">
        <w:rPr>
          <w:lang w:val="en-US"/>
        </w:rPr>
        <w:t xml:space="preserve"> </w:t>
      </w:r>
      <w:r w:rsidRPr="00992C45">
        <w:rPr>
          <w:i/>
          <w:iCs/>
          <w:lang w:val="en-US"/>
        </w:rPr>
        <w:t xml:space="preserve">Textual Amulets in the Middle Ages, </w:t>
      </w:r>
      <w:r w:rsidRPr="00992C45">
        <w:rPr>
          <w:lang w:val="en-US"/>
        </w:rPr>
        <w:t>(Pennsylvania, 2006)</w:t>
      </w:r>
      <w:r w:rsidRPr="00992C45">
        <w:t> </w:t>
      </w:r>
    </w:p>
    <w:p w14:paraId="4DD8371B" w14:textId="77777777" w:rsidR="00992C45" w:rsidRPr="00992C45" w:rsidRDefault="00992C45" w:rsidP="0028398D">
      <w:pPr>
        <w:spacing w:after="240" w:line="240" w:lineRule="auto"/>
        <w:jc w:val="both"/>
      </w:pPr>
      <w:r w:rsidRPr="00992C45">
        <w:rPr>
          <w:lang w:val="en-US"/>
        </w:rPr>
        <w:t xml:space="preserve">Smith, </w:t>
      </w:r>
      <w:proofErr w:type="gramStart"/>
      <w:r w:rsidRPr="00992C45">
        <w:rPr>
          <w:lang w:val="en-US"/>
        </w:rPr>
        <w:t>James, ‘</w:t>
      </w:r>
      <w:proofErr w:type="gramEnd"/>
      <w:r w:rsidRPr="00992C45">
        <w:rPr>
          <w:lang w:val="en-US"/>
        </w:rPr>
        <w:t xml:space="preserve">Dated houses in Rothesay’, </w:t>
      </w:r>
      <w:r w:rsidRPr="00992C45">
        <w:rPr>
          <w:i/>
          <w:iCs/>
          <w:lang w:val="en-US"/>
        </w:rPr>
        <w:t xml:space="preserve">Transactions of the </w:t>
      </w:r>
      <w:proofErr w:type="spellStart"/>
      <w:r w:rsidRPr="00992C45">
        <w:rPr>
          <w:i/>
          <w:iCs/>
          <w:lang w:val="en-US"/>
        </w:rPr>
        <w:t>Buteshire</w:t>
      </w:r>
      <w:proofErr w:type="spellEnd"/>
      <w:r w:rsidRPr="00992C45">
        <w:rPr>
          <w:i/>
          <w:iCs/>
          <w:lang w:val="en-US"/>
        </w:rPr>
        <w:t xml:space="preserve"> Natural History Society, </w:t>
      </w:r>
      <w:r w:rsidRPr="00992C45">
        <w:rPr>
          <w:lang w:val="en-US"/>
        </w:rPr>
        <w:t>Vol. 12, (1939), pp.119-127</w:t>
      </w:r>
      <w:r w:rsidRPr="00992C45">
        <w:t> </w:t>
      </w:r>
    </w:p>
    <w:p w14:paraId="7AC6E823" w14:textId="77777777" w:rsidR="00992C45" w:rsidRPr="00992C45" w:rsidRDefault="00992C45" w:rsidP="0028398D">
      <w:pPr>
        <w:spacing w:after="240" w:line="240" w:lineRule="auto"/>
        <w:jc w:val="both"/>
      </w:pPr>
      <w:r w:rsidRPr="00992C45">
        <w:rPr>
          <w:lang w:val="en-US"/>
        </w:rPr>
        <w:t xml:space="preserve">Smith-Bannister, Scott, </w:t>
      </w:r>
      <w:r w:rsidRPr="00992C45">
        <w:rPr>
          <w:i/>
          <w:iCs/>
          <w:lang w:val="en-US"/>
        </w:rPr>
        <w:t>Names and Naming Patterns in England, 1538-</w:t>
      </w:r>
      <w:r w:rsidRPr="00992C45">
        <w:rPr>
          <w:lang w:val="en-US"/>
        </w:rPr>
        <w:t>1700, (Oxford, 1997)</w:t>
      </w:r>
      <w:r w:rsidRPr="00992C45">
        <w:t> </w:t>
      </w:r>
    </w:p>
    <w:p w14:paraId="3BC4850B" w14:textId="77777777" w:rsidR="00992C45" w:rsidRPr="00992C45" w:rsidRDefault="00992C45" w:rsidP="0028398D">
      <w:pPr>
        <w:spacing w:after="240" w:line="240" w:lineRule="auto"/>
        <w:jc w:val="both"/>
      </w:pPr>
      <w:proofErr w:type="spellStart"/>
      <w:r w:rsidRPr="00992C45">
        <w:rPr>
          <w:lang w:val="en-US"/>
        </w:rPr>
        <w:t>Spavold</w:t>
      </w:r>
      <w:proofErr w:type="spellEnd"/>
      <w:r w:rsidRPr="00992C45">
        <w:rPr>
          <w:lang w:val="en-US"/>
        </w:rPr>
        <w:t xml:space="preserve">, Janet and Sue Brown, </w:t>
      </w:r>
      <w:proofErr w:type="spellStart"/>
      <w:r w:rsidRPr="00992C45">
        <w:rPr>
          <w:i/>
          <w:iCs/>
          <w:lang w:val="en-US"/>
        </w:rPr>
        <w:t>Ticknall</w:t>
      </w:r>
      <w:proofErr w:type="spellEnd"/>
      <w:r w:rsidRPr="00992C45">
        <w:rPr>
          <w:i/>
          <w:iCs/>
          <w:lang w:val="en-US"/>
        </w:rPr>
        <w:t xml:space="preserve"> Pots &amp; Potters from the Late Fifteenth Century to 1888, </w:t>
      </w:r>
      <w:r w:rsidRPr="00992C45">
        <w:rPr>
          <w:lang w:val="en-US"/>
        </w:rPr>
        <w:t>(Derbyshire, 2005)</w:t>
      </w:r>
      <w:r w:rsidRPr="00992C45">
        <w:t> </w:t>
      </w:r>
    </w:p>
    <w:p w14:paraId="7D30DA6C" w14:textId="77777777" w:rsidR="00992C45" w:rsidRPr="00992C45" w:rsidRDefault="00992C45" w:rsidP="0028398D">
      <w:pPr>
        <w:spacing w:after="240" w:line="240" w:lineRule="auto"/>
        <w:jc w:val="both"/>
      </w:pPr>
      <w:proofErr w:type="spellStart"/>
      <w:r w:rsidRPr="00992C45">
        <w:rPr>
          <w:lang w:val="fr-FR"/>
        </w:rPr>
        <w:t>Spicksley</w:t>
      </w:r>
      <w:proofErr w:type="spellEnd"/>
      <w:r w:rsidRPr="00992C45">
        <w:rPr>
          <w:lang w:val="fr-FR"/>
        </w:rPr>
        <w:t xml:space="preserve">, Judith, ‘”Fly </w:t>
      </w:r>
      <w:proofErr w:type="spellStart"/>
      <w:r w:rsidRPr="00992C45">
        <w:rPr>
          <w:lang w:val="fr-FR"/>
        </w:rPr>
        <w:t>with</w:t>
      </w:r>
      <w:proofErr w:type="spellEnd"/>
      <w:r w:rsidRPr="00992C45">
        <w:rPr>
          <w:lang w:val="fr-FR"/>
        </w:rPr>
        <w:t xml:space="preserve"> a </w:t>
      </w:r>
      <w:proofErr w:type="spellStart"/>
      <w:r w:rsidRPr="00992C45">
        <w:rPr>
          <w:lang w:val="fr-FR"/>
        </w:rPr>
        <w:t>duck</w:t>
      </w:r>
      <w:proofErr w:type="spellEnd"/>
      <w:r w:rsidRPr="00992C45">
        <w:rPr>
          <w:lang w:val="fr-FR"/>
        </w:rPr>
        <w:t xml:space="preserve"> in </w:t>
      </w:r>
      <w:proofErr w:type="spellStart"/>
      <w:r w:rsidRPr="00992C45">
        <w:rPr>
          <w:lang w:val="fr-FR"/>
        </w:rPr>
        <w:t>thy</w:t>
      </w:r>
      <w:proofErr w:type="spellEnd"/>
      <w:r w:rsidRPr="00992C45">
        <w:rPr>
          <w:lang w:val="fr-FR"/>
        </w:rPr>
        <w:t xml:space="preserve"> </w:t>
      </w:r>
      <w:proofErr w:type="spellStart"/>
      <w:r w:rsidRPr="00992C45">
        <w:rPr>
          <w:lang w:val="fr-FR"/>
        </w:rPr>
        <w:t>mouth</w:t>
      </w:r>
      <w:proofErr w:type="spellEnd"/>
      <w:proofErr w:type="gramStart"/>
      <w:r w:rsidRPr="00992C45">
        <w:rPr>
          <w:lang w:val="fr-FR"/>
        </w:rPr>
        <w:t>”:</w:t>
      </w:r>
      <w:proofErr w:type="gramEnd"/>
      <w:r w:rsidRPr="00992C45">
        <w:rPr>
          <w:lang w:val="fr-FR"/>
        </w:rPr>
        <w:t xml:space="preserve"> single </w:t>
      </w:r>
      <w:proofErr w:type="spellStart"/>
      <w:r w:rsidRPr="00992C45">
        <w:rPr>
          <w:lang w:val="fr-FR"/>
        </w:rPr>
        <w:t>women</w:t>
      </w:r>
      <w:proofErr w:type="spellEnd"/>
      <w:r w:rsidRPr="00992C45">
        <w:rPr>
          <w:lang w:val="fr-FR"/>
        </w:rPr>
        <w:t xml:space="preserve"> as sources of </w:t>
      </w:r>
      <w:proofErr w:type="spellStart"/>
      <w:r w:rsidRPr="00992C45">
        <w:rPr>
          <w:lang w:val="fr-FR"/>
        </w:rPr>
        <w:t>credit</w:t>
      </w:r>
      <w:proofErr w:type="spellEnd"/>
      <w:r w:rsidRPr="00992C45">
        <w:rPr>
          <w:lang w:val="fr-FR"/>
        </w:rPr>
        <w:t xml:space="preserve"> in </w:t>
      </w:r>
      <w:proofErr w:type="spellStart"/>
      <w:r w:rsidRPr="00992C45">
        <w:rPr>
          <w:lang w:val="fr-FR"/>
        </w:rPr>
        <w:t>seventeenth</w:t>
      </w:r>
      <w:proofErr w:type="spellEnd"/>
      <w:r w:rsidRPr="00992C45">
        <w:rPr>
          <w:lang w:val="fr-FR"/>
        </w:rPr>
        <w:t xml:space="preserve">-century </w:t>
      </w:r>
      <w:proofErr w:type="spellStart"/>
      <w:r w:rsidRPr="00992C45">
        <w:rPr>
          <w:lang w:val="fr-FR"/>
        </w:rPr>
        <w:t>England</w:t>
      </w:r>
      <w:proofErr w:type="spellEnd"/>
      <w:r w:rsidRPr="00992C45">
        <w:rPr>
          <w:lang w:val="fr-FR"/>
        </w:rPr>
        <w:t xml:space="preserve">’, </w:t>
      </w:r>
      <w:r w:rsidRPr="00992C45">
        <w:rPr>
          <w:i/>
          <w:iCs/>
          <w:lang w:val="fr-FR"/>
        </w:rPr>
        <w:t xml:space="preserve">Social </w:t>
      </w:r>
      <w:proofErr w:type="spellStart"/>
      <w:r w:rsidRPr="00992C45">
        <w:rPr>
          <w:i/>
          <w:iCs/>
          <w:lang w:val="fr-FR"/>
        </w:rPr>
        <w:t>History</w:t>
      </w:r>
      <w:proofErr w:type="spellEnd"/>
      <w:r w:rsidRPr="00992C45">
        <w:rPr>
          <w:i/>
          <w:iCs/>
          <w:lang w:val="fr-FR"/>
        </w:rPr>
        <w:t xml:space="preserve">, </w:t>
      </w:r>
      <w:r w:rsidRPr="00992C45">
        <w:rPr>
          <w:lang w:val="fr-FR"/>
        </w:rPr>
        <w:t>Vol. 32, No. 2, (2007), pp.187-207</w:t>
      </w:r>
      <w:r w:rsidRPr="00992C45">
        <w:t> </w:t>
      </w:r>
    </w:p>
    <w:p w14:paraId="563862DC" w14:textId="77777777" w:rsidR="00992C45" w:rsidRPr="00992C45" w:rsidRDefault="00992C45" w:rsidP="0028398D">
      <w:pPr>
        <w:spacing w:after="240" w:line="240" w:lineRule="auto"/>
        <w:jc w:val="both"/>
      </w:pPr>
      <w:proofErr w:type="spellStart"/>
      <w:r w:rsidRPr="00992C45">
        <w:rPr>
          <w:lang w:val="fr-FR"/>
        </w:rPr>
        <w:t>Spufford</w:t>
      </w:r>
      <w:proofErr w:type="spellEnd"/>
      <w:r w:rsidRPr="00992C45">
        <w:rPr>
          <w:lang w:val="fr-FR"/>
        </w:rPr>
        <w:t xml:space="preserve">, Margaret, ‘The limitations of the </w:t>
      </w:r>
      <w:proofErr w:type="spellStart"/>
      <w:r w:rsidRPr="00992C45">
        <w:rPr>
          <w:lang w:val="fr-FR"/>
        </w:rPr>
        <w:t>probate</w:t>
      </w:r>
      <w:proofErr w:type="spellEnd"/>
      <w:r w:rsidRPr="00992C45">
        <w:rPr>
          <w:lang w:val="fr-FR"/>
        </w:rPr>
        <w:t xml:space="preserve"> </w:t>
      </w:r>
      <w:proofErr w:type="spellStart"/>
      <w:r w:rsidRPr="00992C45">
        <w:rPr>
          <w:lang w:val="fr-FR"/>
        </w:rPr>
        <w:t>inventory</w:t>
      </w:r>
      <w:proofErr w:type="spellEnd"/>
      <w:r w:rsidRPr="00992C45">
        <w:rPr>
          <w:lang w:val="fr-FR"/>
        </w:rPr>
        <w:t>’ in John Chartres and David Hey (</w:t>
      </w:r>
      <w:proofErr w:type="spellStart"/>
      <w:r w:rsidRPr="00992C45">
        <w:rPr>
          <w:lang w:val="fr-FR"/>
        </w:rPr>
        <w:t>eds</w:t>
      </w:r>
      <w:proofErr w:type="spellEnd"/>
      <w:r w:rsidRPr="00992C45">
        <w:rPr>
          <w:lang w:val="fr-FR"/>
        </w:rPr>
        <w:t xml:space="preserve">), </w:t>
      </w:r>
      <w:r w:rsidRPr="00992C45">
        <w:rPr>
          <w:i/>
          <w:iCs/>
          <w:lang w:val="fr-FR"/>
        </w:rPr>
        <w:t xml:space="preserve">English Rural Society, 1500–1800, </w:t>
      </w:r>
      <w:r w:rsidRPr="00992C45">
        <w:rPr>
          <w:lang w:val="fr-FR"/>
        </w:rPr>
        <w:t>(Cambridge, 1990)</w:t>
      </w:r>
      <w:r w:rsidRPr="00992C45">
        <w:t> </w:t>
      </w:r>
    </w:p>
    <w:p w14:paraId="4C35750D" w14:textId="77777777" w:rsidR="00992C45" w:rsidRPr="00992C45" w:rsidRDefault="00992C45" w:rsidP="0028398D">
      <w:pPr>
        <w:spacing w:after="240" w:line="240" w:lineRule="auto"/>
        <w:jc w:val="both"/>
      </w:pPr>
      <w:proofErr w:type="spellStart"/>
      <w:r w:rsidRPr="00992C45">
        <w:rPr>
          <w:lang w:val="fr-FR"/>
        </w:rPr>
        <w:t>Spufford</w:t>
      </w:r>
      <w:proofErr w:type="spellEnd"/>
      <w:r w:rsidRPr="00992C45">
        <w:rPr>
          <w:lang w:val="fr-FR"/>
        </w:rPr>
        <w:t xml:space="preserve">, Margaret, </w:t>
      </w:r>
      <w:r w:rsidRPr="00992C45">
        <w:rPr>
          <w:i/>
          <w:iCs/>
          <w:lang w:val="fr-FR"/>
        </w:rPr>
        <w:t xml:space="preserve">Small Books and Pleasant </w:t>
      </w:r>
      <w:proofErr w:type="gramStart"/>
      <w:r w:rsidRPr="00992C45">
        <w:rPr>
          <w:i/>
          <w:iCs/>
          <w:lang w:val="fr-FR"/>
        </w:rPr>
        <w:t>Histories:</w:t>
      </w:r>
      <w:proofErr w:type="gramEnd"/>
      <w:r w:rsidRPr="00992C45">
        <w:rPr>
          <w:i/>
          <w:iCs/>
          <w:lang w:val="fr-FR"/>
        </w:rPr>
        <w:t xml:space="preserve"> </w:t>
      </w:r>
      <w:proofErr w:type="spellStart"/>
      <w:r w:rsidRPr="00992C45">
        <w:rPr>
          <w:i/>
          <w:iCs/>
          <w:lang w:val="fr-FR"/>
        </w:rPr>
        <w:t>Popular</w:t>
      </w:r>
      <w:proofErr w:type="spellEnd"/>
      <w:r w:rsidRPr="00992C45">
        <w:rPr>
          <w:i/>
          <w:iCs/>
          <w:lang w:val="fr-FR"/>
        </w:rPr>
        <w:t xml:space="preserve"> Fiction and </w:t>
      </w:r>
      <w:proofErr w:type="spellStart"/>
      <w:r w:rsidRPr="00992C45">
        <w:rPr>
          <w:i/>
          <w:iCs/>
          <w:lang w:val="fr-FR"/>
        </w:rPr>
        <w:t>its</w:t>
      </w:r>
      <w:proofErr w:type="spellEnd"/>
      <w:r w:rsidRPr="00992C45">
        <w:rPr>
          <w:i/>
          <w:iCs/>
          <w:lang w:val="fr-FR"/>
        </w:rPr>
        <w:t xml:space="preserve"> </w:t>
      </w:r>
      <w:proofErr w:type="spellStart"/>
      <w:r w:rsidRPr="00992C45">
        <w:rPr>
          <w:i/>
          <w:iCs/>
          <w:lang w:val="fr-FR"/>
        </w:rPr>
        <w:t>Readership</w:t>
      </w:r>
      <w:proofErr w:type="spellEnd"/>
      <w:r w:rsidRPr="00992C45">
        <w:rPr>
          <w:lang w:val="fr-FR"/>
        </w:rPr>
        <w:t xml:space="preserve"> (Cambridge, 1985)</w:t>
      </w:r>
      <w:r w:rsidRPr="00992C45">
        <w:t> </w:t>
      </w:r>
    </w:p>
    <w:p w14:paraId="39D8597A" w14:textId="77777777" w:rsidR="00992C45" w:rsidRPr="00992C45" w:rsidRDefault="00992C45" w:rsidP="0028398D">
      <w:pPr>
        <w:spacing w:after="240" w:line="240" w:lineRule="auto"/>
        <w:jc w:val="both"/>
      </w:pPr>
      <w:proofErr w:type="spellStart"/>
      <w:r w:rsidRPr="00992C45">
        <w:rPr>
          <w:lang w:val="fr-FR"/>
        </w:rPr>
        <w:t>Spufford</w:t>
      </w:r>
      <w:proofErr w:type="spellEnd"/>
      <w:r w:rsidRPr="00992C45">
        <w:rPr>
          <w:lang w:val="fr-FR"/>
        </w:rPr>
        <w:t>, Peter, ‘Long-</w:t>
      </w:r>
      <w:proofErr w:type="spellStart"/>
      <w:r w:rsidRPr="00992C45">
        <w:rPr>
          <w:lang w:val="fr-FR"/>
        </w:rPr>
        <w:t>term</w:t>
      </w:r>
      <w:proofErr w:type="spellEnd"/>
      <w:r w:rsidRPr="00992C45">
        <w:rPr>
          <w:lang w:val="fr-FR"/>
        </w:rPr>
        <w:t xml:space="preserve"> rural </w:t>
      </w:r>
      <w:proofErr w:type="spellStart"/>
      <w:r w:rsidRPr="00992C45">
        <w:rPr>
          <w:lang w:val="fr-FR"/>
        </w:rPr>
        <w:t>credit</w:t>
      </w:r>
      <w:proofErr w:type="spellEnd"/>
      <w:r w:rsidRPr="00992C45">
        <w:rPr>
          <w:lang w:val="fr-FR"/>
        </w:rPr>
        <w:t xml:space="preserve"> in </w:t>
      </w:r>
      <w:proofErr w:type="spellStart"/>
      <w:r w:rsidRPr="00992C45">
        <w:rPr>
          <w:lang w:val="fr-FR"/>
        </w:rPr>
        <w:t>sixteenth</w:t>
      </w:r>
      <w:proofErr w:type="spellEnd"/>
      <w:r w:rsidRPr="00992C45">
        <w:rPr>
          <w:lang w:val="fr-FR"/>
        </w:rPr>
        <w:t xml:space="preserve">- and </w:t>
      </w:r>
      <w:proofErr w:type="spellStart"/>
      <w:r w:rsidRPr="00992C45">
        <w:rPr>
          <w:lang w:val="fr-FR"/>
        </w:rPr>
        <w:t>seventeenth</w:t>
      </w:r>
      <w:proofErr w:type="spellEnd"/>
      <w:r w:rsidRPr="00992C45">
        <w:rPr>
          <w:lang w:val="fr-FR"/>
        </w:rPr>
        <w:t xml:space="preserve">-century </w:t>
      </w:r>
      <w:proofErr w:type="spellStart"/>
      <w:proofErr w:type="gramStart"/>
      <w:r w:rsidRPr="00992C45">
        <w:rPr>
          <w:lang w:val="fr-FR"/>
        </w:rPr>
        <w:t>England</w:t>
      </w:r>
      <w:proofErr w:type="spellEnd"/>
      <w:r w:rsidRPr="00992C45">
        <w:rPr>
          <w:lang w:val="fr-FR"/>
        </w:rPr>
        <w:t>:</w:t>
      </w:r>
      <w:proofErr w:type="gramEnd"/>
      <w:r w:rsidRPr="00992C45">
        <w:rPr>
          <w:lang w:val="fr-FR"/>
        </w:rPr>
        <w:t xml:space="preserve"> the </w:t>
      </w:r>
      <w:proofErr w:type="spellStart"/>
      <w:r w:rsidRPr="00992C45">
        <w:rPr>
          <w:lang w:val="fr-FR"/>
        </w:rPr>
        <w:t>evidence</w:t>
      </w:r>
      <w:proofErr w:type="spellEnd"/>
      <w:r w:rsidRPr="00992C45">
        <w:rPr>
          <w:lang w:val="fr-FR"/>
        </w:rPr>
        <w:t xml:space="preserve"> of </w:t>
      </w:r>
      <w:proofErr w:type="spellStart"/>
      <w:r w:rsidRPr="00992C45">
        <w:rPr>
          <w:lang w:val="fr-FR"/>
        </w:rPr>
        <w:t>probate</w:t>
      </w:r>
      <w:proofErr w:type="spellEnd"/>
      <w:r w:rsidRPr="00992C45">
        <w:rPr>
          <w:lang w:val="fr-FR"/>
        </w:rPr>
        <w:t xml:space="preserve"> </w:t>
      </w:r>
      <w:proofErr w:type="spellStart"/>
      <w:r w:rsidRPr="00992C45">
        <w:rPr>
          <w:lang w:val="fr-FR"/>
        </w:rPr>
        <w:t>accounts</w:t>
      </w:r>
      <w:proofErr w:type="spellEnd"/>
      <w:r w:rsidRPr="00992C45">
        <w:rPr>
          <w:lang w:val="fr-FR"/>
        </w:rPr>
        <w:t xml:space="preserve">’ in Tom </w:t>
      </w:r>
      <w:proofErr w:type="spellStart"/>
      <w:r w:rsidRPr="00992C45">
        <w:rPr>
          <w:lang w:val="fr-FR"/>
        </w:rPr>
        <w:t>Arkell</w:t>
      </w:r>
      <w:proofErr w:type="spellEnd"/>
      <w:r w:rsidRPr="00992C45">
        <w:rPr>
          <w:lang w:val="fr-FR"/>
        </w:rPr>
        <w:t xml:space="preserve">, </w:t>
      </w:r>
      <w:proofErr w:type="spellStart"/>
      <w:r w:rsidRPr="00992C45">
        <w:rPr>
          <w:lang w:val="fr-FR"/>
        </w:rPr>
        <w:t>Nesta</w:t>
      </w:r>
      <w:proofErr w:type="spellEnd"/>
      <w:r w:rsidRPr="00992C45">
        <w:rPr>
          <w:lang w:val="fr-FR"/>
        </w:rPr>
        <w:t xml:space="preserve"> Evans and Nigel Goose (</w:t>
      </w:r>
      <w:proofErr w:type="spellStart"/>
      <w:r w:rsidRPr="00992C45">
        <w:rPr>
          <w:lang w:val="fr-FR"/>
        </w:rPr>
        <w:t>eds</w:t>
      </w:r>
      <w:proofErr w:type="spellEnd"/>
      <w:r w:rsidRPr="00992C45">
        <w:rPr>
          <w:lang w:val="fr-FR"/>
        </w:rPr>
        <w:t xml:space="preserve">), </w:t>
      </w:r>
      <w:proofErr w:type="spellStart"/>
      <w:r w:rsidRPr="00992C45">
        <w:rPr>
          <w:i/>
          <w:iCs/>
          <w:lang w:val="fr-FR"/>
        </w:rPr>
        <w:t>When</w:t>
      </w:r>
      <w:proofErr w:type="spellEnd"/>
      <w:r w:rsidRPr="00992C45">
        <w:rPr>
          <w:i/>
          <w:iCs/>
          <w:lang w:val="fr-FR"/>
        </w:rPr>
        <w:t xml:space="preserve"> </w:t>
      </w:r>
      <w:proofErr w:type="spellStart"/>
      <w:r w:rsidRPr="00992C45">
        <w:rPr>
          <w:i/>
          <w:iCs/>
          <w:lang w:val="fr-FR"/>
        </w:rPr>
        <w:t>Death</w:t>
      </w:r>
      <w:proofErr w:type="spellEnd"/>
      <w:r w:rsidRPr="00992C45">
        <w:rPr>
          <w:i/>
          <w:iCs/>
          <w:lang w:val="fr-FR"/>
        </w:rPr>
        <w:t xml:space="preserve"> Do Us </w:t>
      </w:r>
      <w:proofErr w:type="gramStart"/>
      <w:r w:rsidRPr="00992C45">
        <w:rPr>
          <w:i/>
          <w:iCs/>
          <w:lang w:val="fr-FR"/>
        </w:rPr>
        <w:t>Part:</w:t>
      </w:r>
      <w:proofErr w:type="gramEnd"/>
      <w:r w:rsidRPr="00992C45">
        <w:rPr>
          <w:i/>
          <w:iCs/>
          <w:lang w:val="fr-FR"/>
        </w:rPr>
        <w:t xml:space="preserve"> </w:t>
      </w:r>
      <w:proofErr w:type="spellStart"/>
      <w:r w:rsidRPr="00992C45">
        <w:rPr>
          <w:i/>
          <w:iCs/>
          <w:lang w:val="fr-FR"/>
        </w:rPr>
        <w:t>Understanding</w:t>
      </w:r>
      <w:proofErr w:type="spellEnd"/>
      <w:r w:rsidRPr="00992C45">
        <w:rPr>
          <w:i/>
          <w:iCs/>
          <w:lang w:val="fr-FR"/>
        </w:rPr>
        <w:t xml:space="preserve"> and </w:t>
      </w:r>
      <w:proofErr w:type="spellStart"/>
      <w:r w:rsidRPr="00992C45">
        <w:rPr>
          <w:i/>
          <w:iCs/>
          <w:lang w:val="fr-FR"/>
        </w:rPr>
        <w:t>Interpreting</w:t>
      </w:r>
      <w:proofErr w:type="spellEnd"/>
      <w:r w:rsidRPr="00992C45">
        <w:rPr>
          <w:i/>
          <w:iCs/>
          <w:lang w:val="fr-FR"/>
        </w:rPr>
        <w:t xml:space="preserve"> the </w:t>
      </w:r>
      <w:proofErr w:type="spellStart"/>
      <w:r w:rsidRPr="00992C45">
        <w:rPr>
          <w:i/>
          <w:iCs/>
          <w:lang w:val="fr-FR"/>
        </w:rPr>
        <w:t>Probate</w:t>
      </w:r>
      <w:proofErr w:type="spellEnd"/>
      <w:r w:rsidRPr="00992C45">
        <w:rPr>
          <w:i/>
          <w:iCs/>
          <w:lang w:val="fr-FR"/>
        </w:rPr>
        <w:t xml:space="preserve"> Records of </w:t>
      </w:r>
      <w:proofErr w:type="spellStart"/>
      <w:r w:rsidRPr="00992C45">
        <w:rPr>
          <w:i/>
          <w:iCs/>
          <w:lang w:val="fr-FR"/>
        </w:rPr>
        <w:t>Early</w:t>
      </w:r>
      <w:proofErr w:type="spellEnd"/>
      <w:r w:rsidRPr="00992C45">
        <w:rPr>
          <w:i/>
          <w:iCs/>
          <w:lang w:val="fr-FR"/>
        </w:rPr>
        <w:t xml:space="preserve"> Modern </w:t>
      </w:r>
      <w:proofErr w:type="spellStart"/>
      <w:r w:rsidRPr="00992C45">
        <w:rPr>
          <w:i/>
          <w:iCs/>
          <w:lang w:val="fr-FR"/>
        </w:rPr>
        <w:t>England</w:t>
      </w:r>
      <w:proofErr w:type="spellEnd"/>
      <w:r w:rsidRPr="00992C45">
        <w:rPr>
          <w:lang w:val="fr-FR"/>
        </w:rPr>
        <w:t>, (Oxford, 2000), pp.213-228</w:t>
      </w:r>
      <w:r w:rsidRPr="00992C45">
        <w:t> </w:t>
      </w:r>
    </w:p>
    <w:p w14:paraId="3BED6A6C" w14:textId="77777777" w:rsidR="00992C45" w:rsidRPr="00992C45" w:rsidRDefault="00992C45" w:rsidP="0028398D">
      <w:pPr>
        <w:spacing w:after="240" w:line="240" w:lineRule="auto"/>
        <w:jc w:val="both"/>
      </w:pPr>
      <w:proofErr w:type="spellStart"/>
      <w:r w:rsidRPr="00992C45">
        <w:rPr>
          <w:lang w:val="en-US"/>
        </w:rPr>
        <w:t>Stallybrass</w:t>
      </w:r>
      <w:proofErr w:type="spellEnd"/>
      <w:r w:rsidRPr="00992C45">
        <w:rPr>
          <w:lang w:val="en-US"/>
        </w:rPr>
        <w:t xml:space="preserve">, Peter, Roger Chartier, Mowery J. Franklin and Heather </w:t>
      </w:r>
      <w:proofErr w:type="gramStart"/>
      <w:r w:rsidRPr="00992C45">
        <w:rPr>
          <w:lang w:val="en-US"/>
        </w:rPr>
        <w:t>Wolfe, ‘</w:t>
      </w:r>
      <w:proofErr w:type="gramEnd"/>
      <w:r w:rsidRPr="00992C45">
        <w:rPr>
          <w:lang w:val="en-US"/>
        </w:rPr>
        <w:t xml:space="preserve">Hamlet’s tables and technologies of writing in Renaissance England’, </w:t>
      </w:r>
      <w:r w:rsidRPr="00992C45">
        <w:rPr>
          <w:i/>
          <w:iCs/>
          <w:lang w:val="en-US"/>
        </w:rPr>
        <w:t xml:space="preserve">Shakespeare Quarterly, </w:t>
      </w:r>
      <w:r w:rsidRPr="00992C45">
        <w:rPr>
          <w:lang w:val="en-US"/>
        </w:rPr>
        <w:t>Vol. 55, No. 4, (2014), pp.379-419</w:t>
      </w:r>
      <w:r w:rsidRPr="00992C45">
        <w:t> </w:t>
      </w:r>
    </w:p>
    <w:p w14:paraId="1E18878E" w14:textId="77777777" w:rsidR="00992C45" w:rsidRPr="00992C45" w:rsidRDefault="00992C45" w:rsidP="0028398D">
      <w:pPr>
        <w:spacing w:after="240" w:line="240" w:lineRule="auto"/>
        <w:jc w:val="both"/>
      </w:pPr>
      <w:r w:rsidRPr="00992C45">
        <w:rPr>
          <w:lang w:val="fr-FR"/>
        </w:rPr>
        <w:t xml:space="preserve">Stanley, Peter Edward, </w:t>
      </w:r>
      <w:r w:rsidRPr="00992C45">
        <w:rPr>
          <w:i/>
          <w:iCs/>
          <w:lang w:val="fr-FR"/>
        </w:rPr>
        <w:t xml:space="preserve">The House of </w:t>
      </w:r>
      <w:proofErr w:type="gramStart"/>
      <w:r w:rsidRPr="00992C45">
        <w:rPr>
          <w:i/>
          <w:iCs/>
          <w:lang w:val="fr-FR"/>
        </w:rPr>
        <w:t>Stanley:</w:t>
      </w:r>
      <w:proofErr w:type="gramEnd"/>
      <w:r w:rsidRPr="00992C45">
        <w:rPr>
          <w:i/>
          <w:iCs/>
          <w:lang w:val="fr-FR"/>
        </w:rPr>
        <w:t xml:space="preserve"> The </w:t>
      </w:r>
      <w:proofErr w:type="spellStart"/>
      <w:r w:rsidRPr="00992C45">
        <w:rPr>
          <w:i/>
          <w:iCs/>
          <w:lang w:val="fr-FR"/>
        </w:rPr>
        <w:t>History</w:t>
      </w:r>
      <w:proofErr w:type="spellEnd"/>
      <w:r w:rsidRPr="00992C45">
        <w:rPr>
          <w:i/>
          <w:iCs/>
          <w:lang w:val="fr-FR"/>
        </w:rPr>
        <w:t xml:space="preserve"> of an English Family </w:t>
      </w:r>
      <w:proofErr w:type="spellStart"/>
      <w:r w:rsidRPr="00992C45">
        <w:rPr>
          <w:i/>
          <w:iCs/>
          <w:lang w:val="fr-FR"/>
        </w:rPr>
        <w:t>from</w:t>
      </w:r>
      <w:proofErr w:type="spellEnd"/>
      <w:r w:rsidRPr="00992C45">
        <w:rPr>
          <w:i/>
          <w:iCs/>
          <w:lang w:val="fr-FR"/>
        </w:rPr>
        <w:t xml:space="preserve"> the </w:t>
      </w:r>
      <w:proofErr w:type="spellStart"/>
      <w:r w:rsidRPr="00992C45">
        <w:rPr>
          <w:i/>
          <w:iCs/>
          <w:lang w:val="fr-FR"/>
        </w:rPr>
        <w:t>Twelfth</w:t>
      </w:r>
      <w:proofErr w:type="spellEnd"/>
      <w:r w:rsidRPr="00992C45">
        <w:rPr>
          <w:i/>
          <w:iCs/>
          <w:lang w:val="fr-FR"/>
        </w:rPr>
        <w:t xml:space="preserve"> Century, </w:t>
      </w:r>
      <w:r w:rsidRPr="00992C45">
        <w:rPr>
          <w:lang w:val="fr-FR"/>
        </w:rPr>
        <w:t>(Edinburgh, 1988)</w:t>
      </w:r>
      <w:r w:rsidRPr="00992C45">
        <w:t> </w:t>
      </w:r>
    </w:p>
    <w:p w14:paraId="2E150FA7" w14:textId="77777777" w:rsidR="00992C45" w:rsidRPr="00992C45" w:rsidRDefault="00992C45" w:rsidP="0028398D">
      <w:pPr>
        <w:spacing w:after="240" w:line="240" w:lineRule="auto"/>
        <w:jc w:val="both"/>
      </w:pPr>
      <w:r w:rsidRPr="00992C45">
        <w:rPr>
          <w:lang w:val="fr-FR"/>
        </w:rPr>
        <w:t>Stevenson, Christine, ‘</w:t>
      </w:r>
      <w:proofErr w:type="spellStart"/>
      <w:r w:rsidRPr="00992C45">
        <w:rPr>
          <w:lang w:val="fr-FR"/>
        </w:rPr>
        <w:t>Occasional</w:t>
      </w:r>
      <w:proofErr w:type="spellEnd"/>
      <w:r w:rsidRPr="00992C45">
        <w:rPr>
          <w:lang w:val="fr-FR"/>
        </w:rPr>
        <w:t xml:space="preserve"> architecture in </w:t>
      </w:r>
      <w:proofErr w:type="spellStart"/>
      <w:r w:rsidRPr="00992C45">
        <w:rPr>
          <w:lang w:val="fr-FR"/>
        </w:rPr>
        <w:t>seventeenth</w:t>
      </w:r>
      <w:proofErr w:type="spellEnd"/>
      <w:r w:rsidRPr="00992C45">
        <w:rPr>
          <w:lang w:val="fr-FR"/>
        </w:rPr>
        <w:t xml:space="preserve">-century London’, </w:t>
      </w:r>
      <w:r w:rsidRPr="00992C45">
        <w:rPr>
          <w:i/>
          <w:iCs/>
          <w:lang w:val="fr-FR"/>
        </w:rPr>
        <w:t xml:space="preserve">Architectural </w:t>
      </w:r>
      <w:proofErr w:type="spellStart"/>
      <w:r w:rsidRPr="00992C45">
        <w:rPr>
          <w:i/>
          <w:iCs/>
          <w:lang w:val="fr-FR"/>
        </w:rPr>
        <w:t>History</w:t>
      </w:r>
      <w:proofErr w:type="spellEnd"/>
      <w:r w:rsidRPr="00992C45">
        <w:rPr>
          <w:i/>
          <w:iCs/>
          <w:lang w:val="fr-FR"/>
        </w:rPr>
        <w:t xml:space="preserve">, </w:t>
      </w:r>
      <w:r w:rsidRPr="00992C45">
        <w:rPr>
          <w:lang w:val="fr-FR"/>
        </w:rPr>
        <w:t>Vol. 49, (2006), pp.35-74</w:t>
      </w:r>
      <w:r w:rsidRPr="00992C45">
        <w:t> </w:t>
      </w:r>
    </w:p>
    <w:p w14:paraId="790654ED" w14:textId="77777777" w:rsidR="00992C45" w:rsidRPr="00992C45" w:rsidRDefault="00992C45" w:rsidP="0028398D">
      <w:pPr>
        <w:spacing w:after="240" w:line="240" w:lineRule="auto"/>
        <w:jc w:val="both"/>
      </w:pPr>
      <w:r w:rsidRPr="00992C45">
        <w:rPr>
          <w:lang w:val="en-US"/>
        </w:rPr>
        <w:t xml:space="preserve">Stevenson, </w:t>
      </w:r>
      <w:proofErr w:type="gramStart"/>
      <w:r w:rsidRPr="00992C45">
        <w:rPr>
          <w:lang w:val="en-US"/>
        </w:rPr>
        <w:t>Christine, ‘</w:t>
      </w:r>
      <w:proofErr w:type="gramEnd"/>
      <w:r w:rsidRPr="00992C45">
        <w:rPr>
          <w:lang w:val="en-US"/>
        </w:rPr>
        <w:t xml:space="preserve">Occasional architecture in seventeenth-century London’, </w:t>
      </w:r>
      <w:r w:rsidRPr="00992C45">
        <w:rPr>
          <w:i/>
          <w:iCs/>
          <w:lang w:val="en-US"/>
        </w:rPr>
        <w:t xml:space="preserve">Architectural History, </w:t>
      </w:r>
      <w:r w:rsidRPr="00992C45">
        <w:rPr>
          <w:lang w:val="en-US"/>
        </w:rPr>
        <w:t>Vol. 49, (2006), pp.35-74</w:t>
      </w:r>
      <w:r w:rsidRPr="00992C45">
        <w:t> </w:t>
      </w:r>
    </w:p>
    <w:p w14:paraId="02F51172" w14:textId="77777777" w:rsidR="00992C45" w:rsidRPr="00992C45" w:rsidRDefault="00992C45" w:rsidP="0028398D">
      <w:pPr>
        <w:spacing w:after="240" w:line="240" w:lineRule="auto"/>
        <w:jc w:val="both"/>
      </w:pPr>
      <w:r w:rsidRPr="00992C45">
        <w:rPr>
          <w:lang w:val="en-US"/>
        </w:rPr>
        <w:t xml:space="preserve">Stobart, Jon (ed.), </w:t>
      </w:r>
      <w:r w:rsidRPr="00992C45">
        <w:rPr>
          <w:i/>
          <w:iCs/>
          <w:lang w:val="en-US"/>
        </w:rPr>
        <w:t>The Comforts of Home in Western Europe, 1700-1900,</w:t>
      </w:r>
      <w:r w:rsidRPr="00992C45">
        <w:rPr>
          <w:lang w:val="en-US"/>
        </w:rPr>
        <w:t xml:space="preserve"> (London, 2020)</w:t>
      </w:r>
      <w:r w:rsidRPr="00992C45">
        <w:t> </w:t>
      </w:r>
    </w:p>
    <w:p w14:paraId="0EAAF3F2" w14:textId="77777777" w:rsidR="00992C45" w:rsidRPr="00992C45" w:rsidRDefault="00992C45" w:rsidP="0028398D">
      <w:pPr>
        <w:spacing w:after="240" w:line="240" w:lineRule="auto"/>
        <w:jc w:val="both"/>
      </w:pPr>
      <w:proofErr w:type="spellStart"/>
      <w:r w:rsidRPr="00992C45">
        <w:rPr>
          <w:lang w:val="fr-FR"/>
        </w:rPr>
        <w:t>Stobart</w:t>
      </w:r>
      <w:proofErr w:type="spellEnd"/>
      <w:r w:rsidRPr="00992C45">
        <w:rPr>
          <w:lang w:val="fr-FR"/>
        </w:rPr>
        <w:t xml:space="preserve">, Jon, ‘Food </w:t>
      </w:r>
      <w:proofErr w:type="spellStart"/>
      <w:r w:rsidRPr="00992C45">
        <w:rPr>
          <w:lang w:val="fr-FR"/>
        </w:rPr>
        <w:t>retailers</w:t>
      </w:r>
      <w:proofErr w:type="spellEnd"/>
      <w:r w:rsidRPr="00992C45">
        <w:rPr>
          <w:lang w:val="fr-FR"/>
        </w:rPr>
        <w:t xml:space="preserve"> and rural </w:t>
      </w:r>
      <w:proofErr w:type="spellStart"/>
      <w:proofErr w:type="gramStart"/>
      <w:r w:rsidRPr="00992C45">
        <w:rPr>
          <w:lang w:val="fr-FR"/>
        </w:rPr>
        <w:t>communities</w:t>
      </w:r>
      <w:proofErr w:type="spellEnd"/>
      <w:r w:rsidRPr="00992C45">
        <w:rPr>
          <w:lang w:val="fr-FR"/>
        </w:rPr>
        <w:t>:</w:t>
      </w:r>
      <w:proofErr w:type="gramEnd"/>
      <w:r w:rsidRPr="00992C45">
        <w:rPr>
          <w:lang w:val="fr-FR"/>
        </w:rPr>
        <w:t xml:space="preserve"> Cheshire </w:t>
      </w:r>
      <w:proofErr w:type="spellStart"/>
      <w:r w:rsidRPr="00992C45">
        <w:rPr>
          <w:lang w:val="fr-FR"/>
        </w:rPr>
        <w:t>butchers</w:t>
      </w:r>
      <w:proofErr w:type="spellEnd"/>
      <w:r w:rsidRPr="00992C45">
        <w:rPr>
          <w:lang w:val="fr-FR"/>
        </w:rPr>
        <w:t xml:space="preserve"> in the long </w:t>
      </w:r>
      <w:proofErr w:type="spellStart"/>
      <w:r w:rsidRPr="00992C45">
        <w:rPr>
          <w:lang w:val="fr-FR"/>
        </w:rPr>
        <w:t>eighteenth</w:t>
      </w:r>
      <w:proofErr w:type="spellEnd"/>
      <w:r w:rsidRPr="00992C45">
        <w:rPr>
          <w:lang w:val="fr-FR"/>
        </w:rPr>
        <w:t xml:space="preserve"> century’, </w:t>
      </w:r>
      <w:r w:rsidRPr="00992C45">
        <w:rPr>
          <w:i/>
          <w:iCs/>
          <w:lang w:val="fr-FR"/>
        </w:rPr>
        <w:t xml:space="preserve">Local Population </w:t>
      </w:r>
      <w:proofErr w:type="spellStart"/>
      <w:r w:rsidRPr="00992C45">
        <w:rPr>
          <w:i/>
          <w:iCs/>
          <w:lang w:val="fr-FR"/>
        </w:rPr>
        <w:t>Studies</w:t>
      </w:r>
      <w:proofErr w:type="spellEnd"/>
      <w:r w:rsidRPr="00992C45">
        <w:rPr>
          <w:i/>
          <w:iCs/>
          <w:lang w:val="fr-FR"/>
        </w:rPr>
        <w:t xml:space="preserve">, </w:t>
      </w:r>
      <w:r w:rsidRPr="00992C45">
        <w:rPr>
          <w:lang w:val="fr-FR"/>
        </w:rPr>
        <w:t>Vol. 79, (2007), pp.23-37</w:t>
      </w:r>
      <w:r w:rsidRPr="00992C45">
        <w:t> </w:t>
      </w:r>
    </w:p>
    <w:p w14:paraId="4F5D40DD" w14:textId="77777777" w:rsidR="00992C45" w:rsidRPr="00992C45" w:rsidRDefault="00992C45" w:rsidP="0028398D">
      <w:pPr>
        <w:spacing w:after="240" w:line="240" w:lineRule="auto"/>
        <w:jc w:val="both"/>
      </w:pPr>
      <w:r w:rsidRPr="00992C45">
        <w:rPr>
          <w:lang w:val="en-US"/>
        </w:rPr>
        <w:lastRenderedPageBreak/>
        <w:t xml:space="preserve">Stolberg, Michael, ‘Emotions and the body in early modern medicine’, </w:t>
      </w:r>
      <w:r w:rsidRPr="00992C45">
        <w:rPr>
          <w:i/>
          <w:iCs/>
          <w:lang w:val="en-US"/>
        </w:rPr>
        <w:t xml:space="preserve">Emotion Review, </w:t>
      </w:r>
      <w:r w:rsidRPr="00992C45">
        <w:rPr>
          <w:lang w:val="en-US"/>
        </w:rPr>
        <w:t>Vol. 11, No. 2, (2019), pp.113-122</w:t>
      </w:r>
      <w:r w:rsidRPr="00992C45">
        <w:t> </w:t>
      </w:r>
    </w:p>
    <w:p w14:paraId="478E46BC" w14:textId="77777777" w:rsidR="00992C45" w:rsidRPr="00992C45" w:rsidRDefault="00992C45" w:rsidP="0028398D">
      <w:pPr>
        <w:spacing w:after="240" w:line="240" w:lineRule="auto"/>
        <w:jc w:val="both"/>
      </w:pPr>
      <w:r w:rsidRPr="00992C45">
        <w:rPr>
          <w:lang w:val="en-US"/>
        </w:rPr>
        <w:t xml:space="preserve">Stone, Laurence, </w:t>
      </w:r>
      <w:r w:rsidRPr="00992C45">
        <w:rPr>
          <w:i/>
          <w:iCs/>
          <w:lang w:val="en-US"/>
        </w:rPr>
        <w:t xml:space="preserve">Family, Sex and Marriage in England 1500-1800, </w:t>
      </w:r>
      <w:r w:rsidRPr="00992C45">
        <w:rPr>
          <w:lang w:val="en-US"/>
        </w:rPr>
        <w:t>(London,1977)</w:t>
      </w:r>
      <w:r w:rsidRPr="00992C45">
        <w:t> </w:t>
      </w:r>
    </w:p>
    <w:p w14:paraId="383C7C14" w14:textId="77777777" w:rsidR="00992C45" w:rsidRPr="00992C45" w:rsidRDefault="00992C45" w:rsidP="0028398D">
      <w:pPr>
        <w:spacing w:after="240" w:line="240" w:lineRule="auto"/>
        <w:jc w:val="both"/>
      </w:pPr>
      <w:r w:rsidRPr="00992C45">
        <w:rPr>
          <w:lang w:val="en-US"/>
        </w:rPr>
        <w:t xml:space="preserve">Sugg, Richard, </w:t>
      </w:r>
      <w:r w:rsidRPr="00992C45">
        <w:rPr>
          <w:i/>
          <w:iCs/>
          <w:lang w:val="en-US"/>
        </w:rPr>
        <w:t xml:space="preserve">The Smoke of the Soul: Medicine, Physiology and Religion in Early Modern England, </w:t>
      </w:r>
      <w:r w:rsidRPr="00992C45">
        <w:rPr>
          <w:lang w:val="en-US"/>
        </w:rPr>
        <w:t>(London, 2013)</w:t>
      </w:r>
      <w:r w:rsidRPr="00992C45">
        <w:t> </w:t>
      </w:r>
    </w:p>
    <w:p w14:paraId="0370E6AF" w14:textId="77777777" w:rsidR="00992C45" w:rsidRPr="00992C45" w:rsidRDefault="00992C45" w:rsidP="0028398D">
      <w:pPr>
        <w:spacing w:after="240" w:line="240" w:lineRule="auto"/>
        <w:jc w:val="both"/>
      </w:pPr>
      <w:r w:rsidRPr="00992C45">
        <w:rPr>
          <w:lang w:val="fr-FR"/>
        </w:rPr>
        <w:t xml:space="preserve">Swann, Marjorie, </w:t>
      </w:r>
      <w:proofErr w:type="spellStart"/>
      <w:r w:rsidRPr="00992C45">
        <w:rPr>
          <w:i/>
          <w:iCs/>
          <w:lang w:val="fr-FR"/>
        </w:rPr>
        <w:t>Curiosities</w:t>
      </w:r>
      <w:proofErr w:type="spellEnd"/>
      <w:r w:rsidRPr="00992C45">
        <w:rPr>
          <w:i/>
          <w:iCs/>
          <w:lang w:val="fr-FR"/>
        </w:rPr>
        <w:t xml:space="preserve"> and </w:t>
      </w:r>
      <w:proofErr w:type="spellStart"/>
      <w:proofErr w:type="gramStart"/>
      <w:r w:rsidRPr="00992C45">
        <w:rPr>
          <w:i/>
          <w:iCs/>
          <w:lang w:val="fr-FR"/>
        </w:rPr>
        <w:t>Texts</w:t>
      </w:r>
      <w:proofErr w:type="spellEnd"/>
      <w:r w:rsidRPr="00992C45">
        <w:rPr>
          <w:i/>
          <w:iCs/>
          <w:lang w:val="fr-FR"/>
        </w:rPr>
        <w:t>:</w:t>
      </w:r>
      <w:proofErr w:type="gramEnd"/>
      <w:r w:rsidRPr="00992C45">
        <w:rPr>
          <w:i/>
          <w:iCs/>
          <w:lang w:val="fr-FR"/>
        </w:rPr>
        <w:t xml:space="preserve"> The Culture of </w:t>
      </w:r>
      <w:proofErr w:type="spellStart"/>
      <w:r w:rsidRPr="00992C45">
        <w:rPr>
          <w:i/>
          <w:iCs/>
          <w:lang w:val="fr-FR"/>
        </w:rPr>
        <w:t>Collecting</w:t>
      </w:r>
      <w:proofErr w:type="spellEnd"/>
      <w:r w:rsidRPr="00992C45">
        <w:rPr>
          <w:i/>
          <w:iCs/>
          <w:lang w:val="fr-FR"/>
        </w:rPr>
        <w:t xml:space="preserve"> in </w:t>
      </w:r>
      <w:proofErr w:type="spellStart"/>
      <w:r w:rsidRPr="00992C45">
        <w:rPr>
          <w:i/>
          <w:iCs/>
          <w:lang w:val="fr-FR"/>
        </w:rPr>
        <w:t>Early</w:t>
      </w:r>
      <w:proofErr w:type="spellEnd"/>
      <w:r w:rsidRPr="00992C45">
        <w:rPr>
          <w:i/>
          <w:iCs/>
          <w:lang w:val="fr-FR"/>
        </w:rPr>
        <w:t xml:space="preserve"> Modern </w:t>
      </w:r>
      <w:proofErr w:type="spellStart"/>
      <w:r w:rsidRPr="00992C45">
        <w:rPr>
          <w:i/>
          <w:iCs/>
          <w:lang w:val="fr-FR"/>
        </w:rPr>
        <w:t>England</w:t>
      </w:r>
      <w:proofErr w:type="spellEnd"/>
      <w:r w:rsidRPr="00992C45">
        <w:rPr>
          <w:i/>
          <w:iCs/>
          <w:lang w:val="fr-FR"/>
        </w:rPr>
        <w:t xml:space="preserve">, </w:t>
      </w:r>
      <w:r w:rsidRPr="00992C45">
        <w:rPr>
          <w:lang w:val="fr-FR"/>
        </w:rPr>
        <w:t>(Philadelphia, 2001)</w:t>
      </w:r>
      <w:r w:rsidRPr="00992C45">
        <w:t> </w:t>
      </w:r>
    </w:p>
    <w:p w14:paraId="1D4E6BC4" w14:textId="77777777" w:rsidR="00992C45" w:rsidRPr="00992C45" w:rsidRDefault="00992C45" w:rsidP="0028398D">
      <w:pPr>
        <w:spacing w:after="240" w:line="240" w:lineRule="auto"/>
        <w:jc w:val="both"/>
      </w:pPr>
      <w:r w:rsidRPr="00992C45">
        <w:rPr>
          <w:lang w:val="en-US"/>
        </w:rPr>
        <w:t xml:space="preserve">Sweet, </w:t>
      </w:r>
      <w:proofErr w:type="gramStart"/>
      <w:r w:rsidRPr="00992C45">
        <w:rPr>
          <w:lang w:val="en-US"/>
        </w:rPr>
        <w:t>Rosemary, ‘</w:t>
      </w:r>
      <w:proofErr w:type="gramEnd"/>
      <w:r w:rsidRPr="00992C45">
        <w:rPr>
          <w:lang w:val="en-US"/>
        </w:rPr>
        <w:t xml:space="preserve">Antiquaries and </w:t>
      </w:r>
      <w:proofErr w:type="gramStart"/>
      <w:r w:rsidRPr="00992C45">
        <w:rPr>
          <w:lang w:val="en-US"/>
        </w:rPr>
        <w:t>antiquities</w:t>
      </w:r>
      <w:proofErr w:type="gramEnd"/>
      <w:r w:rsidRPr="00992C45">
        <w:rPr>
          <w:lang w:val="en-US"/>
        </w:rPr>
        <w:t xml:space="preserve"> in eighteenth-century England’, </w:t>
      </w:r>
      <w:r w:rsidRPr="00992C45">
        <w:rPr>
          <w:i/>
          <w:iCs/>
          <w:lang w:val="en-US"/>
        </w:rPr>
        <w:t xml:space="preserve">Eighteenth-Century Studies, </w:t>
      </w:r>
      <w:r w:rsidRPr="00992C45">
        <w:rPr>
          <w:lang w:val="en-US"/>
        </w:rPr>
        <w:t>Vol. 34, No. 2, (2001), pp.181-206</w:t>
      </w:r>
      <w:r w:rsidRPr="00992C45">
        <w:t> </w:t>
      </w:r>
    </w:p>
    <w:p w14:paraId="64890DC6" w14:textId="77777777" w:rsidR="00992C45" w:rsidRPr="00992C45" w:rsidRDefault="00992C45" w:rsidP="0028398D">
      <w:pPr>
        <w:spacing w:after="240" w:line="240" w:lineRule="auto"/>
        <w:jc w:val="both"/>
      </w:pPr>
      <w:r w:rsidRPr="00992C45">
        <w:rPr>
          <w:lang w:val="en-US"/>
        </w:rPr>
        <w:t xml:space="preserve">Tadmor, </w:t>
      </w:r>
      <w:proofErr w:type="gramStart"/>
      <w:r w:rsidRPr="00992C45">
        <w:rPr>
          <w:lang w:val="en-US"/>
        </w:rPr>
        <w:t>Naomi, ‘</w:t>
      </w:r>
      <w:proofErr w:type="gramEnd"/>
      <w:r w:rsidRPr="00992C45">
        <w:rPr>
          <w:lang w:val="en-US"/>
        </w:rPr>
        <w:t xml:space="preserve">Early modern kinship in the long-run: reflections on continuity and change’, </w:t>
      </w:r>
      <w:r w:rsidRPr="00992C45">
        <w:rPr>
          <w:i/>
          <w:iCs/>
          <w:lang w:val="en-US"/>
        </w:rPr>
        <w:t xml:space="preserve">Continuity and Change, </w:t>
      </w:r>
      <w:r w:rsidRPr="00992C45">
        <w:rPr>
          <w:lang w:val="en-US"/>
        </w:rPr>
        <w:t>Vol. 25, No.1, (2010), pp.15-48</w:t>
      </w:r>
      <w:r w:rsidRPr="00992C45">
        <w:t> </w:t>
      </w:r>
    </w:p>
    <w:p w14:paraId="78E26162" w14:textId="77777777" w:rsidR="00992C45" w:rsidRPr="00992C45" w:rsidRDefault="00992C45" w:rsidP="0028398D">
      <w:pPr>
        <w:spacing w:after="240" w:line="240" w:lineRule="auto"/>
        <w:jc w:val="both"/>
      </w:pPr>
      <w:r w:rsidRPr="00992C45">
        <w:rPr>
          <w:lang w:val="en-US"/>
        </w:rPr>
        <w:t xml:space="preserve">Tadmor, Naomi, </w:t>
      </w:r>
      <w:r w:rsidRPr="00992C45">
        <w:rPr>
          <w:i/>
          <w:iCs/>
          <w:lang w:val="en-US"/>
        </w:rPr>
        <w:t xml:space="preserve">Family and Friends in Eighteenth-Century England: Household, Kinship and Patronage, </w:t>
      </w:r>
      <w:r w:rsidRPr="00992C45">
        <w:rPr>
          <w:lang w:val="en-US"/>
        </w:rPr>
        <w:t>(Cambridge, 2001)</w:t>
      </w:r>
      <w:r w:rsidRPr="00992C45">
        <w:t> </w:t>
      </w:r>
    </w:p>
    <w:p w14:paraId="1FBEE17E" w14:textId="77777777" w:rsidR="00992C45" w:rsidRPr="00992C45" w:rsidRDefault="00992C45" w:rsidP="0028398D">
      <w:pPr>
        <w:spacing w:after="240" w:line="240" w:lineRule="auto"/>
        <w:jc w:val="both"/>
      </w:pPr>
      <w:r w:rsidRPr="00992C45">
        <w:rPr>
          <w:lang w:val="en-US"/>
        </w:rPr>
        <w:t xml:space="preserve">Taylor, John, </w:t>
      </w:r>
      <w:r w:rsidRPr="00992C45">
        <w:rPr>
          <w:i/>
          <w:iCs/>
          <w:lang w:val="en-US"/>
        </w:rPr>
        <w:t xml:space="preserve">Stories in Stone: Datestones in Rossendale, </w:t>
      </w:r>
      <w:r w:rsidRPr="00992C45">
        <w:rPr>
          <w:lang w:val="en-US"/>
        </w:rPr>
        <w:t>(</w:t>
      </w:r>
      <w:proofErr w:type="spellStart"/>
      <w:r w:rsidRPr="00992C45">
        <w:rPr>
          <w:lang w:val="en-US"/>
        </w:rPr>
        <w:t>Bacup</w:t>
      </w:r>
      <w:proofErr w:type="spellEnd"/>
      <w:r w:rsidRPr="00992C45">
        <w:rPr>
          <w:lang w:val="en-US"/>
        </w:rPr>
        <w:t>, 1988)</w:t>
      </w:r>
      <w:r w:rsidRPr="00992C45">
        <w:t> </w:t>
      </w:r>
    </w:p>
    <w:p w14:paraId="78DD6008" w14:textId="77777777" w:rsidR="00992C45" w:rsidRPr="00992C45" w:rsidRDefault="00992C45" w:rsidP="0028398D">
      <w:pPr>
        <w:spacing w:after="240" w:line="240" w:lineRule="auto"/>
        <w:jc w:val="both"/>
      </w:pPr>
      <w:r w:rsidRPr="00992C45">
        <w:rPr>
          <w:lang w:val="fr-FR"/>
        </w:rPr>
        <w:t>Thatcher Ulrich, Laurel, ‘</w:t>
      </w:r>
      <w:proofErr w:type="spellStart"/>
      <w:r w:rsidRPr="00992C45">
        <w:rPr>
          <w:lang w:val="fr-FR"/>
        </w:rPr>
        <w:t>Wheels</w:t>
      </w:r>
      <w:proofErr w:type="spellEnd"/>
      <w:r w:rsidRPr="00992C45">
        <w:rPr>
          <w:lang w:val="fr-FR"/>
        </w:rPr>
        <w:t xml:space="preserve">, </w:t>
      </w:r>
      <w:proofErr w:type="spellStart"/>
      <w:r w:rsidRPr="00992C45">
        <w:rPr>
          <w:lang w:val="fr-FR"/>
        </w:rPr>
        <w:t>looms</w:t>
      </w:r>
      <w:proofErr w:type="spellEnd"/>
      <w:r w:rsidRPr="00992C45">
        <w:rPr>
          <w:lang w:val="fr-FR"/>
        </w:rPr>
        <w:t xml:space="preserve">, and the </w:t>
      </w:r>
      <w:proofErr w:type="spellStart"/>
      <w:r w:rsidRPr="00992C45">
        <w:rPr>
          <w:lang w:val="fr-FR"/>
        </w:rPr>
        <w:t>gender</w:t>
      </w:r>
      <w:proofErr w:type="spellEnd"/>
      <w:r w:rsidRPr="00992C45">
        <w:rPr>
          <w:lang w:val="fr-FR"/>
        </w:rPr>
        <w:t xml:space="preserve"> division of </w:t>
      </w:r>
      <w:proofErr w:type="spellStart"/>
      <w:r w:rsidRPr="00992C45">
        <w:rPr>
          <w:lang w:val="fr-FR"/>
        </w:rPr>
        <w:t>labor</w:t>
      </w:r>
      <w:proofErr w:type="spellEnd"/>
      <w:r w:rsidRPr="00992C45">
        <w:rPr>
          <w:lang w:val="fr-FR"/>
        </w:rPr>
        <w:t xml:space="preserve"> in </w:t>
      </w:r>
      <w:proofErr w:type="spellStart"/>
      <w:r w:rsidRPr="00992C45">
        <w:rPr>
          <w:lang w:val="fr-FR"/>
        </w:rPr>
        <w:t>eighteenth</w:t>
      </w:r>
      <w:proofErr w:type="spellEnd"/>
      <w:r w:rsidRPr="00992C45">
        <w:rPr>
          <w:lang w:val="fr-FR"/>
        </w:rPr>
        <w:t xml:space="preserve">-century New </w:t>
      </w:r>
      <w:proofErr w:type="spellStart"/>
      <w:r w:rsidRPr="00992C45">
        <w:rPr>
          <w:lang w:val="fr-FR"/>
        </w:rPr>
        <w:t>England</w:t>
      </w:r>
      <w:proofErr w:type="spellEnd"/>
      <w:r w:rsidRPr="00992C45">
        <w:rPr>
          <w:lang w:val="fr-FR"/>
        </w:rPr>
        <w:t xml:space="preserve">’, </w:t>
      </w:r>
      <w:r w:rsidRPr="00992C45">
        <w:rPr>
          <w:i/>
          <w:iCs/>
          <w:lang w:val="fr-FR"/>
        </w:rPr>
        <w:t xml:space="preserve">The William and Mary </w:t>
      </w:r>
      <w:proofErr w:type="spellStart"/>
      <w:r w:rsidRPr="00992C45">
        <w:rPr>
          <w:i/>
          <w:iCs/>
          <w:lang w:val="fr-FR"/>
        </w:rPr>
        <w:t>Quarterly</w:t>
      </w:r>
      <w:proofErr w:type="spellEnd"/>
      <w:r w:rsidRPr="00992C45">
        <w:rPr>
          <w:i/>
          <w:iCs/>
          <w:lang w:val="fr-FR"/>
        </w:rPr>
        <w:t xml:space="preserve">, </w:t>
      </w:r>
      <w:r w:rsidRPr="00992C45">
        <w:rPr>
          <w:lang w:val="fr-FR"/>
        </w:rPr>
        <w:t>Vol. 55, No. 1, (1998), pp.3-38</w:t>
      </w:r>
      <w:r w:rsidRPr="00992C45">
        <w:t> </w:t>
      </w:r>
    </w:p>
    <w:p w14:paraId="5FBA1B20" w14:textId="77777777" w:rsidR="00992C45" w:rsidRPr="00992C45" w:rsidRDefault="00992C45" w:rsidP="0028398D">
      <w:pPr>
        <w:spacing w:after="240" w:line="240" w:lineRule="auto"/>
        <w:jc w:val="both"/>
      </w:pPr>
      <w:r w:rsidRPr="00992C45">
        <w:rPr>
          <w:lang w:val="en-US"/>
        </w:rPr>
        <w:t xml:space="preserve">Thomas, Arun and Asokan Mundon, ‘Robert Adams: the real founder of English East India Company’s supremacy in Malabar’, </w:t>
      </w:r>
      <w:r w:rsidRPr="00992C45">
        <w:rPr>
          <w:i/>
          <w:iCs/>
          <w:lang w:val="en-US"/>
        </w:rPr>
        <w:t xml:space="preserve">Journal of Humanities and Social Science, </w:t>
      </w:r>
      <w:r w:rsidRPr="00992C45">
        <w:rPr>
          <w:lang w:val="en-US"/>
        </w:rPr>
        <w:t>Vol. 20, No. 5, (2015), pp.19-26</w:t>
      </w:r>
      <w:r w:rsidRPr="00992C45">
        <w:t> </w:t>
      </w:r>
    </w:p>
    <w:p w14:paraId="01AF7D29" w14:textId="77777777" w:rsidR="00992C45" w:rsidRPr="00992C45" w:rsidRDefault="00992C45" w:rsidP="0028398D">
      <w:pPr>
        <w:spacing w:after="240" w:line="240" w:lineRule="auto"/>
        <w:jc w:val="both"/>
      </w:pPr>
      <w:proofErr w:type="spellStart"/>
      <w:r w:rsidRPr="00992C45">
        <w:rPr>
          <w:lang w:val="fr-FR"/>
        </w:rPr>
        <w:t>Tolley</w:t>
      </w:r>
      <w:proofErr w:type="spellEnd"/>
      <w:r w:rsidRPr="00992C45">
        <w:rPr>
          <w:lang w:val="fr-FR"/>
        </w:rPr>
        <w:t xml:space="preserve">, Thomas, ‘Visual culture’, in </w:t>
      </w:r>
      <w:proofErr w:type="spellStart"/>
      <w:r w:rsidRPr="00992C45">
        <w:rPr>
          <w:lang w:val="fr-FR"/>
        </w:rPr>
        <w:t>Raluca</w:t>
      </w:r>
      <w:proofErr w:type="spellEnd"/>
      <w:r w:rsidRPr="00992C45">
        <w:rPr>
          <w:lang w:val="fr-FR"/>
        </w:rPr>
        <w:t xml:space="preserve"> </w:t>
      </w:r>
      <w:proofErr w:type="spellStart"/>
      <w:r w:rsidRPr="00992C45">
        <w:rPr>
          <w:lang w:val="fr-FR"/>
        </w:rPr>
        <w:t>Radalescu</w:t>
      </w:r>
      <w:proofErr w:type="spellEnd"/>
      <w:r w:rsidRPr="00992C45">
        <w:rPr>
          <w:lang w:val="fr-FR"/>
        </w:rPr>
        <w:t xml:space="preserve"> and Alison </w:t>
      </w:r>
      <w:proofErr w:type="spellStart"/>
      <w:r w:rsidRPr="00992C45">
        <w:rPr>
          <w:lang w:val="fr-FR"/>
        </w:rPr>
        <w:t>Truelove</w:t>
      </w:r>
      <w:proofErr w:type="spellEnd"/>
      <w:r w:rsidRPr="00992C45">
        <w:rPr>
          <w:lang w:val="fr-FR"/>
        </w:rPr>
        <w:t xml:space="preserve"> (</w:t>
      </w:r>
      <w:proofErr w:type="spellStart"/>
      <w:r w:rsidRPr="00992C45">
        <w:rPr>
          <w:lang w:val="fr-FR"/>
        </w:rPr>
        <w:t>eds</w:t>
      </w:r>
      <w:proofErr w:type="spellEnd"/>
      <w:r w:rsidRPr="00992C45">
        <w:rPr>
          <w:lang w:val="fr-FR"/>
        </w:rPr>
        <w:t xml:space="preserve">), </w:t>
      </w:r>
      <w:r w:rsidRPr="00992C45">
        <w:rPr>
          <w:i/>
          <w:iCs/>
          <w:lang w:val="fr-FR"/>
        </w:rPr>
        <w:t xml:space="preserve">Gentry Culture in </w:t>
      </w:r>
      <w:proofErr w:type="spellStart"/>
      <w:r w:rsidRPr="00992C45">
        <w:rPr>
          <w:i/>
          <w:iCs/>
          <w:lang w:val="fr-FR"/>
        </w:rPr>
        <w:t>Late-Medieval</w:t>
      </w:r>
      <w:proofErr w:type="spellEnd"/>
      <w:r w:rsidRPr="00992C45">
        <w:rPr>
          <w:i/>
          <w:iCs/>
          <w:lang w:val="fr-FR"/>
        </w:rPr>
        <w:t xml:space="preserve"> </w:t>
      </w:r>
      <w:proofErr w:type="spellStart"/>
      <w:r w:rsidRPr="00992C45">
        <w:rPr>
          <w:i/>
          <w:iCs/>
          <w:lang w:val="fr-FR"/>
        </w:rPr>
        <w:t>England</w:t>
      </w:r>
      <w:proofErr w:type="spellEnd"/>
      <w:r w:rsidRPr="00992C45">
        <w:rPr>
          <w:i/>
          <w:iCs/>
          <w:lang w:val="fr-FR"/>
        </w:rPr>
        <w:t>,</w:t>
      </w:r>
      <w:r w:rsidRPr="00992C45">
        <w:rPr>
          <w:lang w:val="fr-FR"/>
        </w:rPr>
        <w:t xml:space="preserve"> (Manchester, 2006), pp.167-182</w:t>
      </w:r>
      <w:r w:rsidRPr="00992C45">
        <w:t> </w:t>
      </w:r>
    </w:p>
    <w:p w14:paraId="44613BE7" w14:textId="77777777" w:rsidR="00992C45" w:rsidRPr="00992C45" w:rsidRDefault="00992C45" w:rsidP="0028398D">
      <w:pPr>
        <w:spacing w:after="240" w:line="240" w:lineRule="auto"/>
        <w:jc w:val="both"/>
      </w:pPr>
      <w:proofErr w:type="spellStart"/>
      <w:r w:rsidRPr="00992C45">
        <w:rPr>
          <w:lang w:val="en-US"/>
        </w:rPr>
        <w:t>Tomíĉek</w:t>
      </w:r>
      <w:proofErr w:type="spellEnd"/>
      <w:r w:rsidRPr="00992C45">
        <w:rPr>
          <w:lang w:val="en-US"/>
        </w:rPr>
        <w:t xml:space="preserve">, David, ‘Magic and ritual in late-medieval and </w:t>
      </w:r>
      <w:proofErr w:type="gramStart"/>
      <w:r w:rsidRPr="00992C45">
        <w:rPr>
          <w:lang w:val="en-US"/>
        </w:rPr>
        <w:t>early-modern</w:t>
      </w:r>
      <w:proofErr w:type="gramEnd"/>
      <w:r w:rsidRPr="00992C45">
        <w:rPr>
          <w:lang w:val="en-US"/>
        </w:rPr>
        <w:t xml:space="preserve"> popular medicine’, in Albrecht Classen (ed.), </w:t>
      </w:r>
      <w:r w:rsidRPr="00992C45">
        <w:rPr>
          <w:i/>
          <w:iCs/>
          <w:lang w:val="en-US"/>
        </w:rPr>
        <w:t xml:space="preserve">Magic and Magicians in the Middle Ages and the Early Modern Time, </w:t>
      </w:r>
      <w:r w:rsidRPr="00992C45">
        <w:rPr>
          <w:lang w:val="en-US"/>
        </w:rPr>
        <w:t>(Berlin, 2017), pp.591-608</w:t>
      </w:r>
      <w:r w:rsidRPr="00992C45">
        <w:t> </w:t>
      </w:r>
    </w:p>
    <w:p w14:paraId="6143D4A0" w14:textId="77777777" w:rsidR="00992C45" w:rsidRPr="00992C45" w:rsidRDefault="00992C45" w:rsidP="0028398D">
      <w:pPr>
        <w:spacing w:after="240" w:line="240" w:lineRule="auto"/>
        <w:jc w:val="both"/>
      </w:pPr>
      <w:r w:rsidRPr="00992C45">
        <w:rPr>
          <w:lang w:val="en-US"/>
        </w:rPr>
        <w:t xml:space="preserve">Town, Edward and Angela McShane (eds), </w:t>
      </w:r>
      <w:r w:rsidRPr="00992C45">
        <w:rPr>
          <w:i/>
          <w:iCs/>
          <w:lang w:val="en-US"/>
        </w:rPr>
        <w:t xml:space="preserve">Marking Time: Objects, People, and Their Lives, 1500-1800, </w:t>
      </w:r>
      <w:r w:rsidRPr="00992C45">
        <w:rPr>
          <w:lang w:val="en-US"/>
        </w:rPr>
        <w:t>(New Haven, 2020)</w:t>
      </w:r>
      <w:r w:rsidRPr="00992C45">
        <w:t> </w:t>
      </w:r>
    </w:p>
    <w:p w14:paraId="0240E874" w14:textId="77777777" w:rsidR="00992C45" w:rsidRPr="00992C45" w:rsidRDefault="00992C45" w:rsidP="0028398D">
      <w:pPr>
        <w:spacing w:after="240" w:line="240" w:lineRule="auto"/>
        <w:jc w:val="both"/>
      </w:pPr>
      <w:r w:rsidRPr="00992C45">
        <w:rPr>
          <w:lang w:val="en-US"/>
        </w:rPr>
        <w:t xml:space="preserve">Vine, Angus, </w:t>
      </w:r>
      <w:r w:rsidRPr="00992C45">
        <w:rPr>
          <w:i/>
          <w:iCs/>
          <w:lang w:val="en-US"/>
        </w:rPr>
        <w:t xml:space="preserve">In Defiance of Time: Antiquarian Writing in Early Modern England, </w:t>
      </w:r>
      <w:r w:rsidRPr="00992C45">
        <w:rPr>
          <w:lang w:val="en-US"/>
        </w:rPr>
        <w:t>(Oxford, 2010)</w:t>
      </w:r>
      <w:r w:rsidRPr="00992C45">
        <w:t> </w:t>
      </w:r>
    </w:p>
    <w:p w14:paraId="0F2253F4" w14:textId="77777777" w:rsidR="00992C45" w:rsidRPr="00992C45" w:rsidRDefault="00992C45" w:rsidP="0028398D">
      <w:pPr>
        <w:spacing w:after="240" w:line="240" w:lineRule="auto"/>
        <w:jc w:val="both"/>
      </w:pPr>
      <w:r w:rsidRPr="00992C45">
        <w:rPr>
          <w:lang w:val="en-US"/>
        </w:rPr>
        <w:t xml:space="preserve">de Vries, Jan, </w:t>
      </w:r>
      <w:r w:rsidRPr="00992C45">
        <w:rPr>
          <w:i/>
          <w:iCs/>
          <w:lang w:val="en-US"/>
        </w:rPr>
        <w:t xml:space="preserve">The Industrious Revolution: Consumer </w:t>
      </w:r>
      <w:proofErr w:type="spellStart"/>
      <w:r w:rsidRPr="00992C45">
        <w:rPr>
          <w:i/>
          <w:iCs/>
          <w:lang w:val="en-US"/>
        </w:rPr>
        <w:t>Behaviour</w:t>
      </w:r>
      <w:proofErr w:type="spellEnd"/>
      <w:r w:rsidRPr="00992C45">
        <w:rPr>
          <w:i/>
          <w:iCs/>
          <w:lang w:val="en-US"/>
        </w:rPr>
        <w:t xml:space="preserve"> and the Household Economy, 1650 to the Present, </w:t>
      </w:r>
      <w:r w:rsidRPr="00992C45">
        <w:rPr>
          <w:lang w:val="en-US"/>
        </w:rPr>
        <w:t>(Cambridge, 2008)</w:t>
      </w:r>
      <w:r w:rsidRPr="00992C45">
        <w:t> </w:t>
      </w:r>
    </w:p>
    <w:p w14:paraId="32FB78C2" w14:textId="77777777" w:rsidR="00992C45" w:rsidRPr="00992C45" w:rsidRDefault="00992C45" w:rsidP="0028398D">
      <w:pPr>
        <w:spacing w:after="240" w:line="240" w:lineRule="auto"/>
        <w:jc w:val="both"/>
      </w:pPr>
      <w:r w:rsidRPr="00992C45">
        <w:rPr>
          <w:lang w:val="en-US"/>
        </w:rPr>
        <w:t xml:space="preserve">Wald (Konstanz), Christina, ‘Shakespeare’s art of entanglement: </w:t>
      </w:r>
      <w:r w:rsidRPr="00992C45">
        <w:rPr>
          <w:i/>
          <w:iCs/>
          <w:lang w:val="en-US"/>
        </w:rPr>
        <w:t xml:space="preserve">The </w:t>
      </w:r>
      <w:proofErr w:type="gramStart"/>
      <w:r w:rsidRPr="00992C45">
        <w:rPr>
          <w:i/>
          <w:iCs/>
          <w:lang w:val="en-US"/>
        </w:rPr>
        <w:t>Tempest</w:t>
      </w:r>
      <w:r w:rsidRPr="00992C45">
        <w:rPr>
          <w:lang w:val="en-US"/>
        </w:rPr>
        <w:t>‘</w:t>
      </w:r>
      <w:proofErr w:type="gramEnd"/>
      <w:r w:rsidRPr="00992C45">
        <w:rPr>
          <w:lang w:val="en-US"/>
        </w:rPr>
        <w:t xml:space="preserve">s tragicomedy dramaturgy or knotting and untying’, </w:t>
      </w:r>
      <w:r w:rsidRPr="00992C45">
        <w:rPr>
          <w:i/>
          <w:iCs/>
          <w:lang w:val="en-US"/>
        </w:rPr>
        <w:t xml:space="preserve">Shakespeare, </w:t>
      </w:r>
      <w:r w:rsidRPr="00992C45">
        <w:rPr>
          <w:lang w:val="en-US"/>
        </w:rPr>
        <w:t>Vol. 19, No. 3, (2023), pp.269-295</w:t>
      </w:r>
      <w:r w:rsidRPr="00992C45">
        <w:t> </w:t>
      </w:r>
    </w:p>
    <w:p w14:paraId="74546F08" w14:textId="77777777" w:rsidR="00992C45" w:rsidRPr="00992C45" w:rsidRDefault="00992C45" w:rsidP="0028398D">
      <w:pPr>
        <w:spacing w:after="240" w:line="240" w:lineRule="auto"/>
        <w:jc w:val="both"/>
      </w:pPr>
      <w:r w:rsidRPr="00992C45">
        <w:rPr>
          <w:lang w:val="fr-FR"/>
        </w:rPr>
        <w:t xml:space="preserve">Walker, </w:t>
      </w:r>
      <w:proofErr w:type="spellStart"/>
      <w:r w:rsidRPr="00992C45">
        <w:rPr>
          <w:lang w:val="fr-FR"/>
        </w:rPr>
        <w:t>Garthine</w:t>
      </w:r>
      <w:proofErr w:type="spellEnd"/>
      <w:r w:rsidRPr="00992C45">
        <w:rPr>
          <w:lang w:val="fr-FR"/>
        </w:rPr>
        <w:t xml:space="preserve">, </w:t>
      </w:r>
      <w:r w:rsidRPr="00992C45">
        <w:rPr>
          <w:i/>
          <w:iCs/>
          <w:lang w:val="fr-FR"/>
        </w:rPr>
        <w:t xml:space="preserve">Crime, </w:t>
      </w:r>
      <w:proofErr w:type="spellStart"/>
      <w:r w:rsidRPr="00992C45">
        <w:rPr>
          <w:i/>
          <w:iCs/>
          <w:lang w:val="fr-FR"/>
        </w:rPr>
        <w:t>Gender</w:t>
      </w:r>
      <w:proofErr w:type="spellEnd"/>
      <w:r w:rsidRPr="00992C45">
        <w:rPr>
          <w:i/>
          <w:iCs/>
          <w:lang w:val="fr-FR"/>
        </w:rPr>
        <w:t xml:space="preserve"> and Social </w:t>
      </w:r>
      <w:proofErr w:type="spellStart"/>
      <w:r w:rsidRPr="00992C45">
        <w:rPr>
          <w:i/>
          <w:iCs/>
          <w:lang w:val="fr-FR"/>
        </w:rPr>
        <w:t>Order</w:t>
      </w:r>
      <w:proofErr w:type="spellEnd"/>
      <w:r w:rsidRPr="00992C45">
        <w:rPr>
          <w:i/>
          <w:iCs/>
          <w:lang w:val="fr-FR"/>
        </w:rPr>
        <w:t xml:space="preserve"> in </w:t>
      </w:r>
      <w:proofErr w:type="spellStart"/>
      <w:r w:rsidRPr="00992C45">
        <w:rPr>
          <w:i/>
          <w:iCs/>
          <w:lang w:val="fr-FR"/>
        </w:rPr>
        <w:t>Early</w:t>
      </w:r>
      <w:proofErr w:type="spellEnd"/>
      <w:r w:rsidRPr="00992C45">
        <w:rPr>
          <w:i/>
          <w:iCs/>
          <w:lang w:val="fr-FR"/>
        </w:rPr>
        <w:t xml:space="preserve"> Modern </w:t>
      </w:r>
      <w:proofErr w:type="spellStart"/>
      <w:r w:rsidRPr="00992C45">
        <w:rPr>
          <w:i/>
          <w:iCs/>
          <w:lang w:val="fr-FR"/>
        </w:rPr>
        <w:t>England</w:t>
      </w:r>
      <w:proofErr w:type="spellEnd"/>
      <w:r w:rsidRPr="00992C45">
        <w:rPr>
          <w:lang w:val="fr-FR"/>
        </w:rPr>
        <w:t>, (Cambridge, 2003)</w:t>
      </w:r>
      <w:r w:rsidRPr="00992C45">
        <w:t> </w:t>
      </w:r>
    </w:p>
    <w:p w14:paraId="66348DD3" w14:textId="77777777" w:rsidR="00992C45" w:rsidRPr="00992C45" w:rsidRDefault="00992C45" w:rsidP="0028398D">
      <w:pPr>
        <w:spacing w:after="240" w:line="240" w:lineRule="auto"/>
        <w:jc w:val="both"/>
      </w:pPr>
      <w:r w:rsidRPr="00992C45">
        <w:rPr>
          <w:lang w:val="fr-FR"/>
        </w:rPr>
        <w:lastRenderedPageBreak/>
        <w:t>Walker, R. B., ‘</w:t>
      </w:r>
      <w:proofErr w:type="spellStart"/>
      <w:r w:rsidRPr="00992C45">
        <w:rPr>
          <w:lang w:val="fr-FR"/>
        </w:rPr>
        <w:t>Religious</w:t>
      </w:r>
      <w:proofErr w:type="spellEnd"/>
      <w:r w:rsidRPr="00992C45">
        <w:rPr>
          <w:lang w:val="fr-FR"/>
        </w:rPr>
        <w:t xml:space="preserve"> changes in Cheshire, 1750-1850’, </w:t>
      </w:r>
      <w:r w:rsidRPr="00992C45">
        <w:rPr>
          <w:i/>
          <w:iCs/>
          <w:lang w:val="fr-FR"/>
        </w:rPr>
        <w:t xml:space="preserve">The Journal of </w:t>
      </w:r>
      <w:proofErr w:type="spellStart"/>
      <w:r w:rsidRPr="00992C45">
        <w:rPr>
          <w:i/>
          <w:iCs/>
          <w:lang w:val="fr-FR"/>
        </w:rPr>
        <w:t>Ecclesiastical</w:t>
      </w:r>
      <w:proofErr w:type="spellEnd"/>
      <w:r w:rsidRPr="00992C45">
        <w:rPr>
          <w:i/>
          <w:iCs/>
          <w:lang w:val="fr-FR"/>
        </w:rPr>
        <w:t xml:space="preserve"> </w:t>
      </w:r>
      <w:proofErr w:type="spellStart"/>
      <w:r w:rsidRPr="00992C45">
        <w:rPr>
          <w:i/>
          <w:iCs/>
          <w:lang w:val="fr-FR"/>
        </w:rPr>
        <w:t>History</w:t>
      </w:r>
      <w:proofErr w:type="spellEnd"/>
      <w:r w:rsidRPr="00992C45">
        <w:rPr>
          <w:i/>
          <w:iCs/>
          <w:lang w:val="fr-FR"/>
        </w:rPr>
        <w:t xml:space="preserve">, </w:t>
      </w:r>
      <w:r w:rsidRPr="00992C45">
        <w:rPr>
          <w:lang w:val="fr-FR"/>
        </w:rPr>
        <w:t>Vol. 17, No. 1, (1966), pp.77-94</w:t>
      </w:r>
      <w:r w:rsidRPr="00992C45">
        <w:t> </w:t>
      </w:r>
    </w:p>
    <w:p w14:paraId="0931C4AD" w14:textId="77777777" w:rsidR="00992C45" w:rsidRPr="00992C45" w:rsidRDefault="00992C45" w:rsidP="0028398D">
      <w:pPr>
        <w:spacing w:after="240" w:line="240" w:lineRule="auto"/>
        <w:jc w:val="both"/>
      </w:pPr>
      <w:r w:rsidRPr="00992C45">
        <w:rPr>
          <w:lang w:val="en-US"/>
        </w:rPr>
        <w:t xml:space="preserve">Wall, </w:t>
      </w:r>
      <w:proofErr w:type="gramStart"/>
      <w:r w:rsidRPr="00992C45">
        <w:rPr>
          <w:lang w:val="en-US"/>
        </w:rPr>
        <w:t>Richard, ‘</w:t>
      </w:r>
      <w:proofErr w:type="gramEnd"/>
      <w:r w:rsidRPr="00992C45">
        <w:rPr>
          <w:lang w:val="en-US"/>
        </w:rPr>
        <w:t xml:space="preserve">Bequests to widows and their property in early modern England’, </w:t>
      </w:r>
      <w:r w:rsidRPr="00992C45">
        <w:rPr>
          <w:i/>
          <w:iCs/>
          <w:lang w:val="en-US"/>
        </w:rPr>
        <w:t xml:space="preserve">History of the Family, </w:t>
      </w:r>
      <w:r w:rsidRPr="00992C45">
        <w:rPr>
          <w:lang w:val="en-US"/>
        </w:rPr>
        <w:t>Vol. 15, No.3, (2010), pp.222-238</w:t>
      </w:r>
      <w:r w:rsidRPr="00992C45">
        <w:t> </w:t>
      </w:r>
    </w:p>
    <w:p w14:paraId="5552DF56" w14:textId="77777777" w:rsidR="00992C45" w:rsidRPr="00992C45" w:rsidRDefault="00992C45" w:rsidP="0028398D">
      <w:pPr>
        <w:spacing w:after="240" w:line="240" w:lineRule="auto"/>
        <w:jc w:val="both"/>
      </w:pPr>
      <w:r w:rsidRPr="00992C45">
        <w:rPr>
          <w:lang w:val="fr-FR"/>
        </w:rPr>
        <w:t xml:space="preserve">Wallis, P. J., ‘A </w:t>
      </w:r>
      <w:proofErr w:type="spellStart"/>
      <w:r w:rsidRPr="00992C45">
        <w:rPr>
          <w:lang w:val="fr-FR"/>
        </w:rPr>
        <w:t>preliminary</w:t>
      </w:r>
      <w:proofErr w:type="spellEnd"/>
      <w:r w:rsidRPr="00992C45">
        <w:rPr>
          <w:lang w:val="fr-FR"/>
        </w:rPr>
        <w:t xml:space="preserve"> </w:t>
      </w:r>
      <w:proofErr w:type="spellStart"/>
      <w:r w:rsidRPr="00992C45">
        <w:rPr>
          <w:lang w:val="fr-FR"/>
        </w:rPr>
        <w:t>register</w:t>
      </w:r>
      <w:proofErr w:type="spellEnd"/>
      <w:r w:rsidRPr="00992C45">
        <w:rPr>
          <w:lang w:val="fr-FR"/>
        </w:rPr>
        <w:t xml:space="preserve"> of </w:t>
      </w:r>
      <w:proofErr w:type="spellStart"/>
      <w:r w:rsidRPr="00992C45">
        <w:rPr>
          <w:lang w:val="fr-FR"/>
        </w:rPr>
        <w:t>old</w:t>
      </w:r>
      <w:proofErr w:type="spellEnd"/>
      <w:r w:rsidRPr="00992C45">
        <w:rPr>
          <w:lang w:val="fr-FR"/>
        </w:rPr>
        <w:t xml:space="preserve"> </w:t>
      </w:r>
      <w:proofErr w:type="spellStart"/>
      <w:r w:rsidRPr="00992C45">
        <w:rPr>
          <w:lang w:val="fr-FR"/>
        </w:rPr>
        <w:t>schools</w:t>
      </w:r>
      <w:proofErr w:type="spellEnd"/>
      <w:r w:rsidRPr="00992C45">
        <w:rPr>
          <w:lang w:val="fr-FR"/>
        </w:rPr>
        <w:t xml:space="preserve"> in Lancashire and Cheshire’, </w:t>
      </w:r>
      <w:r w:rsidRPr="00992C45">
        <w:rPr>
          <w:i/>
          <w:iCs/>
          <w:lang w:val="fr-FR"/>
        </w:rPr>
        <w:t xml:space="preserve">The Historic Society of Lancashire and Cheshire, </w:t>
      </w:r>
      <w:r w:rsidRPr="00992C45">
        <w:rPr>
          <w:lang w:val="fr-FR"/>
        </w:rPr>
        <w:t>Vol. 120 (1968), pp.1-21</w:t>
      </w:r>
      <w:r w:rsidRPr="00992C45">
        <w:t> </w:t>
      </w:r>
    </w:p>
    <w:p w14:paraId="674ED2D0" w14:textId="77777777" w:rsidR="00992C45" w:rsidRPr="00992C45" w:rsidRDefault="00992C45" w:rsidP="0028398D">
      <w:pPr>
        <w:spacing w:after="240" w:line="240" w:lineRule="auto"/>
        <w:jc w:val="both"/>
      </w:pPr>
      <w:proofErr w:type="spellStart"/>
      <w:r w:rsidRPr="00992C45">
        <w:rPr>
          <w:lang w:val="fr-FR"/>
        </w:rPr>
        <w:t>Walsby</w:t>
      </w:r>
      <w:proofErr w:type="spellEnd"/>
      <w:r w:rsidRPr="00992C45">
        <w:rPr>
          <w:lang w:val="fr-FR"/>
        </w:rPr>
        <w:t xml:space="preserve">, Malcolm, ‘Book </w:t>
      </w:r>
      <w:proofErr w:type="spellStart"/>
      <w:r w:rsidRPr="00992C45">
        <w:rPr>
          <w:lang w:val="fr-FR"/>
        </w:rPr>
        <w:t>lists</w:t>
      </w:r>
      <w:proofErr w:type="spellEnd"/>
      <w:r w:rsidRPr="00992C45">
        <w:rPr>
          <w:lang w:val="fr-FR"/>
        </w:rPr>
        <w:t xml:space="preserve"> and </w:t>
      </w:r>
      <w:proofErr w:type="spellStart"/>
      <w:r w:rsidRPr="00992C45">
        <w:rPr>
          <w:lang w:val="fr-FR"/>
        </w:rPr>
        <w:t>their</w:t>
      </w:r>
      <w:proofErr w:type="spellEnd"/>
      <w:r w:rsidRPr="00992C45">
        <w:rPr>
          <w:lang w:val="fr-FR"/>
        </w:rPr>
        <w:t xml:space="preserve"> </w:t>
      </w:r>
      <w:proofErr w:type="spellStart"/>
      <w:r w:rsidRPr="00992C45">
        <w:rPr>
          <w:lang w:val="fr-FR"/>
        </w:rPr>
        <w:t>meaning</w:t>
      </w:r>
      <w:proofErr w:type="spellEnd"/>
      <w:r w:rsidRPr="00992C45">
        <w:rPr>
          <w:lang w:val="fr-FR"/>
        </w:rPr>
        <w:t xml:space="preserve">’, in Malcolm </w:t>
      </w:r>
      <w:proofErr w:type="spellStart"/>
      <w:r w:rsidRPr="00992C45">
        <w:rPr>
          <w:lang w:val="fr-FR"/>
        </w:rPr>
        <w:t>Walsby</w:t>
      </w:r>
      <w:proofErr w:type="spellEnd"/>
      <w:r w:rsidRPr="00992C45">
        <w:rPr>
          <w:lang w:val="fr-FR"/>
        </w:rPr>
        <w:t xml:space="preserve"> and Natasha Constantinidou (</w:t>
      </w:r>
      <w:proofErr w:type="spellStart"/>
      <w:r w:rsidRPr="00992C45">
        <w:rPr>
          <w:lang w:val="fr-FR"/>
        </w:rPr>
        <w:t>eds</w:t>
      </w:r>
      <w:proofErr w:type="spellEnd"/>
      <w:r w:rsidRPr="00992C45">
        <w:rPr>
          <w:lang w:val="fr-FR"/>
        </w:rPr>
        <w:t xml:space="preserve">), </w:t>
      </w:r>
      <w:proofErr w:type="spellStart"/>
      <w:r w:rsidRPr="00992C45">
        <w:rPr>
          <w:i/>
          <w:iCs/>
          <w:lang w:val="fr-FR"/>
        </w:rPr>
        <w:t>Documenting</w:t>
      </w:r>
      <w:proofErr w:type="spellEnd"/>
      <w:r w:rsidRPr="00992C45">
        <w:rPr>
          <w:i/>
          <w:iCs/>
          <w:lang w:val="fr-FR"/>
        </w:rPr>
        <w:t xml:space="preserve"> the </w:t>
      </w:r>
      <w:proofErr w:type="spellStart"/>
      <w:r w:rsidRPr="00992C45">
        <w:rPr>
          <w:i/>
          <w:iCs/>
          <w:lang w:val="fr-FR"/>
        </w:rPr>
        <w:t>Early</w:t>
      </w:r>
      <w:proofErr w:type="spellEnd"/>
      <w:r w:rsidRPr="00992C45">
        <w:rPr>
          <w:i/>
          <w:iCs/>
          <w:lang w:val="fr-FR"/>
        </w:rPr>
        <w:t xml:space="preserve"> Modern Book </w:t>
      </w:r>
      <w:proofErr w:type="gramStart"/>
      <w:r w:rsidRPr="00992C45">
        <w:rPr>
          <w:i/>
          <w:iCs/>
          <w:lang w:val="fr-FR"/>
        </w:rPr>
        <w:t>World:</w:t>
      </w:r>
      <w:proofErr w:type="gramEnd"/>
      <w:r w:rsidRPr="00992C45">
        <w:rPr>
          <w:i/>
          <w:iCs/>
          <w:lang w:val="fr-FR"/>
        </w:rPr>
        <w:t xml:space="preserve"> Inventories and Catalogues in </w:t>
      </w:r>
      <w:proofErr w:type="spellStart"/>
      <w:r w:rsidRPr="00992C45">
        <w:rPr>
          <w:i/>
          <w:iCs/>
          <w:lang w:val="fr-FR"/>
        </w:rPr>
        <w:t>Manuscript</w:t>
      </w:r>
      <w:proofErr w:type="spellEnd"/>
      <w:r w:rsidRPr="00992C45">
        <w:rPr>
          <w:i/>
          <w:iCs/>
          <w:lang w:val="fr-FR"/>
        </w:rPr>
        <w:t xml:space="preserve"> and </w:t>
      </w:r>
      <w:proofErr w:type="spellStart"/>
      <w:r w:rsidRPr="00992C45">
        <w:rPr>
          <w:i/>
          <w:iCs/>
          <w:lang w:val="fr-FR"/>
        </w:rPr>
        <w:t>Print</w:t>
      </w:r>
      <w:proofErr w:type="spellEnd"/>
      <w:r w:rsidRPr="00992C45">
        <w:rPr>
          <w:i/>
          <w:iCs/>
          <w:lang w:val="fr-FR"/>
        </w:rPr>
        <w:t xml:space="preserve">, </w:t>
      </w:r>
      <w:r w:rsidRPr="00992C45">
        <w:rPr>
          <w:lang w:val="fr-FR"/>
        </w:rPr>
        <w:t>(Leiden, 2013), pp.1-24</w:t>
      </w:r>
      <w:r w:rsidRPr="00992C45">
        <w:t> </w:t>
      </w:r>
    </w:p>
    <w:p w14:paraId="55FA56F8" w14:textId="77777777" w:rsidR="00992C45" w:rsidRPr="00992C45" w:rsidRDefault="00992C45" w:rsidP="0028398D">
      <w:pPr>
        <w:spacing w:after="240" w:line="240" w:lineRule="auto"/>
        <w:jc w:val="both"/>
      </w:pPr>
      <w:r w:rsidRPr="00992C45">
        <w:rPr>
          <w:lang w:val="en-US"/>
        </w:rPr>
        <w:t xml:space="preserve">Walsham, </w:t>
      </w:r>
      <w:proofErr w:type="gramStart"/>
      <w:r w:rsidRPr="00992C45">
        <w:rPr>
          <w:lang w:val="en-US"/>
        </w:rPr>
        <w:t>Alexandra, ‘</w:t>
      </w:r>
      <w:proofErr w:type="gramEnd"/>
      <w:r w:rsidRPr="00992C45">
        <w:rPr>
          <w:lang w:val="en-US"/>
        </w:rPr>
        <w:t xml:space="preserve">Domesticating the Reformation: material culture, memory and confessional identity in early modern England’, </w:t>
      </w:r>
      <w:r w:rsidRPr="00992C45">
        <w:rPr>
          <w:i/>
          <w:iCs/>
          <w:lang w:val="en-US"/>
        </w:rPr>
        <w:t>Renaissance Quarterly</w:t>
      </w:r>
      <w:r w:rsidRPr="00992C45">
        <w:rPr>
          <w:lang w:val="en-US"/>
        </w:rPr>
        <w:t>, Vol. 69, (2016), pp.566-616</w:t>
      </w:r>
      <w:r w:rsidRPr="00992C45">
        <w:t> </w:t>
      </w:r>
    </w:p>
    <w:p w14:paraId="7FE74706" w14:textId="77777777" w:rsidR="00992C45" w:rsidRPr="00992C45" w:rsidRDefault="00992C45" w:rsidP="0028398D">
      <w:pPr>
        <w:spacing w:after="240" w:line="240" w:lineRule="auto"/>
        <w:jc w:val="both"/>
      </w:pPr>
      <w:r w:rsidRPr="00992C45">
        <w:rPr>
          <w:lang w:val="en-US"/>
        </w:rPr>
        <w:t xml:space="preserve">Walton, </w:t>
      </w:r>
      <w:proofErr w:type="gramStart"/>
      <w:r w:rsidRPr="00992C45">
        <w:rPr>
          <w:lang w:val="en-US"/>
        </w:rPr>
        <w:t>James, ‘</w:t>
      </w:r>
      <w:proofErr w:type="gramEnd"/>
      <w:r w:rsidRPr="00992C45">
        <w:rPr>
          <w:lang w:val="en-US"/>
        </w:rPr>
        <w:t xml:space="preserve">The built-in bed tradition in North Yorkshire’, </w:t>
      </w:r>
      <w:proofErr w:type="spellStart"/>
      <w:r w:rsidRPr="00992C45">
        <w:rPr>
          <w:i/>
          <w:iCs/>
          <w:lang w:val="en-US"/>
        </w:rPr>
        <w:t>Gwerin</w:t>
      </w:r>
      <w:proofErr w:type="spellEnd"/>
      <w:r w:rsidRPr="00992C45">
        <w:rPr>
          <w:i/>
          <w:iCs/>
          <w:lang w:val="en-US"/>
        </w:rPr>
        <w:t xml:space="preserve">: A Half-Yearly Journal of Folk Life, </w:t>
      </w:r>
      <w:r w:rsidRPr="00992C45">
        <w:rPr>
          <w:lang w:val="en-US"/>
        </w:rPr>
        <w:t>Vol. 3, No. 3, (1961), pp.114-125</w:t>
      </w:r>
      <w:r w:rsidRPr="00992C45">
        <w:t> </w:t>
      </w:r>
    </w:p>
    <w:p w14:paraId="669CB6B3" w14:textId="77777777" w:rsidR="00992C45" w:rsidRPr="00992C45" w:rsidRDefault="00992C45" w:rsidP="0028398D">
      <w:pPr>
        <w:spacing w:after="240" w:line="240" w:lineRule="auto"/>
        <w:jc w:val="both"/>
      </w:pPr>
      <w:r w:rsidRPr="00992C45">
        <w:t xml:space="preserve">Walton, James, ‘The open hearth’, </w:t>
      </w:r>
      <w:r w:rsidRPr="00992C45">
        <w:rPr>
          <w:i/>
          <w:iCs/>
        </w:rPr>
        <w:t xml:space="preserve">Country Life, </w:t>
      </w:r>
      <w:r w:rsidRPr="00992C45">
        <w:t>(1948), pp.1160-1161 </w:t>
      </w:r>
    </w:p>
    <w:p w14:paraId="2519E53E" w14:textId="77777777" w:rsidR="00992C45" w:rsidRPr="00992C45" w:rsidRDefault="00992C45" w:rsidP="0028398D">
      <w:pPr>
        <w:spacing w:after="240" w:line="240" w:lineRule="auto"/>
        <w:jc w:val="both"/>
      </w:pPr>
      <w:r w:rsidRPr="00992C45">
        <w:rPr>
          <w:lang w:val="en-US"/>
        </w:rPr>
        <w:t xml:space="preserve">Warren, Ian, ‘The English landed elite and the social environment of London c.1580-1700: the cradle of an aristocratic culture?’, </w:t>
      </w:r>
      <w:r w:rsidRPr="00992C45">
        <w:rPr>
          <w:i/>
          <w:iCs/>
          <w:lang w:val="en-US"/>
        </w:rPr>
        <w:t xml:space="preserve">English Historical Review, </w:t>
      </w:r>
      <w:r w:rsidRPr="00992C45">
        <w:rPr>
          <w:lang w:val="en-US"/>
        </w:rPr>
        <w:t>Vol. 116, No. 518, (2011), pp.44-75</w:t>
      </w:r>
      <w:r w:rsidRPr="00992C45">
        <w:t> </w:t>
      </w:r>
    </w:p>
    <w:p w14:paraId="6D7C4ACC" w14:textId="77777777" w:rsidR="00992C45" w:rsidRPr="00992C45" w:rsidRDefault="00992C45" w:rsidP="0028398D">
      <w:pPr>
        <w:spacing w:after="240" w:line="240" w:lineRule="auto"/>
        <w:jc w:val="both"/>
      </w:pPr>
      <w:r w:rsidRPr="00992C45">
        <w:rPr>
          <w:lang w:val="en-US"/>
        </w:rPr>
        <w:t xml:space="preserve">Weatherill, Lorna and Rhoda </w:t>
      </w:r>
      <w:proofErr w:type="gramStart"/>
      <w:r w:rsidRPr="00992C45">
        <w:rPr>
          <w:lang w:val="en-US"/>
        </w:rPr>
        <w:t>Edwards, ‘</w:t>
      </w:r>
      <w:proofErr w:type="gramEnd"/>
      <w:r w:rsidRPr="00992C45">
        <w:rPr>
          <w:lang w:val="en-US"/>
        </w:rPr>
        <w:t xml:space="preserve">Pottery </w:t>
      </w:r>
      <w:proofErr w:type="gramStart"/>
      <w:r w:rsidRPr="00992C45">
        <w:rPr>
          <w:lang w:val="en-US"/>
        </w:rPr>
        <w:t>making</w:t>
      </w:r>
      <w:proofErr w:type="gramEnd"/>
      <w:r w:rsidRPr="00992C45">
        <w:rPr>
          <w:lang w:val="en-US"/>
        </w:rPr>
        <w:t xml:space="preserve"> in London and Whitehaven in the late seventeenth century’, </w:t>
      </w:r>
      <w:r w:rsidRPr="00992C45">
        <w:rPr>
          <w:i/>
          <w:iCs/>
          <w:lang w:val="en-US"/>
        </w:rPr>
        <w:t xml:space="preserve">Post-Medieval Archaeology, </w:t>
      </w:r>
      <w:r w:rsidRPr="00992C45">
        <w:rPr>
          <w:lang w:val="en-US"/>
        </w:rPr>
        <w:t>Vol. 5, No. 1, (1971), pp.160-181</w:t>
      </w:r>
      <w:r w:rsidRPr="00992C45">
        <w:t> </w:t>
      </w:r>
    </w:p>
    <w:p w14:paraId="15B3D4BB" w14:textId="77777777" w:rsidR="008B0918" w:rsidRPr="008B0918" w:rsidRDefault="008B0918" w:rsidP="0028398D">
      <w:pPr>
        <w:spacing w:after="240" w:line="240" w:lineRule="auto"/>
        <w:jc w:val="both"/>
      </w:pPr>
      <w:r w:rsidRPr="008B0918">
        <w:rPr>
          <w:lang w:val="en-US"/>
        </w:rPr>
        <w:t xml:space="preserve">Weatherill, Lorna, ‘A possession of one’s own: women and consumer </w:t>
      </w:r>
      <w:proofErr w:type="spellStart"/>
      <w:r w:rsidRPr="008B0918">
        <w:rPr>
          <w:lang w:val="en-US"/>
        </w:rPr>
        <w:t>behaviour</w:t>
      </w:r>
      <w:proofErr w:type="spellEnd"/>
      <w:r w:rsidRPr="008B0918">
        <w:rPr>
          <w:lang w:val="en-US"/>
        </w:rPr>
        <w:t xml:space="preserve"> in England, 1660-1740’, </w:t>
      </w:r>
      <w:r w:rsidRPr="008B0918">
        <w:rPr>
          <w:i/>
          <w:iCs/>
          <w:lang w:val="en-US"/>
        </w:rPr>
        <w:t xml:space="preserve">Journal of British Studies, </w:t>
      </w:r>
      <w:r w:rsidRPr="008B0918">
        <w:rPr>
          <w:lang w:val="en-US"/>
        </w:rPr>
        <w:t>Vol. 25, No. 2, (1986), pp.131-156</w:t>
      </w:r>
      <w:r w:rsidRPr="008B0918">
        <w:t> </w:t>
      </w:r>
    </w:p>
    <w:p w14:paraId="2EF4CF2B" w14:textId="540B31FA" w:rsidR="008B0918" w:rsidRPr="00992C45" w:rsidRDefault="008B0918" w:rsidP="0028398D">
      <w:pPr>
        <w:spacing w:after="240" w:line="240" w:lineRule="auto"/>
        <w:jc w:val="both"/>
      </w:pPr>
      <w:proofErr w:type="spellStart"/>
      <w:r w:rsidRPr="00992C45">
        <w:rPr>
          <w:lang w:val="fr-FR"/>
        </w:rPr>
        <w:t>Weatherill</w:t>
      </w:r>
      <w:proofErr w:type="spellEnd"/>
      <w:r w:rsidRPr="00992C45">
        <w:rPr>
          <w:lang w:val="fr-FR"/>
        </w:rPr>
        <w:t>, Lorna,</w:t>
      </w:r>
      <w:r w:rsidRPr="00992C45">
        <w:rPr>
          <w:i/>
          <w:iCs/>
          <w:lang w:val="fr-FR"/>
        </w:rPr>
        <w:t xml:space="preserve"> Consumer </w:t>
      </w:r>
      <w:proofErr w:type="spellStart"/>
      <w:r w:rsidRPr="00992C45">
        <w:rPr>
          <w:i/>
          <w:iCs/>
          <w:lang w:val="fr-FR"/>
        </w:rPr>
        <w:t>Behaviour</w:t>
      </w:r>
      <w:proofErr w:type="spellEnd"/>
      <w:r w:rsidRPr="00992C45">
        <w:rPr>
          <w:i/>
          <w:iCs/>
          <w:lang w:val="fr-FR"/>
        </w:rPr>
        <w:t xml:space="preserve"> and </w:t>
      </w:r>
      <w:proofErr w:type="spellStart"/>
      <w:r w:rsidRPr="00992C45">
        <w:rPr>
          <w:i/>
          <w:iCs/>
          <w:lang w:val="fr-FR"/>
        </w:rPr>
        <w:t>Material</w:t>
      </w:r>
      <w:proofErr w:type="spellEnd"/>
      <w:r w:rsidRPr="00992C45">
        <w:rPr>
          <w:i/>
          <w:iCs/>
          <w:lang w:val="fr-FR"/>
        </w:rPr>
        <w:t xml:space="preserve"> Culture in </w:t>
      </w:r>
      <w:proofErr w:type="spellStart"/>
      <w:r w:rsidRPr="00992C45">
        <w:rPr>
          <w:i/>
          <w:iCs/>
          <w:lang w:val="fr-FR"/>
        </w:rPr>
        <w:t>Britain</w:t>
      </w:r>
      <w:proofErr w:type="spellEnd"/>
      <w:r w:rsidRPr="00992C45">
        <w:rPr>
          <w:i/>
          <w:iCs/>
          <w:lang w:val="fr-FR"/>
        </w:rPr>
        <w:t xml:space="preserve">, 1660-1760, </w:t>
      </w:r>
      <w:r w:rsidRPr="00992C45">
        <w:rPr>
          <w:lang w:val="fr-FR"/>
        </w:rPr>
        <w:t>(London, 1996)</w:t>
      </w:r>
    </w:p>
    <w:p w14:paraId="00BC782C" w14:textId="77777777" w:rsidR="008B0918" w:rsidRPr="00992C45" w:rsidRDefault="008B0918" w:rsidP="0028398D">
      <w:pPr>
        <w:spacing w:after="240" w:line="240" w:lineRule="auto"/>
        <w:jc w:val="both"/>
      </w:pPr>
      <w:r w:rsidRPr="00992C45">
        <w:rPr>
          <w:lang w:val="en-US"/>
        </w:rPr>
        <w:t xml:space="preserve">Weatherill, Lorna, </w:t>
      </w:r>
      <w:r w:rsidRPr="00992C45">
        <w:rPr>
          <w:i/>
          <w:iCs/>
          <w:lang w:val="en-US"/>
        </w:rPr>
        <w:t>The Pottery Trade and North Staffordshire, 1660-1760</w:t>
      </w:r>
      <w:r w:rsidRPr="00992C45">
        <w:rPr>
          <w:lang w:val="en-US"/>
        </w:rPr>
        <w:t>, (Manchester, 1971)</w:t>
      </w:r>
      <w:r w:rsidRPr="00992C45">
        <w:t> </w:t>
      </w:r>
    </w:p>
    <w:p w14:paraId="02ED41B4" w14:textId="7C7A41B5" w:rsidR="00992C45" w:rsidRPr="00992C45" w:rsidRDefault="00992C45" w:rsidP="0028398D">
      <w:pPr>
        <w:spacing w:after="240" w:line="240" w:lineRule="auto"/>
        <w:jc w:val="both"/>
      </w:pPr>
      <w:r w:rsidRPr="00992C45">
        <w:rPr>
          <w:lang w:val="en-US"/>
        </w:rPr>
        <w:t xml:space="preserve">Weaver, Lawrence, </w:t>
      </w:r>
      <w:r w:rsidRPr="00992C45">
        <w:rPr>
          <w:i/>
          <w:iCs/>
          <w:lang w:val="en-US"/>
        </w:rPr>
        <w:t xml:space="preserve">English Leadwork: Its Art and History, </w:t>
      </w:r>
      <w:r w:rsidRPr="00992C45">
        <w:rPr>
          <w:lang w:val="en-US"/>
        </w:rPr>
        <w:t>(London, 1909)</w:t>
      </w:r>
      <w:r w:rsidRPr="00992C45">
        <w:t> </w:t>
      </w:r>
    </w:p>
    <w:p w14:paraId="62FE357C" w14:textId="77777777" w:rsidR="00992C45" w:rsidRPr="00992C45" w:rsidRDefault="00992C45" w:rsidP="0028398D">
      <w:pPr>
        <w:spacing w:after="240" w:line="240" w:lineRule="auto"/>
        <w:jc w:val="both"/>
      </w:pPr>
      <w:proofErr w:type="spellStart"/>
      <w:r w:rsidRPr="00992C45">
        <w:rPr>
          <w:lang w:val="fr-FR"/>
        </w:rPr>
        <w:t>Whiting</w:t>
      </w:r>
      <w:proofErr w:type="spellEnd"/>
      <w:r w:rsidRPr="00992C45">
        <w:rPr>
          <w:lang w:val="fr-FR"/>
        </w:rPr>
        <w:t xml:space="preserve">, Robert, </w:t>
      </w:r>
      <w:r w:rsidRPr="00992C45">
        <w:rPr>
          <w:i/>
          <w:iCs/>
          <w:lang w:val="fr-FR"/>
        </w:rPr>
        <w:t xml:space="preserve">The Reformation of the English Parish Church, </w:t>
      </w:r>
      <w:r w:rsidRPr="00992C45">
        <w:rPr>
          <w:lang w:val="fr-FR"/>
        </w:rPr>
        <w:t>(Cambridge, 2010)</w:t>
      </w:r>
      <w:r w:rsidRPr="00992C45">
        <w:t> </w:t>
      </w:r>
    </w:p>
    <w:p w14:paraId="4D56BE80" w14:textId="77777777" w:rsidR="00992C45" w:rsidRPr="00992C45" w:rsidRDefault="00992C45" w:rsidP="0028398D">
      <w:pPr>
        <w:spacing w:after="240" w:line="240" w:lineRule="auto"/>
        <w:jc w:val="both"/>
      </w:pPr>
      <w:r w:rsidRPr="00992C45">
        <w:rPr>
          <w:lang w:val="fr-FR"/>
        </w:rPr>
        <w:t>Whittle, Jane, ‘</w:t>
      </w:r>
      <w:proofErr w:type="spellStart"/>
      <w:r w:rsidRPr="00992C45">
        <w:rPr>
          <w:lang w:val="fr-FR"/>
        </w:rPr>
        <w:t>Enterprising</w:t>
      </w:r>
      <w:proofErr w:type="spellEnd"/>
      <w:r w:rsidRPr="00992C45">
        <w:rPr>
          <w:lang w:val="fr-FR"/>
        </w:rPr>
        <w:t xml:space="preserve"> </w:t>
      </w:r>
      <w:proofErr w:type="spellStart"/>
      <w:r w:rsidRPr="00992C45">
        <w:rPr>
          <w:lang w:val="fr-FR"/>
        </w:rPr>
        <w:t>widows</w:t>
      </w:r>
      <w:proofErr w:type="spellEnd"/>
      <w:r w:rsidRPr="00992C45">
        <w:rPr>
          <w:lang w:val="fr-FR"/>
        </w:rPr>
        <w:t xml:space="preserve"> and active </w:t>
      </w:r>
      <w:proofErr w:type="spellStart"/>
      <w:proofErr w:type="gramStart"/>
      <w:r w:rsidRPr="00992C45">
        <w:rPr>
          <w:lang w:val="fr-FR"/>
        </w:rPr>
        <w:t>wives</w:t>
      </w:r>
      <w:proofErr w:type="spellEnd"/>
      <w:r w:rsidRPr="00992C45">
        <w:rPr>
          <w:lang w:val="fr-FR"/>
        </w:rPr>
        <w:t>:</w:t>
      </w:r>
      <w:proofErr w:type="gramEnd"/>
      <w:r w:rsidRPr="00992C45">
        <w:rPr>
          <w:lang w:val="fr-FR"/>
        </w:rPr>
        <w:t xml:space="preserve"> </w:t>
      </w:r>
      <w:proofErr w:type="spellStart"/>
      <w:r w:rsidRPr="00992C45">
        <w:rPr>
          <w:lang w:val="fr-FR"/>
        </w:rPr>
        <w:t>women’s</w:t>
      </w:r>
      <w:proofErr w:type="spellEnd"/>
      <w:r w:rsidRPr="00992C45">
        <w:rPr>
          <w:lang w:val="fr-FR"/>
        </w:rPr>
        <w:t xml:space="preserve"> </w:t>
      </w:r>
      <w:proofErr w:type="spellStart"/>
      <w:r w:rsidRPr="00992C45">
        <w:rPr>
          <w:lang w:val="fr-FR"/>
        </w:rPr>
        <w:t>unpaid</w:t>
      </w:r>
      <w:proofErr w:type="spellEnd"/>
      <w:r w:rsidRPr="00992C45">
        <w:rPr>
          <w:lang w:val="fr-FR"/>
        </w:rPr>
        <w:t xml:space="preserve"> </w:t>
      </w:r>
      <w:proofErr w:type="spellStart"/>
      <w:r w:rsidRPr="00992C45">
        <w:rPr>
          <w:lang w:val="fr-FR"/>
        </w:rPr>
        <w:t>work</w:t>
      </w:r>
      <w:proofErr w:type="spellEnd"/>
      <w:r w:rsidRPr="00992C45">
        <w:rPr>
          <w:lang w:val="fr-FR"/>
        </w:rPr>
        <w:t xml:space="preserve"> in the </w:t>
      </w:r>
      <w:proofErr w:type="spellStart"/>
      <w:r w:rsidRPr="00992C45">
        <w:rPr>
          <w:lang w:val="fr-FR"/>
        </w:rPr>
        <w:t>household</w:t>
      </w:r>
      <w:proofErr w:type="spellEnd"/>
      <w:r w:rsidRPr="00992C45">
        <w:rPr>
          <w:lang w:val="fr-FR"/>
        </w:rPr>
        <w:t xml:space="preserve"> </w:t>
      </w:r>
      <w:proofErr w:type="spellStart"/>
      <w:r w:rsidRPr="00992C45">
        <w:rPr>
          <w:lang w:val="fr-FR"/>
        </w:rPr>
        <w:t>economy</w:t>
      </w:r>
      <w:proofErr w:type="spellEnd"/>
      <w:r w:rsidRPr="00992C45">
        <w:rPr>
          <w:lang w:val="fr-FR"/>
        </w:rPr>
        <w:t xml:space="preserve"> of </w:t>
      </w:r>
      <w:proofErr w:type="spellStart"/>
      <w:r w:rsidRPr="00992C45">
        <w:rPr>
          <w:lang w:val="fr-FR"/>
        </w:rPr>
        <w:t>early</w:t>
      </w:r>
      <w:proofErr w:type="spellEnd"/>
      <w:r w:rsidRPr="00992C45">
        <w:rPr>
          <w:lang w:val="fr-FR"/>
        </w:rPr>
        <w:t xml:space="preserve"> modern </w:t>
      </w:r>
      <w:proofErr w:type="spellStart"/>
      <w:r w:rsidRPr="00992C45">
        <w:rPr>
          <w:lang w:val="fr-FR"/>
        </w:rPr>
        <w:t>England</w:t>
      </w:r>
      <w:proofErr w:type="spellEnd"/>
      <w:r w:rsidRPr="00992C45">
        <w:rPr>
          <w:lang w:val="fr-FR"/>
        </w:rPr>
        <w:t xml:space="preserve">’, </w:t>
      </w:r>
      <w:r w:rsidRPr="00992C45">
        <w:rPr>
          <w:i/>
          <w:iCs/>
          <w:lang w:val="fr-FR"/>
        </w:rPr>
        <w:t xml:space="preserve">The </w:t>
      </w:r>
      <w:proofErr w:type="spellStart"/>
      <w:r w:rsidRPr="00992C45">
        <w:rPr>
          <w:i/>
          <w:iCs/>
          <w:lang w:val="fr-FR"/>
        </w:rPr>
        <w:t>History</w:t>
      </w:r>
      <w:proofErr w:type="spellEnd"/>
      <w:r w:rsidRPr="00992C45">
        <w:rPr>
          <w:i/>
          <w:iCs/>
          <w:lang w:val="fr-FR"/>
        </w:rPr>
        <w:t xml:space="preserve"> of the Family, </w:t>
      </w:r>
      <w:r w:rsidRPr="00992C45">
        <w:rPr>
          <w:lang w:val="fr-FR"/>
        </w:rPr>
        <w:t>Vol. 19, No. 3, (2014), pp.283-300</w:t>
      </w:r>
      <w:r w:rsidRPr="00992C45">
        <w:t> </w:t>
      </w:r>
    </w:p>
    <w:p w14:paraId="13D706ED" w14:textId="77777777" w:rsidR="00992C45" w:rsidRPr="00992C45" w:rsidRDefault="00992C45" w:rsidP="0028398D">
      <w:pPr>
        <w:spacing w:after="240" w:line="240" w:lineRule="auto"/>
        <w:jc w:val="both"/>
      </w:pPr>
      <w:r w:rsidRPr="00992C45">
        <w:rPr>
          <w:lang w:val="en-US"/>
        </w:rPr>
        <w:t xml:space="preserve">Whittle, Jane, ‘Inheritance, marriage, widowhood and </w:t>
      </w:r>
      <w:proofErr w:type="gramStart"/>
      <w:r w:rsidRPr="00992C45">
        <w:rPr>
          <w:lang w:val="en-US"/>
        </w:rPr>
        <w:t>remarriage :</w:t>
      </w:r>
      <w:proofErr w:type="gramEnd"/>
      <w:r w:rsidRPr="00992C45">
        <w:rPr>
          <w:lang w:val="en-US"/>
        </w:rPr>
        <w:t xml:space="preserve"> A comparative perspective on women and landholding in north-east Norfolk, 1440-1580’, </w:t>
      </w:r>
      <w:r w:rsidRPr="00992C45">
        <w:rPr>
          <w:i/>
          <w:iCs/>
          <w:lang w:val="en-US"/>
        </w:rPr>
        <w:t xml:space="preserve">Continuity and Change, </w:t>
      </w:r>
      <w:r w:rsidRPr="00992C45">
        <w:rPr>
          <w:lang w:val="en-US"/>
        </w:rPr>
        <w:t>Vol. 13, No. 1, (1998), pp.33-72</w:t>
      </w:r>
      <w:r w:rsidRPr="00992C45">
        <w:t> </w:t>
      </w:r>
    </w:p>
    <w:p w14:paraId="3B315E15" w14:textId="77777777" w:rsidR="00992C45" w:rsidRPr="00992C45" w:rsidRDefault="00992C45" w:rsidP="0028398D">
      <w:pPr>
        <w:spacing w:after="240" w:line="240" w:lineRule="auto"/>
        <w:jc w:val="both"/>
      </w:pPr>
      <w:r w:rsidRPr="00992C45">
        <w:rPr>
          <w:lang w:val="fr-FR"/>
        </w:rPr>
        <w:lastRenderedPageBreak/>
        <w:t xml:space="preserve">Whittle, Jane, ‘Land and people, in Keith </w:t>
      </w:r>
      <w:proofErr w:type="spellStart"/>
      <w:r w:rsidRPr="00992C45">
        <w:rPr>
          <w:lang w:val="fr-FR"/>
        </w:rPr>
        <w:t>Wrightson</w:t>
      </w:r>
      <w:proofErr w:type="spellEnd"/>
      <w:r w:rsidRPr="00992C45">
        <w:rPr>
          <w:lang w:val="fr-FR"/>
        </w:rPr>
        <w:t xml:space="preserve">, </w:t>
      </w:r>
      <w:r w:rsidRPr="00992C45">
        <w:rPr>
          <w:i/>
          <w:iCs/>
          <w:lang w:val="fr-FR"/>
        </w:rPr>
        <w:t xml:space="preserve">A Social </w:t>
      </w:r>
      <w:proofErr w:type="spellStart"/>
      <w:r w:rsidRPr="00992C45">
        <w:rPr>
          <w:i/>
          <w:iCs/>
          <w:lang w:val="fr-FR"/>
        </w:rPr>
        <w:t>History</w:t>
      </w:r>
      <w:proofErr w:type="spellEnd"/>
      <w:r w:rsidRPr="00992C45">
        <w:rPr>
          <w:i/>
          <w:iCs/>
          <w:lang w:val="fr-FR"/>
        </w:rPr>
        <w:t xml:space="preserve"> of </w:t>
      </w:r>
      <w:proofErr w:type="spellStart"/>
      <w:r w:rsidRPr="00992C45">
        <w:rPr>
          <w:i/>
          <w:iCs/>
          <w:lang w:val="fr-FR"/>
        </w:rPr>
        <w:t>England</w:t>
      </w:r>
      <w:proofErr w:type="spellEnd"/>
      <w:r w:rsidRPr="00992C45">
        <w:rPr>
          <w:i/>
          <w:iCs/>
          <w:lang w:val="fr-FR"/>
        </w:rPr>
        <w:t xml:space="preserve">, 1500-1750, </w:t>
      </w:r>
      <w:r w:rsidRPr="00992C45">
        <w:rPr>
          <w:lang w:val="fr-FR"/>
        </w:rPr>
        <w:t>(Cambridge, 2017), pp.152-173</w:t>
      </w:r>
      <w:r w:rsidRPr="00992C45">
        <w:t> </w:t>
      </w:r>
    </w:p>
    <w:p w14:paraId="6FF31701" w14:textId="77777777" w:rsidR="00992C45" w:rsidRPr="00992C45" w:rsidRDefault="00992C45" w:rsidP="0028398D">
      <w:pPr>
        <w:spacing w:after="240" w:line="240" w:lineRule="auto"/>
        <w:jc w:val="both"/>
      </w:pPr>
      <w:r w:rsidRPr="00992C45">
        <w:rPr>
          <w:lang w:val="fr-FR"/>
        </w:rPr>
        <w:t>Willis</w:t>
      </w:r>
      <w:r w:rsidRPr="00992C45">
        <w:rPr>
          <w:i/>
          <w:iCs/>
          <w:lang w:val="fr-FR"/>
        </w:rPr>
        <w:t xml:space="preserve">, </w:t>
      </w:r>
      <w:r w:rsidRPr="00992C45">
        <w:rPr>
          <w:lang w:val="fr-FR"/>
        </w:rPr>
        <w:t>Jonathan,</w:t>
      </w:r>
      <w:r w:rsidRPr="00992C45">
        <w:rPr>
          <w:i/>
          <w:iCs/>
          <w:lang w:val="fr-FR"/>
        </w:rPr>
        <w:t xml:space="preserve"> The Reformation of the </w:t>
      </w:r>
      <w:proofErr w:type="spellStart"/>
      <w:proofErr w:type="gramStart"/>
      <w:r w:rsidRPr="00992C45">
        <w:rPr>
          <w:i/>
          <w:iCs/>
          <w:lang w:val="fr-FR"/>
        </w:rPr>
        <w:t>Decalogue</w:t>
      </w:r>
      <w:proofErr w:type="spellEnd"/>
      <w:r w:rsidRPr="00992C45">
        <w:rPr>
          <w:i/>
          <w:iCs/>
          <w:lang w:val="fr-FR"/>
        </w:rPr>
        <w:t>:</w:t>
      </w:r>
      <w:proofErr w:type="gramEnd"/>
      <w:r w:rsidRPr="00992C45">
        <w:rPr>
          <w:i/>
          <w:iCs/>
          <w:lang w:val="fr-FR"/>
        </w:rPr>
        <w:t xml:space="preserve"> </w:t>
      </w:r>
      <w:proofErr w:type="spellStart"/>
      <w:r w:rsidRPr="00992C45">
        <w:rPr>
          <w:i/>
          <w:iCs/>
          <w:lang w:val="fr-FR"/>
        </w:rPr>
        <w:t>Religious</w:t>
      </w:r>
      <w:proofErr w:type="spellEnd"/>
      <w:r w:rsidRPr="00992C45">
        <w:rPr>
          <w:i/>
          <w:iCs/>
          <w:lang w:val="fr-FR"/>
        </w:rPr>
        <w:t xml:space="preserve"> Identity and the </w:t>
      </w:r>
      <w:proofErr w:type="spellStart"/>
      <w:r w:rsidRPr="00992C45">
        <w:rPr>
          <w:i/>
          <w:iCs/>
          <w:lang w:val="fr-FR"/>
        </w:rPr>
        <w:t>Ten</w:t>
      </w:r>
      <w:proofErr w:type="spellEnd"/>
      <w:r w:rsidRPr="00992C45">
        <w:rPr>
          <w:i/>
          <w:iCs/>
          <w:lang w:val="fr-FR"/>
        </w:rPr>
        <w:t xml:space="preserve"> </w:t>
      </w:r>
      <w:proofErr w:type="spellStart"/>
      <w:r w:rsidRPr="00992C45">
        <w:rPr>
          <w:i/>
          <w:iCs/>
          <w:lang w:val="fr-FR"/>
        </w:rPr>
        <w:t>Commandments</w:t>
      </w:r>
      <w:proofErr w:type="spellEnd"/>
      <w:r w:rsidRPr="00992C45">
        <w:rPr>
          <w:i/>
          <w:iCs/>
          <w:lang w:val="fr-FR"/>
        </w:rPr>
        <w:t xml:space="preserve"> in </w:t>
      </w:r>
      <w:proofErr w:type="spellStart"/>
      <w:r w:rsidRPr="00992C45">
        <w:rPr>
          <w:i/>
          <w:iCs/>
          <w:lang w:val="fr-FR"/>
        </w:rPr>
        <w:t>England</w:t>
      </w:r>
      <w:proofErr w:type="spellEnd"/>
      <w:r w:rsidRPr="00992C45">
        <w:rPr>
          <w:i/>
          <w:iCs/>
          <w:lang w:val="fr-FR"/>
        </w:rPr>
        <w:t xml:space="preserve">, c.1485-1625, </w:t>
      </w:r>
      <w:r w:rsidRPr="00992C45">
        <w:rPr>
          <w:lang w:val="fr-FR"/>
        </w:rPr>
        <w:t>(Cambridge, 2017)</w:t>
      </w:r>
      <w:r w:rsidRPr="00992C45">
        <w:t> </w:t>
      </w:r>
    </w:p>
    <w:p w14:paraId="5BC67739" w14:textId="77777777" w:rsidR="00992C45" w:rsidRPr="00992C45" w:rsidRDefault="00992C45" w:rsidP="0028398D">
      <w:pPr>
        <w:spacing w:after="240" w:line="240" w:lineRule="auto"/>
        <w:jc w:val="both"/>
      </w:pPr>
      <w:r w:rsidRPr="00992C45">
        <w:rPr>
          <w:lang w:val="en-US"/>
        </w:rPr>
        <w:t xml:space="preserve">Wilson, John Marius, </w:t>
      </w:r>
      <w:r w:rsidRPr="00992C45">
        <w:rPr>
          <w:i/>
          <w:iCs/>
          <w:lang w:val="en-US"/>
        </w:rPr>
        <w:t xml:space="preserve">The Imperial Gazetteer of England and Wales, </w:t>
      </w:r>
      <w:r w:rsidRPr="00992C45">
        <w:rPr>
          <w:lang w:val="en-US"/>
        </w:rPr>
        <w:t>(Edinburgh, 1870)</w:t>
      </w:r>
      <w:r w:rsidRPr="00992C45">
        <w:t> </w:t>
      </w:r>
    </w:p>
    <w:p w14:paraId="67D8BB44" w14:textId="77777777" w:rsidR="00992C45" w:rsidRPr="00992C45" w:rsidRDefault="00992C45" w:rsidP="0028398D">
      <w:pPr>
        <w:spacing w:after="240" w:line="240" w:lineRule="auto"/>
        <w:jc w:val="both"/>
      </w:pPr>
      <w:r w:rsidRPr="00992C45">
        <w:rPr>
          <w:lang w:val="en-US"/>
        </w:rPr>
        <w:t xml:space="preserve">Withington, </w:t>
      </w:r>
      <w:proofErr w:type="gramStart"/>
      <w:r w:rsidRPr="00992C45">
        <w:rPr>
          <w:lang w:val="en-US"/>
        </w:rPr>
        <w:t>Phil, ‘</w:t>
      </w:r>
      <w:proofErr w:type="gramEnd"/>
      <w:r w:rsidRPr="00992C45">
        <w:rPr>
          <w:lang w:val="en-US"/>
        </w:rPr>
        <w:t xml:space="preserve">The invention of ‘happiness’’, in Michael Braddick and Joanna Innes (eds), </w:t>
      </w:r>
      <w:r w:rsidRPr="00992C45">
        <w:rPr>
          <w:i/>
          <w:iCs/>
          <w:lang w:val="en-US"/>
        </w:rPr>
        <w:t xml:space="preserve">Suffering and Happiness in England 1550-1850: Narratives and Representations, </w:t>
      </w:r>
      <w:r w:rsidRPr="00992C45">
        <w:rPr>
          <w:lang w:val="en-US"/>
        </w:rPr>
        <w:t>(Oxford, 2017), pp.23-44</w:t>
      </w:r>
      <w:r w:rsidRPr="00992C45">
        <w:t> </w:t>
      </w:r>
    </w:p>
    <w:p w14:paraId="00951FAF" w14:textId="77777777" w:rsidR="00992C45" w:rsidRPr="00992C45" w:rsidRDefault="00992C45" w:rsidP="0028398D">
      <w:pPr>
        <w:spacing w:after="240" w:line="240" w:lineRule="auto"/>
        <w:jc w:val="both"/>
      </w:pPr>
      <w:r w:rsidRPr="00992C45">
        <w:rPr>
          <w:lang w:val="en-US"/>
        </w:rPr>
        <w:t xml:space="preserve">Witte, Jr., John, ‘Church, state and marriage: four early modern Protestant models’, </w:t>
      </w:r>
      <w:r w:rsidRPr="00992C45">
        <w:rPr>
          <w:i/>
          <w:iCs/>
          <w:lang w:val="en-US"/>
        </w:rPr>
        <w:t xml:space="preserve">Oxford Journal of Law and Religion, </w:t>
      </w:r>
      <w:r w:rsidRPr="00992C45">
        <w:rPr>
          <w:lang w:val="en-US"/>
        </w:rPr>
        <w:t>Vol. 1, No. 1, (2012), pp.151-168</w:t>
      </w:r>
      <w:r w:rsidRPr="00992C45">
        <w:t> </w:t>
      </w:r>
    </w:p>
    <w:p w14:paraId="73ED3957" w14:textId="77777777" w:rsidR="00992C45" w:rsidRPr="00992C45" w:rsidRDefault="00992C45" w:rsidP="0028398D">
      <w:pPr>
        <w:spacing w:after="240" w:line="240" w:lineRule="auto"/>
        <w:jc w:val="both"/>
      </w:pPr>
      <w:r w:rsidRPr="00992C45">
        <w:rPr>
          <w:lang w:val="en-US"/>
        </w:rPr>
        <w:t xml:space="preserve">Woodward, </w:t>
      </w:r>
      <w:proofErr w:type="gramStart"/>
      <w:r w:rsidRPr="00992C45">
        <w:rPr>
          <w:lang w:val="en-US"/>
        </w:rPr>
        <w:t>Donald, ‘</w:t>
      </w:r>
      <w:proofErr w:type="gramEnd"/>
      <w:r w:rsidRPr="00992C45">
        <w:rPr>
          <w:lang w:val="en-US"/>
        </w:rPr>
        <w:t xml:space="preserve">Straw, bracken and the Wicklow whale: the exploitation of natural resources in England since 1500’, </w:t>
      </w:r>
      <w:r w:rsidRPr="00992C45">
        <w:rPr>
          <w:i/>
          <w:iCs/>
          <w:lang w:val="en-US"/>
        </w:rPr>
        <w:t>Past &amp; Present</w:t>
      </w:r>
      <w:r w:rsidRPr="00992C45">
        <w:rPr>
          <w:lang w:val="en-US"/>
        </w:rPr>
        <w:t>, Vol. 159, (1998), pp.43-76</w:t>
      </w:r>
      <w:r w:rsidRPr="00992C45">
        <w:t> </w:t>
      </w:r>
    </w:p>
    <w:p w14:paraId="6EBDA45B" w14:textId="77777777" w:rsidR="00992C45" w:rsidRPr="00992C45" w:rsidRDefault="00992C45" w:rsidP="0028398D">
      <w:pPr>
        <w:spacing w:after="240" w:line="240" w:lineRule="auto"/>
        <w:jc w:val="both"/>
      </w:pPr>
      <w:proofErr w:type="spellStart"/>
      <w:r w:rsidRPr="00992C45">
        <w:rPr>
          <w:lang w:val="fr-FR"/>
        </w:rPr>
        <w:t>Wrightson</w:t>
      </w:r>
      <w:proofErr w:type="spellEnd"/>
      <w:r w:rsidRPr="00992C45">
        <w:rPr>
          <w:lang w:val="fr-FR"/>
        </w:rPr>
        <w:t xml:space="preserve">, Keith, </w:t>
      </w:r>
      <w:r w:rsidRPr="00992C45">
        <w:rPr>
          <w:i/>
          <w:iCs/>
          <w:lang w:val="fr-FR"/>
        </w:rPr>
        <w:t xml:space="preserve">English Society, 1580-1680, </w:t>
      </w:r>
      <w:r w:rsidRPr="00992C45">
        <w:rPr>
          <w:lang w:val="fr-FR"/>
        </w:rPr>
        <w:t>(London, 2002)</w:t>
      </w:r>
      <w:r w:rsidRPr="00992C45">
        <w:t> </w:t>
      </w:r>
    </w:p>
    <w:p w14:paraId="7C57360F" w14:textId="77777777" w:rsidR="00992C45" w:rsidRPr="00992C45" w:rsidRDefault="00992C45" w:rsidP="0028398D">
      <w:pPr>
        <w:spacing w:after="240" w:line="240" w:lineRule="auto"/>
        <w:jc w:val="both"/>
      </w:pPr>
      <w:r w:rsidRPr="00992C45">
        <w:rPr>
          <w:lang w:val="en-US"/>
        </w:rPr>
        <w:t xml:space="preserve">Wrigley, Tony and Roger Schoﬁeld, </w:t>
      </w:r>
      <w:r w:rsidRPr="00992C45">
        <w:rPr>
          <w:i/>
          <w:iCs/>
          <w:lang w:val="en-US"/>
        </w:rPr>
        <w:t>The Population History of England, 1541–1871: A</w:t>
      </w:r>
      <w:r w:rsidRPr="00992C45">
        <w:rPr>
          <w:lang w:val="en-US"/>
        </w:rPr>
        <w:t xml:space="preserve"> </w:t>
      </w:r>
      <w:r w:rsidRPr="00992C45">
        <w:rPr>
          <w:i/>
          <w:iCs/>
          <w:lang w:val="en-US"/>
        </w:rPr>
        <w:t>Reconstruction,</w:t>
      </w:r>
      <w:r w:rsidRPr="00992C45">
        <w:rPr>
          <w:lang w:val="en-US"/>
        </w:rPr>
        <w:t xml:space="preserve"> (Cambridge, 1981)</w:t>
      </w:r>
      <w:r w:rsidRPr="00992C45">
        <w:t> </w:t>
      </w:r>
    </w:p>
    <w:p w14:paraId="38C1D928" w14:textId="77777777" w:rsidR="00992C45" w:rsidRPr="00992C45" w:rsidRDefault="00992C45" w:rsidP="0028398D">
      <w:pPr>
        <w:spacing w:after="240" w:line="240" w:lineRule="auto"/>
        <w:jc w:val="both"/>
      </w:pPr>
      <w:r w:rsidRPr="00992C45">
        <w:rPr>
          <w:lang w:val="fr-FR"/>
        </w:rPr>
        <w:t>Wyatt, Grace M., ‘</w:t>
      </w:r>
      <w:proofErr w:type="spellStart"/>
      <w:r w:rsidRPr="00992C45">
        <w:rPr>
          <w:lang w:val="fr-FR"/>
        </w:rPr>
        <w:t>Nantwich</w:t>
      </w:r>
      <w:proofErr w:type="spellEnd"/>
      <w:r w:rsidRPr="00992C45">
        <w:rPr>
          <w:lang w:val="fr-FR"/>
        </w:rPr>
        <w:t xml:space="preserve"> and </w:t>
      </w:r>
      <w:proofErr w:type="spellStart"/>
      <w:r w:rsidRPr="00992C45">
        <w:rPr>
          <w:lang w:val="fr-FR"/>
        </w:rPr>
        <w:t>Wybunbury</w:t>
      </w:r>
      <w:proofErr w:type="spellEnd"/>
      <w:r w:rsidRPr="00992C45">
        <w:rPr>
          <w:lang w:val="fr-FR"/>
        </w:rPr>
        <w:t>, 1680-</w:t>
      </w:r>
      <w:proofErr w:type="gramStart"/>
      <w:r w:rsidRPr="00992C45">
        <w:rPr>
          <w:lang w:val="fr-FR"/>
        </w:rPr>
        <w:t>1819:</w:t>
      </w:r>
      <w:proofErr w:type="gramEnd"/>
      <w:r w:rsidRPr="00992C45">
        <w:rPr>
          <w:lang w:val="fr-FR"/>
        </w:rPr>
        <w:t xml:space="preserve"> </w:t>
      </w:r>
      <w:proofErr w:type="spellStart"/>
      <w:r w:rsidRPr="00992C45">
        <w:rPr>
          <w:lang w:val="fr-FR"/>
        </w:rPr>
        <w:t>a</w:t>
      </w:r>
      <w:proofErr w:type="spellEnd"/>
      <w:r w:rsidRPr="00992C45">
        <w:rPr>
          <w:lang w:val="fr-FR"/>
        </w:rPr>
        <w:t xml:space="preserve"> </w:t>
      </w:r>
      <w:proofErr w:type="spellStart"/>
      <w:r w:rsidRPr="00992C45">
        <w:rPr>
          <w:lang w:val="fr-FR"/>
        </w:rPr>
        <w:t>demographic</w:t>
      </w:r>
      <w:proofErr w:type="spellEnd"/>
      <w:r w:rsidRPr="00992C45">
        <w:rPr>
          <w:lang w:val="fr-FR"/>
        </w:rPr>
        <w:t xml:space="preserve"> </w:t>
      </w:r>
      <w:proofErr w:type="spellStart"/>
      <w:r w:rsidRPr="00992C45">
        <w:rPr>
          <w:lang w:val="fr-FR"/>
        </w:rPr>
        <w:t>study</w:t>
      </w:r>
      <w:proofErr w:type="spellEnd"/>
      <w:r w:rsidRPr="00992C45">
        <w:rPr>
          <w:lang w:val="fr-FR"/>
        </w:rPr>
        <w:t xml:space="preserve"> of </w:t>
      </w:r>
      <w:proofErr w:type="spellStart"/>
      <w:r w:rsidRPr="00992C45">
        <w:rPr>
          <w:lang w:val="fr-FR"/>
        </w:rPr>
        <w:t>two</w:t>
      </w:r>
      <w:proofErr w:type="spellEnd"/>
      <w:r w:rsidRPr="00992C45">
        <w:rPr>
          <w:lang w:val="fr-FR"/>
        </w:rPr>
        <w:t xml:space="preserve"> Cheshire </w:t>
      </w:r>
      <w:proofErr w:type="spellStart"/>
      <w:r w:rsidRPr="00992C45">
        <w:rPr>
          <w:lang w:val="fr-FR"/>
        </w:rPr>
        <w:t>parishes</w:t>
      </w:r>
      <w:proofErr w:type="spellEnd"/>
      <w:r w:rsidRPr="00992C45">
        <w:rPr>
          <w:lang w:val="fr-FR"/>
        </w:rPr>
        <w:t xml:space="preserve">’, </w:t>
      </w:r>
      <w:r w:rsidRPr="00992C45">
        <w:rPr>
          <w:i/>
          <w:iCs/>
          <w:lang w:val="fr-FR"/>
        </w:rPr>
        <w:t xml:space="preserve">Transactions of the Historic Society of Lancashire and Cheshire, </w:t>
      </w:r>
      <w:r w:rsidRPr="00992C45">
        <w:rPr>
          <w:lang w:val="fr-FR"/>
        </w:rPr>
        <w:t>Vol. 139, No. 2, (1989), pp.1-30</w:t>
      </w:r>
      <w:r w:rsidRPr="00992C45">
        <w:t> </w:t>
      </w:r>
    </w:p>
    <w:p w14:paraId="1886844D" w14:textId="77777777" w:rsidR="00A81545" w:rsidRDefault="00A81545" w:rsidP="00233F54">
      <w:pPr>
        <w:spacing w:after="0" w:line="480" w:lineRule="auto"/>
        <w:jc w:val="both"/>
        <w:rPr>
          <w:i/>
          <w:iCs/>
          <w:lang w:val="en-US"/>
        </w:rPr>
      </w:pPr>
    </w:p>
    <w:p w14:paraId="17DEB5F9" w14:textId="73D8C250" w:rsidR="00A81545" w:rsidRPr="009E48D0" w:rsidRDefault="009E48D0" w:rsidP="005F7162">
      <w:pPr>
        <w:spacing w:after="240" w:line="240" w:lineRule="auto"/>
        <w:jc w:val="both"/>
        <w:rPr>
          <w:b/>
          <w:bCs/>
          <w:lang w:val="en-US"/>
        </w:rPr>
      </w:pPr>
      <w:r>
        <w:rPr>
          <w:b/>
          <w:bCs/>
          <w:lang w:val="en-US"/>
        </w:rPr>
        <w:t>Internet Sources</w:t>
      </w:r>
    </w:p>
    <w:p w14:paraId="48C94240" w14:textId="77777777" w:rsidR="009E48D0" w:rsidRPr="005F7162" w:rsidRDefault="009E48D0" w:rsidP="009E48D0">
      <w:pPr>
        <w:spacing w:after="240" w:line="240" w:lineRule="auto"/>
      </w:pPr>
      <w:r w:rsidRPr="005F7162">
        <w:rPr>
          <w:lang w:val="en-US"/>
        </w:rPr>
        <w:t>‘Brooks Cottages, 1 and 2, Pearl Street’, Grade II Listed Building in Prestbury, Cheshire East, List Entry No. 1139574, https://historicengland.org.uk/listing/the-list/list-entry/1139574?section=official-list-entry</w:t>
      </w:r>
      <w:r w:rsidRPr="005F7162">
        <w:t> </w:t>
      </w:r>
    </w:p>
    <w:p w14:paraId="68EE64C4" w14:textId="6633711C" w:rsidR="00533082" w:rsidRDefault="00533082" w:rsidP="009E48D0">
      <w:pPr>
        <w:spacing w:after="240" w:line="240" w:lineRule="auto"/>
        <w:rPr>
          <w:lang w:val="en-US"/>
        </w:rPr>
      </w:pPr>
      <w:r w:rsidRPr="00533082">
        <w:t xml:space="preserve">‘Dream Properties – Manor House, Slyne, Lancaster’, </w:t>
      </w:r>
      <w:r w:rsidRPr="00533082">
        <w:rPr>
          <w:i/>
          <w:iCs/>
        </w:rPr>
        <w:t xml:space="preserve">Lancashire Life, </w:t>
      </w:r>
      <w:proofErr w:type="gramStart"/>
      <w:r w:rsidRPr="00533082">
        <w:t>https://www.greatbritishlife.co.uk/magazines/lancashire/22621021.dream-properties---manor-house-slyne-lancaster/;</w:t>
      </w:r>
      <w:proofErr w:type="gramEnd"/>
    </w:p>
    <w:p w14:paraId="6BFF682A" w14:textId="20B55E46" w:rsidR="009E48D0" w:rsidRPr="005F7162" w:rsidRDefault="009E48D0" w:rsidP="009E48D0">
      <w:pPr>
        <w:spacing w:after="240" w:line="240" w:lineRule="auto"/>
      </w:pPr>
      <w:r w:rsidRPr="005F7162">
        <w:rPr>
          <w:lang w:val="en-US"/>
        </w:rPr>
        <w:t xml:space="preserve">‘Drove Hey Farm, </w:t>
      </w:r>
      <w:proofErr w:type="spellStart"/>
      <w:r w:rsidRPr="005F7162">
        <w:rPr>
          <w:lang w:val="en-US"/>
        </w:rPr>
        <w:t>laithe</w:t>
      </w:r>
      <w:proofErr w:type="spellEnd"/>
      <w:r w:rsidRPr="005F7162">
        <w:rPr>
          <w:lang w:val="en-US"/>
        </w:rPr>
        <w:t xml:space="preserve"> house (dwelling and attached barn) dated 1702’, </w:t>
      </w:r>
      <w:r w:rsidRPr="005F7162">
        <w:rPr>
          <w:i/>
          <w:iCs/>
          <w:lang w:val="en-US"/>
        </w:rPr>
        <w:t xml:space="preserve">Cheshire Historic Environment Record, </w:t>
      </w:r>
      <w:r w:rsidRPr="005F7162">
        <w:rPr>
          <w:lang w:val="en-US"/>
        </w:rPr>
        <w:t>https://www.heritagegateway.org.uk/Gateway/Results_Single.aspx?uid=MCH24616&amp;resourceID=1004</w:t>
      </w:r>
      <w:r w:rsidRPr="005F7162">
        <w:t> </w:t>
      </w:r>
    </w:p>
    <w:p w14:paraId="404C0812" w14:textId="77777777" w:rsidR="009E48D0" w:rsidRPr="005F7162" w:rsidRDefault="009E48D0" w:rsidP="009E48D0">
      <w:pPr>
        <w:spacing w:after="240" w:line="240" w:lineRule="auto"/>
      </w:pPr>
      <w:r w:rsidRPr="005F7162">
        <w:rPr>
          <w:lang w:val="en-US"/>
        </w:rPr>
        <w:t>‘Former mayors of the city of Lancaster’, Lancaster City Council, https://www.lancaster.gov.uk/the-council-and-democracy/civic-and-ceremonial/former-mayors-of-the-city-of-lancaster</w:t>
      </w:r>
      <w:r w:rsidRPr="005F7162">
        <w:t> </w:t>
      </w:r>
    </w:p>
    <w:p w14:paraId="3FDE7B46" w14:textId="77777777" w:rsidR="009E48D0" w:rsidRPr="005F7162" w:rsidRDefault="009E48D0" w:rsidP="009E48D0">
      <w:pPr>
        <w:spacing w:after="240" w:line="240" w:lineRule="auto"/>
        <w:rPr>
          <w:lang w:val="en-US"/>
        </w:rPr>
      </w:pPr>
      <w:r w:rsidRPr="005F7162">
        <w:rPr>
          <w:lang w:val="en-US"/>
        </w:rPr>
        <w:t xml:space="preserve">‘Front of horn book, STC 13813.5.’, </w:t>
      </w:r>
      <w:r w:rsidRPr="005F7162">
        <w:rPr>
          <w:i/>
          <w:iCs/>
          <w:lang w:val="en-US"/>
        </w:rPr>
        <w:t xml:space="preserve">Folger Shakespeare Library, </w:t>
      </w:r>
      <w:r w:rsidRPr="005F7162">
        <w:rPr>
          <w:lang w:val="en-US"/>
        </w:rPr>
        <w:t>https://digitalcollections.folger.edu/node/208004 </w:t>
      </w:r>
    </w:p>
    <w:p w14:paraId="552BF303" w14:textId="77777777" w:rsidR="009E48D0" w:rsidRPr="005F7162" w:rsidRDefault="009E48D0" w:rsidP="009E48D0">
      <w:pPr>
        <w:spacing w:after="240" w:line="240" w:lineRule="auto"/>
      </w:pPr>
      <w:r w:rsidRPr="005F7162">
        <w:rPr>
          <w:lang w:val="en-US"/>
        </w:rPr>
        <w:lastRenderedPageBreak/>
        <w:t xml:space="preserve">‘Greene, Thomas (1794-1872), of Slyne and Whittington Hall, Lancs’, in David Fisher, </w:t>
      </w:r>
      <w:r w:rsidRPr="005F7162">
        <w:rPr>
          <w:i/>
          <w:iCs/>
          <w:lang w:val="en-US"/>
        </w:rPr>
        <w:t xml:space="preserve">The History of Parliament: </w:t>
      </w:r>
      <w:proofErr w:type="gramStart"/>
      <w:r w:rsidRPr="005F7162">
        <w:rPr>
          <w:i/>
          <w:iCs/>
          <w:lang w:val="en-US"/>
        </w:rPr>
        <w:t>the</w:t>
      </w:r>
      <w:proofErr w:type="gramEnd"/>
      <w:r w:rsidRPr="005F7162">
        <w:rPr>
          <w:i/>
          <w:iCs/>
          <w:lang w:val="en-US"/>
        </w:rPr>
        <w:t xml:space="preserve"> House of Commons 1820-1832, </w:t>
      </w:r>
      <w:r w:rsidRPr="005F7162">
        <w:rPr>
          <w:lang w:val="en-US"/>
        </w:rPr>
        <w:t>(Cambridge, 2009), https://www.historyofparliamentonline.org/volume/1820-1832/member/greene-thomas-1794-1872</w:t>
      </w:r>
      <w:r w:rsidRPr="005F7162">
        <w:t> </w:t>
      </w:r>
    </w:p>
    <w:p w14:paraId="121697FA" w14:textId="77777777" w:rsidR="009E48D0" w:rsidRPr="005F7162" w:rsidRDefault="009E48D0" w:rsidP="009E48D0">
      <w:pPr>
        <w:spacing w:after="240" w:line="240" w:lineRule="auto"/>
      </w:pPr>
      <w:r w:rsidRPr="005F7162">
        <w:rPr>
          <w:lang w:val="en-US"/>
        </w:rPr>
        <w:t>‘Hall Farmhouse’, Grade II Listed Building in Over Kellet, Lancaster, List Entry No. 1071870, https://historicengland.org.uk/listing/the-list/list-entry/1071870?section=official-list-entry</w:t>
      </w:r>
      <w:r w:rsidRPr="005F7162">
        <w:t> </w:t>
      </w:r>
    </w:p>
    <w:p w14:paraId="07D11C27" w14:textId="77777777" w:rsidR="009E48D0" w:rsidRPr="005F7162" w:rsidRDefault="009E48D0" w:rsidP="009E48D0">
      <w:pPr>
        <w:spacing w:after="240" w:line="240" w:lineRule="auto"/>
      </w:pPr>
      <w:r w:rsidRPr="005F7162">
        <w:rPr>
          <w:lang w:val="en-US"/>
        </w:rPr>
        <w:t xml:space="preserve">‘Heysham, Robert (1663-1723), of London and </w:t>
      </w:r>
      <w:proofErr w:type="spellStart"/>
      <w:r w:rsidRPr="005F7162">
        <w:rPr>
          <w:lang w:val="en-US"/>
        </w:rPr>
        <w:t>Stagenhoe</w:t>
      </w:r>
      <w:proofErr w:type="spellEnd"/>
      <w:r w:rsidRPr="005F7162">
        <w:rPr>
          <w:lang w:val="en-US"/>
        </w:rPr>
        <w:t xml:space="preserve">, </w:t>
      </w:r>
      <w:proofErr w:type="spellStart"/>
      <w:r w:rsidRPr="005F7162">
        <w:rPr>
          <w:lang w:val="en-US"/>
        </w:rPr>
        <w:t>Herts.</w:t>
      </w:r>
      <w:proofErr w:type="spellEnd"/>
      <w:r w:rsidRPr="005F7162">
        <w:rPr>
          <w:lang w:val="en-US"/>
        </w:rPr>
        <w:t xml:space="preserve">’, in David Hayton, Eveline Cruickshanks, Stuart Handley (eds), </w:t>
      </w:r>
      <w:r w:rsidRPr="005F7162">
        <w:rPr>
          <w:i/>
          <w:iCs/>
          <w:lang w:val="en-US"/>
        </w:rPr>
        <w:t xml:space="preserve">The History of Parliament: </w:t>
      </w:r>
      <w:proofErr w:type="gramStart"/>
      <w:r w:rsidRPr="005F7162">
        <w:rPr>
          <w:i/>
          <w:iCs/>
          <w:lang w:val="en-US"/>
        </w:rPr>
        <w:t>the</w:t>
      </w:r>
      <w:proofErr w:type="gramEnd"/>
      <w:r w:rsidRPr="005F7162">
        <w:rPr>
          <w:i/>
          <w:iCs/>
          <w:lang w:val="en-US"/>
        </w:rPr>
        <w:t xml:space="preserve"> House of Commons 1690-1715, </w:t>
      </w:r>
      <w:r w:rsidRPr="005F7162">
        <w:rPr>
          <w:lang w:val="en-US"/>
        </w:rPr>
        <w:t>(Cambridge, 2002), https://historyofparliamentonline.org/volume/1690-1715/member/heysham-robert-1663-1723</w:t>
      </w:r>
      <w:r w:rsidRPr="005F7162">
        <w:t> </w:t>
      </w:r>
    </w:p>
    <w:p w14:paraId="7C31BED5" w14:textId="77777777" w:rsidR="009E48D0" w:rsidRPr="005F7162" w:rsidRDefault="009E48D0" w:rsidP="009E48D0">
      <w:pPr>
        <w:spacing w:after="240" w:line="240" w:lineRule="auto"/>
      </w:pPr>
      <w:r w:rsidRPr="005F7162">
        <w:rPr>
          <w:lang w:val="en-US"/>
        </w:rPr>
        <w:t>‘Langley Hall’, Grade II* Listed Building in Sutton, Cheshire East, List Entry No. 1139480, https://historicengland.org.uk/listing/the-list/list-entry/1139480?section=official-list-entry</w:t>
      </w:r>
      <w:r w:rsidRPr="005F7162">
        <w:t> </w:t>
      </w:r>
    </w:p>
    <w:p w14:paraId="1B72FA33" w14:textId="77777777" w:rsidR="009E48D0" w:rsidRPr="005F7162" w:rsidRDefault="009E48D0" w:rsidP="009E48D0">
      <w:pPr>
        <w:spacing w:after="240" w:line="240" w:lineRule="auto"/>
      </w:pPr>
      <w:r w:rsidRPr="005F7162">
        <w:rPr>
          <w:lang w:val="en-US"/>
        </w:rPr>
        <w:t>‘Old Hall and Nos 1 and 2 Old Hall Cottages’, Grade II Listed Building in Over Kellet, Lancashire, List Entry No. 1362443, https://historicengland.org.uk/listing/the-list/list-entry/1362443?section=official-list-entry</w:t>
      </w:r>
      <w:r w:rsidRPr="005F7162">
        <w:t> </w:t>
      </w:r>
    </w:p>
    <w:p w14:paraId="24F54415" w14:textId="77777777" w:rsidR="009E48D0" w:rsidRPr="005F7162" w:rsidRDefault="009E48D0" w:rsidP="009E48D0">
      <w:pPr>
        <w:spacing w:after="240" w:line="240" w:lineRule="auto"/>
      </w:pPr>
      <w:r w:rsidRPr="005F7162">
        <w:rPr>
          <w:lang w:val="en-US"/>
        </w:rPr>
        <w:t>‘Pott Lords Farmhouse, Meg Lane’, Grade II Listed Building in Sutton, Cheshire East, List Entry No. 1139445, https://historicengland.org.uk/listing/the-list/list-entry/1139445?section=official-list-entry</w:t>
      </w:r>
      <w:r w:rsidRPr="005F7162">
        <w:t> </w:t>
      </w:r>
    </w:p>
    <w:p w14:paraId="70418D07" w14:textId="77777777" w:rsidR="009E48D0" w:rsidRPr="005F7162" w:rsidRDefault="009E48D0" w:rsidP="009E48D0">
      <w:pPr>
        <w:spacing w:after="240" w:line="240" w:lineRule="auto"/>
      </w:pPr>
      <w:r w:rsidRPr="005F7162">
        <w:rPr>
          <w:lang w:val="en-US"/>
        </w:rPr>
        <w:t xml:space="preserve">‘Ridge Hall moated site and </w:t>
      </w:r>
      <w:proofErr w:type="spellStart"/>
      <w:r w:rsidRPr="005F7162">
        <w:rPr>
          <w:lang w:val="en-US"/>
        </w:rPr>
        <w:t>annexe</w:t>
      </w:r>
      <w:proofErr w:type="spellEnd"/>
      <w:r w:rsidRPr="005F7162">
        <w:rPr>
          <w:lang w:val="en-US"/>
        </w:rPr>
        <w:t>’, Scheduled Monument in Sutton, Cheshire East, List Entry No. 1012355, https://historicengland.org.uk/listing/the-list/list-entry/1012355?section=official-list-entry</w:t>
      </w:r>
      <w:r w:rsidRPr="005F7162">
        <w:t> </w:t>
      </w:r>
    </w:p>
    <w:p w14:paraId="1DCC369D" w14:textId="77777777" w:rsidR="009E48D0" w:rsidRPr="005F7162" w:rsidRDefault="009E48D0" w:rsidP="009E48D0">
      <w:pPr>
        <w:spacing w:after="240" w:line="240" w:lineRule="auto"/>
      </w:pPr>
      <w:r w:rsidRPr="005F7162">
        <w:rPr>
          <w:lang w:val="en-US"/>
        </w:rPr>
        <w:t>‘Thwaite End Farmhouse’, Grade II Listed Building in Bolton-le-Sands, Lancaster, List Entry No. 1362396, https://historicengland.org.uk/listing/the-list/list-entry/1362396?section=official-list-entry</w:t>
      </w:r>
      <w:r w:rsidRPr="005F7162">
        <w:t> </w:t>
      </w:r>
    </w:p>
    <w:p w14:paraId="2963BC14" w14:textId="064013E4" w:rsidR="00C47014" w:rsidRDefault="00C47014" w:rsidP="009E48D0">
      <w:pPr>
        <w:spacing w:after="240" w:line="240" w:lineRule="auto"/>
        <w:rPr>
          <w:lang w:val="en-US"/>
        </w:rPr>
      </w:pPr>
      <w:r w:rsidRPr="00C47014">
        <w:t xml:space="preserve">‘The National Heritage List for England: Search the List’, </w:t>
      </w:r>
      <w:r w:rsidRPr="00C47014">
        <w:rPr>
          <w:i/>
          <w:iCs/>
        </w:rPr>
        <w:t>Historic England,</w:t>
      </w:r>
      <w:r w:rsidRPr="00C47014">
        <w:t xml:space="preserve"> https://historicengland.org.uk/listing/the-list/</w:t>
      </w:r>
    </w:p>
    <w:p w14:paraId="3E57DC42" w14:textId="09F6A421" w:rsidR="009E48D0" w:rsidRPr="005F7162" w:rsidRDefault="009E48D0" w:rsidP="009E48D0">
      <w:pPr>
        <w:spacing w:after="240" w:line="240" w:lineRule="auto"/>
      </w:pPr>
      <w:r w:rsidRPr="005F7162">
        <w:rPr>
          <w:lang w:val="en-US"/>
        </w:rPr>
        <w:t>Burman</w:t>
      </w:r>
      <w:r w:rsidR="00BF4EA9">
        <w:rPr>
          <w:lang w:val="en-US"/>
        </w:rPr>
        <w:t>,</w:t>
      </w:r>
      <w:r w:rsidRPr="005F7162">
        <w:rPr>
          <w:lang w:val="en-US"/>
        </w:rPr>
        <w:t xml:space="preserve"> </w:t>
      </w:r>
      <w:r w:rsidR="00BF4EA9" w:rsidRPr="005F7162">
        <w:rPr>
          <w:lang w:val="en-US"/>
        </w:rPr>
        <w:t xml:space="preserve">Barbara </w:t>
      </w:r>
      <w:r w:rsidRPr="005F7162">
        <w:rPr>
          <w:lang w:val="en-US"/>
        </w:rPr>
        <w:t xml:space="preserve">and Seth Denbo, ‘The history of tie-on pockets’, </w:t>
      </w:r>
      <w:r w:rsidRPr="005F7162">
        <w:rPr>
          <w:i/>
          <w:iCs/>
          <w:lang w:val="en-US"/>
        </w:rPr>
        <w:t>Pockets of History Project</w:t>
      </w:r>
      <w:r w:rsidRPr="005F7162">
        <w:rPr>
          <w:lang w:val="en-US"/>
        </w:rPr>
        <w:t>, https://www.vads.ac.uk/digital/collection/POCKETS</w:t>
      </w:r>
      <w:r w:rsidRPr="005F7162">
        <w:t> </w:t>
      </w:r>
    </w:p>
    <w:p w14:paraId="4BA9A4CC" w14:textId="77777777" w:rsidR="009E48D0" w:rsidRPr="005F7162" w:rsidRDefault="009E48D0" w:rsidP="009E48D0">
      <w:pPr>
        <w:spacing w:after="240" w:line="240" w:lineRule="auto"/>
      </w:pPr>
      <w:r w:rsidRPr="005F7162">
        <w:rPr>
          <w:i/>
          <w:iCs/>
          <w:lang w:val="en-US"/>
        </w:rPr>
        <w:t xml:space="preserve">Catalogue of the Victoria &amp; Albert Museum, </w:t>
      </w:r>
      <w:r w:rsidRPr="005F7162">
        <w:rPr>
          <w:lang w:val="en-US"/>
        </w:rPr>
        <w:t>https://www.vam.ac.uk/collections</w:t>
      </w:r>
      <w:r w:rsidRPr="005F7162">
        <w:t> </w:t>
      </w:r>
    </w:p>
    <w:p w14:paraId="72F0B199" w14:textId="77777777" w:rsidR="00BF4EA9" w:rsidRPr="008D46B2" w:rsidRDefault="00BF4EA9" w:rsidP="00BF4EA9">
      <w:pPr>
        <w:spacing w:after="240" w:line="240" w:lineRule="auto"/>
        <w:rPr>
          <w:lang w:val="en-US"/>
        </w:rPr>
      </w:pPr>
      <w:proofErr w:type="gramStart"/>
      <w:r w:rsidRPr="008D46B2">
        <w:t>Cant</w:t>
      </w:r>
      <w:proofErr w:type="gramEnd"/>
      <w:r>
        <w:t>,</w:t>
      </w:r>
      <w:r w:rsidRPr="008D46B2">
        <w:t xml:space="preserve"> David John (@DavidJohnCant)</w:t>
      </w:r>
      <w:r>
        <w:t>,</w:t>
      </w:r>
      <w:r w:rsidRPr="008D46B2">
        <w:t xml:space="preserve"> ‘The good people of Halifax were prolific date stone producers. Here, with an amended and possibly intended nod to Psalm 122, one of 1676 for Thomas Greenwood of Old Edge, near Heptonstall.’ [tweet], (9:16am, July 4</w:t>
      </w:r>
      <w:proofErr w:type="gramStart"/>
      <w:r w:rsidRPr="008D46B2">
        <w:t xml:space="preserve"> 2020</w:t>
      </w:r>
      <w:proofErr w:type="gramEnd"/>
      <w:r w:rsidRPr="008D46B2">
        <w:t>)</w:t>
      </w:r>
      <w:r>
        <w:t xml:space="preserve">, </w:t>
      </w:r>
      <w:r w:rsidRPr="008D46B2">
        <w:t>https://x.com/DavidJohnCant/status/1279328151848529920/photo/1</w:t>
      </w:r>
    </w:p>
    <w:p w14:paraId="3C073359" w14:textId="77777777" w:rsidR="00BF4EA9" w:rsidRPr="00BF4EA9" w:rsidRDefault="00BF4EA9" w:rsidP="00BF4EA9">
      <w:pPr>
        <w:spacing w:after="240" w:line="240" w:lineRule="auto"/>
      </w:pPr>
      <w:r w:rsidRPr="00BF4EA9">
        <w:rPr>
          <w:lang w:val="en-US"/>
        </w:rPr>
        <w:t>Clarke, Michael, ‘</w:t>
      </w:r>
      <w:proofErr w:type="spellStart"/>
      <w:r w:rsidRPr="00BF4EA9">
        <w:rPr>
          <w:lang w:val="en-US"/>
        </w:rPr>
        <w:t>fecit</w:t>
      </w:r>
      <w:proofErr w:type="spellEnd"/>
      <w:r w:rsidRPr="00BF4EA9">
        <w:rPr>
          <w:lang w:val="en-US"/>
        </w:rPr>
        <w:t xml:space="preserve">.’, </w:t>
      </w:r>
      <w:r w:rsidRPr="00BF4EA9">
        <w:rPr>
          <w:i/>
          <w:iCs/>
          <w:lang w:val="en-US"/>
        </w:rPr>
        <w:t xml:space="preserve">The Concise Oxford Dictionary of Art Terms, </w:t>
      </w:r>
      <w:r w:rsidRPr="00BF4EA9">
        <w:rPr>
          <w:lang w:val="en-US"/>
        </w:rPr>
        <w:t>(Oxford, 2010), https://www-oxfordreference-com.sheffield.idm.oclc.org/view/10.1093/acref/9780199569922.001.0001/acref-9780199569922-e-706</w:t>
      </w:r>
      <w:r w:rsidRPr="00BF4EA9">
        <w:t> </w:t>
      </w:r>
    </w:p>
    <w:p w14:paraId="6BEB784B" w14:textId="48EC325C" w:rsidR="009E48D0" w:rsidRPr="005F7162" w:rsidRDefault="009E48D0" w:rsidP="009E48D0">
      <w:pPr>
        <w:spacing w:after="240" w:line="240" w:lineRule="auto"/>
      </w:pPr>
      <w:r w:rsidRPr="005F7162">
        <w:rPr>
          <w:lang w:val="en-US"/>
        </w:rPr>
        <w:lastRenderedPageBreak/>
        <w:t xml:space="preserve">Curry, Patrick, ‘Lilly, William (1602-1681), astrologer’, </w:t>
      </w:r>
      <w:r w:rsidRPr="005F7162">
        <w:rPr>
          <w:i/>
          <w:iCs/>
          <w:lang w:val="en-US"/>
        </w:rPr>
        <w:t xml:space="preserve">Oxford Dictionary of National Biography, </w:t>
      </w:r>
      <w:r w:rsidRPr="005F7162">
        <w:rPr>
          <w:lang w:val="en-US"/>
        </w:rPr>
        <w:t>https://www.oxforddnb.com/view/10.1093/ref:odnb/9780198614128.001.0001/odnb-9780198614128-e-16661</w:t>
      </w:r>
      <w:r w:rsidRPr="005F7162">
        <w:t> </w:t>
      </w:r>
    </w:p>
    <w:p w14:paraId="4372D719" w14:textId="2928BFC5" w:rsidR="009E48D0" w:rsidRPr="005F7162" w:rsidRDefault="009E48D0" w:rsidP="009E48D0">
      <w:pPr>
        <w:spacing w:after="240" w:line="240" w:lineRule="auto"/>
      </w:pPr>
      <w:r w:rsidRPr="005F7162">
        <w:rPr>
          <w:i/>
          <w:iCs/>
          <w:lang w:val="en-US"/>
        </w:rPr>
        <w:t xml:space="preserve">Early English Books Online, </w:t>
      </w:r>
      <w:r w:rsidRPr="005F7162">
        <w:rPr>
          <w:lang w:val="en-US"/>
        </w:rPr>
        <w:t>http://proquest.com/eebo</w:t>
      </w:r>
      <w:r w:rsidRPr="005F7162">
        <w:t> </w:t>
      </w:r>
    </w:p>
    <w:p w14:paraId="10757190" w14:textId="77777777" w:rsidR="00BF4EA9" w:rsidRDefault="00BF4EA9" w:rsidP="00BF4EA9">
      <w:pPr>
        <w:spacing w:after="240" w:line="240" w:lineRule="auto"/>
        <w:rPr>
          <w:lang w:val="en-US"/>
        </w:rPr>
      </w:pPr>
      <w:r w:rsidRPr="005F7162">
        <w:rPr>
          <w:lang w:val="en-US"/>
        </w:rPr>
        <w:t>Farrer</w:t>
      </w:r>
      <w:r>
        <w:rPr>
          <w:lang w:val="en-US"/>
        </w:rPr>
        <w:t>,</w:t>
      </w:r>
      <w:r w:rsidRPr="005F7162">
        <w:rPr>
          <w:lang w:val="en-US"/>
        </w:rPr>
        <w:t xml:space="preserve"> William and J. </w:t>
      </w:r>
      <w:proofErr w:type="spellStart"/>
      <w:r w:rsidRPr="005F7162">
        <w:rPr>
          <w:lang w:val="en-US"/>
        </w:rPr>
        <w:t>Brownbill</w:t>
      </w:r>
      <w:proofErr w:type="spellEnd"/>
      <w:r w:rsidRPr="005F7162">
        <w:rPr>
          <w:lang w:val="en-US"/>
        </w:rPr>
        <w:t xml:space="preserve"> (eds), </w:t>
      </w:r>
      <w:r w:rsidRPr="005F7162">
        <w:rPr>
          <w:i/>
          <w:iCs/>
          <w:lang w:val="en-US"/>
        </w:rPr>
        <w:t>Victoria History of the County of Lancaster: Vol. 8</w:t>
      </w:r>
      <w:r w:rsidRPr="005F7162">
        <w:rPr>
          <w:lang w:val="en-US"/>
        </w:rPr>
        <w:t xml:space="preserve">, (London, 1914), </w:t>
      </w:r>
      <w:r w:rsidRPr="00BF4EA9">
        <w:rPr>
          <w:lang w:val="en-US"/>
        </w:rPr>
        <w:t>http://www.british-history.ac.uk/vch/lancs/vol8</w:t>
      </w:r>
    </w:p>
    <w:p w14:paraId="27B2ABAE" w14:textId="77777777" w:rsidR="009E48D0" w:rsidRPr="005F7162" w:rsidRDefault="009E48D0" w:rsidP="009E48D0">
      <w:pPr>
        <w:spacing w:after="240" w:line="240" w:lineRule="auto"/>
      </w:pPr>
      <w:proofErr w:type="spellStart"/>
      <w:r w:rsidRPr="005F7162">
        <w:rPr>
          <w:i/>
          <w:iCs/>
          <w:lang w:val="en-US"/>
        </w:rPr>
        <w:t>Findmypast</w:t>
      </w:r>
      <w:proofErr w:type="spellEnd"/>
      <w:r w:rsidRPr="005F7162">
        <w:rPr>
          <w:i/>
          <w:iCs/>
          <w:lang w:val="en-US"/>
        </w:rPr>
        <w:t xml:space="preserve">, </w:t>
      </w:r>
      <w:r w:rsidRPr="005F7162">
        <w:rPr>
          <w:lang w:val="en-US"/>
        </w:rPr>
        <w:t>http://findmypast.co.uk</w:t>
      </w:r>
      <w:r w:rsidRPr="005F7162">
        <w:t> </w:t>
      </w:r>
    </w:p>
    <w:p w14:paraId="0C7104A3" w14:textId="3735BA83" w:rsidR="009E48D0" w:rsidRPr="005F7162" w:rsidRDefault="009E48D0" w:rsidP="009E48D0">
      <w:pPr>
        <w:spacing w:after="240" w:line="240" w:lineRule="auto"/>
      </w:pPr>
      <w:r w:rsidRPr="005F7162">
        <w:rPr>
          <w:lang w:val="en-US"/>
        </w:rPr>
        <w:t xml:space="preserve">Goodwin, </w:t>
      </w:r>
      <w:r w:rsidR="00BF4EA9" w:rsidRPr="005F7162">
        <w:rPr>
          <w:lang w:val="en-US"/>
        </w:rPr>
        <w:t>Jonathan</w:t>
      </w:r>
      <w:r w:rsidR="00BF4EA9">
        <w:rPr>
          <w:lang w:val="en-US"/>
        </w:rPr>
        <w:t>,</w:t>
      </w:r>
      <w:r w:rsidR="00BF4EA9" w:rsidRPr="005F7162">
        <w:rPr>
          <w:lang w:val="en-US"/>
        </w:rPr>
        <w:t xml:space="preserve"> </w:t>
      </w:r>
      <w:r w:rsidRPr="005F7162">
        <w:rPr>
          <w:lang w:val="en-US"/>
        </w:rPr>
        <w:t xml:space="preserve">‘An assessment of ceramic finds recovered during the </w:t>
      </w:r>
      <w:r w:rsidRPr="005F7162">
        <w:rPr>
          <w:i/>
          <w:iCs/>
          <w:lang w:val="en-US"/>
        </w:rPr>
        <w:t xml:space="preserve">Peeling Back the Layers </w:t>
      </w:r>
      <w:r w:rsidRPr="005F7162">
        <w:rPr>
          <w:lang w:val="en-US"/>
        </w:rPr>
        <w:t xml:space="preserve">community archaeology project, Under </w:t>
      </w:r>
      <w:proofErr w:type="spellStart"/>
      <w:r w:rsidRPr="005F7162">
        <w:rPr>
          <w:lang w:val="en-US"/>
        </w:rPr>
        <w:t>Whitle</w:t>
      </w:r>
      <w:proofErr w:type="spellEnd"/>
      <w:r w:rsidRPr="005F7162">
        <w:rPr>
          <w:lang w:val="en-US"/>
        </w:rPr>
        <w:t xml:space="preserve"> Farm, </w:t>
      </w:r>
      <w:proofErr w:type="spellStart"/>
      <w:r w:rsidRPr="005F7162">
        <w:rPr>
          <w:lang w:val="en-US"/>
        </w:rPr>
        <w:t>Longnor</w:t>
      </w:r>
      <w:proofErr w:type="spellEnd"/>
      <w:r w:rsidRPr="005F7162">
        <w:rPr>
          <w:lang w:val="en-US"/>
        </w:rPr>
        <w:t>, Staffordshire’, (</w:t>
      </w:r>
      <w:proofErr w:type="gramStart"/>
      <w:r w:rsidRPr="005F7162">
        <w:rPr>
          <w:lang w:val="en-US"/>
        </w:rPr>
        <w:t>January,</w:t>
      </w:r>
      <w:proofErr w:type="gramEnd"/>
      <w:r w:rsidRPr="005F7162">
        <w:rPr>
          <w:lang w:val="en-US"/>
        </w:rPr>
        <w:t xml:space="preserve"> 2017), Tudor Farming Interpretation Group: Peeling Back the Layers Project, https://www.tudorfarming.co.uk/_files/ugd/18f02a_8e65f3ef0d5a403cb32abb743593742c.pdf2023</w:t>
      </w:r>
      <w:r w:rsidRPr="005F7162">
        <w:t> </w:t>
      </w:r>
    </w:p>
    <w:p w14:paraId="66CB8D32" w14:textId="77777777" w:rsidR="009E48D0" w:rsidRDefault="009E48D0" w:rsidP="009E48D0">
      <w:pPr>
        <w:spacing w:after="240" w:line="240" w:lineRule="auto"/>
      </w:pPr>
      <w:r w:rsidRPr="00233F54">
        <w:rPr>
          <w:i/>
          <w:iCs/>
          <w:lang w:val="en-US"/>
        </w:rPr>
        <w:t xml:space="preserve">King James VI Bible, </w:t>
      </w:r>
      <w:r w:rsidRPr="00233F54">
        <w:rPr>
          <w:lang w:val="en-US"/>
        </w:rPr>
        <w:t>https://www.kingjamesbibleonline.org</w:t>
      </w:r>
      <w:r w:rsidRPr="00233F54">
        <w:t> </w:t>
      </w:r>
    </w:p>
    <w:p w14:paraId="2A009BC8" w14:textId="77777777" w:rsidR="009E48D0" w:rsidRPr="005F7162" w:rsidRDefault="009E48D0" w:rsidP="009E48D0">
      <w:pPr>
        <w:spacing w:after="240" w:line="240" w:lineRule="auto"/>
      </w:pPr>
      <w:r w:rsidRPr="005F7162">
        <w:rPr>
          <w:i/>
          <w:iCs/>
          <w:lang w:val="en-US"/>
        </w:rPr>
        <w:t xml:space="preserve">Oxford English Dictionary Online, </w:t>
      </w:r>
      <w:r w:rsidRPr="005F7162">
        <w:rPr>
          <w:lang w:val="en-US"/>
        </w:rPr>
        <w:t>http://oed.com/</w:t>
      </w:r>
      <w:r w:rsidRPr="005F7162">
        <w:t> </w:t>
      </w:r>
    </w:p>
    <w:p w14:paraId="26880A79" w14:textId="77777777" w:rsidR="00BF4EA9" w:rsidRPr="00BF4EA9" w:rsidRDefault="00BF4EA9" w:rsidP="00BF4EA9">
      <w:pPr>
        <w:spacing w:after="240" w:line="240" w:lineRule="auto"/>
      </w:pPr>
      <w:r w:rsidRPr="00BF4EA9">
        <w:rPr>
          <w:lang w:val="en-US"/>
        </w:rPr>
        <w:t xml:space="preserve">Richardson, Catherine, Tara Hamling and Graeme Earl, ‘Social Statuses of Early Modern England’, </w:t>
      </w:r>
      <w:r w:rsidRPr="00BF4EA9">
        <w:rPr>
          <w:i/>
          <w:iCs/>
          <w:lang w:val="en-US"/>
        </w:rPr>
        <w:t>Middling Culture: The Cultural Lives of the Middling Sort: Writing and Material Culture, 1560-1660,</w:t>
      </w:r>
      <w:r w:rsidRPr="00BF4EA9">
        <w:rPr>
          <w:lang w:val="en-US"/>
        </w:rPr>
        <w:t xml:space="preserve"> https://middlingculture.com/social-statuses-of-early-modern-england/#Upper-Middling</w:t>
      </w:r>
      <w:r w:rsidRPr="00BF4EA9">
        <w:t> </w:t>
      </w:r>
    </w:p>
    <w:p w14:paraId="49979051" w14:textId="6C8B8D9A" w:rsidR="00AB674D" w:rsidRDefault="009E48D0" w:rsidP="009E48D0">
      <w:pPr>
        <w:spacing w:after="240" w:line="240" w:lineRule="auto"/>
        <w:sectPr w:rsidR="00AB674D">
          <w:pgSz w:w="11906" w:h="16838"/>
          <w:pgMar w:top="1440" w:right="1440" w:bottom="1440" w:left="1440" w:header="720" w:footer="720" w:gutter="0"/>
          <w:cols w:space="720"/>
          <w:docGrid w:linePitch="360"/>
        </w:sectPr>
      </w:pPr>
      <w:r w:rsidRPr="005F7162">
        <w:t> </w:t>
      </w:r>
    </w:p>
    <w:p w14:paraId="48D94B3C" w14:textId="63E4A6A6" w:rsidR="00CD232B" w:rsidRDefault="00CD232B">
      <w:pPr>
        <w:spacing w:after="0" w:line="240" w:lineRule="auto"/>
      </w:pPr>
    </w:p>
    <w:p w14:paraId="3D3C7B83" w14:textId="77777777" w:rsidR="009E48D0" w:rsidRPr="005F7162" w:rsidRDefault="009E48D0" w:rsidP="009E48D0">
      <w:pPr>
        <w:spacing w:after="240" w:line="240" w:lineRule="auto"/>
      </w:pPr>
    </w:p>
    <w:sectPr w:rsidR="009E48D0" w:rsidRPr="005F7162">
      <w:footerReference w:type="default" r:id="rId9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B48FE" w14:textId="77777777" w:rsidR="002B6278" w:rsidRDefault="002B6278" w:rsidP="005B67D0">
      <w:pPr>
        <w:spacing w:after="0" w:line="240" w:lineRule="auto"/>
      </w:pPr>
      <w:r>
        <w:separator/>
      </w:r>
    </w:p>
  </w:endnote>
  <w:endnote w:type="continuationSeparator" w:id="0">
    <w:p w14:paraId="221E19B7" w14:textId="77777777" w:rsidR="002B6278" w:rsidRDefault="002B6278" w:rsidP="005B6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307537"/>
      <w:docPartObj>
        <w:docPartGallery w:val="Page Numbers (Bottom of Page)"/>
        <w:docPartUnique/>
      </w:docPartObj>
    </w:sdtPr>
    <w:sdtEndPr>
      <w:rPr>
        <w:noProof/>
      </w:rPr>
    </w:sdtEndPr>
    <w:sdtContent>
      <w:p w14:paraId="7D7C7E38" w14:textId="0FC65725" w:rsidR="00212548" w:rsidRDefault="002125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7BED0B" w14:textId="77777777" w:rsidR="00212548" w:rsidRDefault="002125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1636" w14:textId="0BAC2819" w:rsidR="00AB674D" w:rsidRDefault="00AB674D" w:rsidP="00AB674D">
    <w:pPr>
      <w:pStyle w:val="Footer"/>
    </w:pPr>
  </w:p>
  <w:p w14:paraId="1724136D" w14:textId="77777777" w:rsidR="00AB674D" w:rsidRDefault="00AB6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9029C" w14:textId="77777777" w:rsidR="002B6278" w:rsidRDefault="002B6278" w:rsidP="005B67D0">
      <w:pPr>
        <w:spacing w:after="0" w:line="240" w:lineRule="auto"/>
      </w:pPr>
      <w:r>
        <w:separator/>
      </w:r>
    </w:p>
  </w:footnote>
  <w:footnote w:type="continuationSeparator" w:id="0">
    <w:p w14:paraId="69836B5D" w14:textId="77777777" w:rsidR="002B6278" w:rsidRDefault="002B6278" w:rsidP="005B67D0">
      <w:pPr>
        <w:spacing w:after="0" w:line="240" w:lineRule="auto"/>
      </w:pPr>
      <w:r>
        <w:continuationSeparator/>
      </w:r>
    </w:p>
  </w:footnote>
  <w:footnote w:id="1">
    <w:p w14:paraId="3380F157" w14:textId="59B50AC0" w:rsidR="00EC1EEB" w:rsidRPr="00C040EE" w:rsidRDefault="00EC1EEB" w:rsidP="00EC1EEB">
      <w:pPr>
        <w:pStyle w:val="FootnoteText"/>
      </w:pPr>
      <w:r>
        <w:rPr>
          <w:rStyle w:val="FootnoteReference"/>
        </w:rPr>
        <w:footnoteRef/>
      </w:r>
      <w:r>
        <w:t xml:space="preserve"> W. G. Hoskins, ‘The rebuilding of rural England, 1570-1640’, </w:t>
      </w:r>
      <w:r>
        <w:rPr>
          <w:i/>
          <w:iCs/>
        </w:rPr>
        <w:t xml:space="preserve">Past &amp; Present, </w:t>
      </w:r>
      <w:r>
        <w:t>Vol. 4 (1953), pp.44-59</w:t>
      </w:r>
      <w:r w:rsidR="00242959">
        <w:t>.</w:t>
      </w:r>
    </w:p>
  </w:footnote>
  <w:footnote w:id="2">
    <w:p w14:paraId="74B754F1" w14:textId="77777777" w:rsidR="00EC1EEB" w:rsidRDefault="00EC1EEB" w:rsidP="00EC1EEB">
      <w:pPr>
        <w:pStyle w:val="FootnoteText"/>
      </w:pPr>
      <w:r>
        <w:rPr>
          <w:rStyle w:val="FootnoteReference"/>
        </w:rPr>
        <w:footnoteRef/>
      </w:r>
      <w:r>
        <w:t xml:space="preserve"> Ibid.</w:t>
      </w:r>
    </w:p>
  </w:footnote>
  <w:footnote w:id="3">
    <w:p w14:paraId="3842A68D" w14:textId="116A56B9" w:rsidR="00EC1EEB" w:rsidRPr="00256444" w:rsidRDefault="00EC1EEB" w:rsidP="00EC1EEB">
      <w:pPr>
        <w:pStyle w:val="FootnoteText"/>
      </w:pPr>
      <w:r>
        <w:rPr>
          <w:rStyle w:val="FootnoteReference"/>
        </w:rPr>
        <w:footnoteRef/>
      </w:r>
      <w:r>
        <w:t xml:space="preserve"> R. Machin, ‘The Great Rebuilding: a reassessment’, </w:t>
      </w:r>
      <w:r>
        <w:rPr>
          <w:i/>
          <w:iCs/>
        </w:rPr>
        <w:t xml:space="preserve">Past &amp; Present, </w:t>
      </w:r>
      <w:r>
        <w:t>Vol. 77, (1977), pp.33-56, p.55</w:t>
      </w:r>
      <w:r w:rsidR="00242959">
        <w:t>.</w:t>
      </w:r>
    </w:p>
  </w:footnote>
  <w:footnote w:id="4">
    <w:p w14:paraId="6FFC3295" w14:textId="378DAB0F" w:rsidR="00EC1EEB" w:rsidRDefault="00EC1EEB" w:rsidP="00EC1EEB">
      <w:pPr>
        <w:pStyle w:val="FootnoteText"/>
      </w:pPr>
      <w:r>
        <w:rPr>
          <w:rStyle w:val="FootnoteReference"/>
        </w:rPr>
        <w:footnoteRef/>
      </w:r>
      <w:r>
        <w:t xml:space="preserve"> Ibid., p.40</w:t>
      </w:r>
      <w:r w:rsidR="00242959">
        <w:t>.</w:t>
      </w:r>
    </w:p>
  </w:footnote>
  <w:footnote w:id="5">
    <w:p w14:paraId="392D6348" w14:textId="50E82C99" w:rsidR="00EC1EEB" w:rsidRPr="00AB4824" w:rsidRDefault="00EC1EEB" w:rsidP="00EC1EEB">
      <w:pPr>
        <w:pStyle w:val="FootnoteText"/>
      </w:pPr>
      <w:r>
        <w:rPr>
          <w:rStyle w:val="FootnoteReference"/>
        </w:rPr>
        <w:footnoteRef/>
      </w:r>
      <w:r>
        <w:t xml:space="preserve"> J. M. Gulley, ‘The Great Rebuilding in the Weald’, </w:t>
      </w:r>
      <w:proofErr w:type="spellStart"/>
      <w:r w:rsidRPr="0011451B">
        <w:rPr>
          <w:i/>
          <w:iCs/>
        </w:rPr>
        <w:t>Gwerin</w:t>
      </w:r>
      <w:proofErr w:type="spellEnd"/>
      <w:r>
        <w:t xml:space="preserve">, Vol. 3, No. 3, (1961), pp.126-141; Nat Alcock, ‘The Great Rebuilding and its later stages’, </w:t>
      </w:r>
      <w:r>
        <w:rPr>
          <w:i/>
          <w:iCs/>
        </w:rPr>
        <w:t xml:space="preserve">Vernacular Architecture, </w:t>
      </w:r>
      <w:r>
        <w:t xml:space="preserve">Vol. 14, No. 1, (1983), pp.45-48; Emmeline Garnett, ‘The Great Rebuilding and economic change in South Lonsdale 1600-1730’, </w:t>
      </w:r>
      <w:r>
        <w:rPr>
          <w:i/>
          <w:iCs/>
        </w:rPr>
        <w:t xml:space="preserve">Transactions of the Historic Society of Lancashire and Cheshire, </w:t>
      </w:r>
      <w:r>
        <w:t xml:space="preserve">Vol. 137, (Liverpool, 1988), pp.55-75; Jean Manco, ‘Bath and the Great Rebuilding’, </w:t>
      </w:r>
      <w:r>
        <w:rPr>
          <w:i/>
          <w:iCs/>
        </w:rPr>
        <w:t xml:space="preserve">Bath History, </w:t>
      </w:r>
      <w:r>
        <w:t xml:space="preserve">Vol. 4, No. 2, (1992), pp.25-51; </w:t>
      </w:r>
      <w:r w:rsidRPr="0011451B">
        <w:t>Pat</w:t>
      </w:r>
      <w:r>
        <w:t xml:space="preserve"> Ryan, ‘The buildings of rural Ingatestone, Essex 1556-1601: ‘Great Rebuilding’ or ‘Housing Revolution’?’, </w:t>
      </w:r>
      <w:r>
        <w:rPr>
          <w:i/>
          <w:iCs/>
        </w:rPr>
        <w:t xml:space="preserve">Vernacular Architecture, </w:t>
      </w:r>
      <w:r>
        <w:t xml:space="preserve">Vol. 31, No. 1, (2000), pp.11-25; Chris King, ‘’Closure’ and the urban Great Rebuilding in early modern Norwich’, </w:t>
      </w:r>
      <w:r>
        <w:rPr>
          <w:i/>
          <w:iCs/>
        </w:rPr>
        <w:t xml:space="preserve">Post-Medieval Archaeology, </w:t>
      </w:r>
      <w:r>
        <w:t>Vol. 44, No. 1, (2010), pp.54-80</w:t>
      </w:r>
      <w:r w:rsidR="00242959">
        <w:t>.</w:t>
      </w:r>
    </w:p>
  </w:footnote>
  <w:footnote w:id="6">
    <w:p w14:paraId="1D46A364" w14:textId="7603D4BA" w:rsidR="00EC1EEB" w:rsidRPr="00350873" w:rsidRDefault="00EC1EEB" w:rsidP="00EC1EEB">
      <w:pPr>
        <w:pStyle w:val="FootnoteText"/>
      </w:pPr>
      <w:r>
        <w:rPr>
          <w:rStyle w:val="FootnoteReference"/>
        </w:rPr>
        <w:footnoteRef/>
      </w:r>
      <w:r>
        <w:t xml:space="preserve"> Richard Heape, </w:t>
      </w:r>
      <w:r>
        <w:rPr>
          <w:i/>
          <w:iCs/>
        </w:rPr>
        <w:t xml:space="preserve">Inscribed and Dated Stones and Sundials In and Adjoining the Ancient Parish of Rochdale, </w:t>
      </w:r>
      <w:r>
        <w:t xml:space="preserve">(Cambridge, 1926); James Smith, ‘Dated houses in Rothesay’, </w:t>
      </w:r>
      <w:r>
        <w:rPr>
          <w:i/>
          <w:iCs/>
        </w:rPr>
        <w:t xml:space="preserve">Transactions of the </w:t>
      </w:r>
      <w:proofErr w:type="spellStart"/>
      <w:r>
        <w:rPr>
          <w:i/>
          <w:iCs/>
        </w:rPr>
        <w:t>Buteshire</w:t>
      </w:r>
      <w:proofErr w:type="spellEnd"/>
      <w:r>
        <w:rPr>
          <w:i/>
          <w:iCs/>
        </w:rPr>
        <w:t xml:space="preserve"> Natural History Society, </w:t>
      </w:r>
      <w:r>
        <w:t xml:space="preserve">Vol. 12, (1939), pp.119-127; John Taylor, </w:t>
      </w:r>
      <w:r>
        <w:rPr>
          <w:i/>
          <w:iCs/>
        </w:rPr>
        <w:t xml:space="preserve">Stories in Stone: Datestones in Rossendale, </w:t>
      </w:r>
      <w:r>
        <w:t>(</w:t>
      </w:r>
      <w:proofErr w:type="spellStart"/>
      <w:r>
        <w:t>Bacup</w:t>
      </w:r>
      <w:proofErr w:type="spellEnd"/>
      <w:r>
        <w:t xml:space="preserve">, 1988); Barbara Hutton and Joyce Martin, </w:t>
      </w:r>
      <w:r>
        <w:rPr>
          <w:i/>
          <w:iCs/>
        </w:rPr>
        <w:t xml:space="preserve">Doorways in the Dales, </w:t>
      </w:r>
      <w:r>
        <w:t xml:space="preserve">(York, 1986); Emmeline Garnett, </w:t>
      </w:r>
      <w:r>
        <w:rPr>
          <w:i/>
          <w:iCs/>
        </w:rPr>
        <w:t xml:space="preserve">The Dated Buildings of South Lonsdale, </w:t>
      </w:r>
      <w:r>
        <w:t>(Lancaster, 1994)</w:t>
      </w:r>
      <w:r w:rsidR="00242959">
        <w:t>.</w:t>
      </w:r>
    </w:p>
  </w:footnote>
  <w:footnote w:id="7">
    <w:p w14:paraId="39F6EBD3" w14:textId="0C04DA09" w:rsidR="00EC1EEB" w:rsidRPr="00762125" w:rsidRDefault="00EC1EEB" w:rsidP="00EC1EEB">
      <w:pPr>
        <w:pStyle w:val="FootnoteText"/>
      </w:pPr>
      <w:r>
        <w:rPr>
          <w:rStyle w:val="FootnoteReference"/>
        </w:rPr>
        <w:footnoteRef/>
      </w:r>
      <w:r>
        <w:t xml:space="preserve"> Garnett, </w:t>
      </w:r>
      <w:r>
        <w:rPr>
          <w:i/>
          <w:iCs/>
        </w:rPr>
        <w:t>Dated Buildings</w:t>
      </w:r>
      <w:r w:rsidR="00242959">
        <w:rPr>
          <w:i/>
          <w:iCs/>
        </w:rPr>
        <w:t>.</w:t>
      </w:r>
    </w:p>
  </w:footnote>
  <w:footnote w:id="8">
    <w:p w14:paraId="50C1D5D8" w14:textId="312D457D" w:rsidR="00EC1EEB" w:rsidRDefault="00EC1EEB" w:rsidP="00EC1EEB">
      <w:pPr>
        <w:pStyle w:val="FootnoteText"/>
      </w:pPr>
      <w:r>
        <w:rPr>
          <w:rStyle w:val="FootnoteReference"/>
        </w:rPr>
        <w:footnoteRef/>
      </w:r>
      <w:r>
        <w:t xml:space="preserve"> </w:t>
      </w:r>
      <w:r w:rsidRPr="00F50091">
        <w:rPr>
          <w:lang w:val="en-US"/>
        </w:rPr>
        <w:t>Garnett, ‘The Great Rebuilding’</w:t>
      </w:r>
      <w:r w:rsidR="00242959">
        <w:rPr>
          <w:lang w:val="en-US"/>
        </w:rPr>
        <w:t>.</w:t>
      </w:r>
    </w:p>
  </w:footnote>
  <w:footnote w:id="9">
    <w:p w14:paraId="3735914B" w14:textId="33F596DB" w:rsidR="00EC1EEB" w:rsidRDefault="00EC1EEB" w:rsidP="00EC1EEB">
      <w:pPr>
        <w:pStyle w:val="FootnoteText"/>
      </w:pPr>
      <w:r>
        <w:rPr>
          <w:rStyle w:val="FootnoteReference"/>
        </w:rPr>
        <w:footnoteRef/>
      </w:r>
      <w:r>
        <w:t xml:space="preserve"> </w:t>
      </w:r>
      <w:r w:rsidRPr="00097420">
        <w:t xml:space="preserve">Matthew Johnson, ‘Rethinking the Great Rebuilding’, </w:t>
      </w:r>
      <w:r w:rsidRPr="00097420">
        <w:rPr>
          <w:i/>
          <w:iCs/>
        </w:rPr>
        <w:t xml:space="preserve">Oxford Journal of Archaeology, </w:t>
      </w:r>
      <w:r w:rsidRPr="00097420">
        <w:t>Vol. 12, No. 1, (1993), pp.117-125</w:t>
      </w:r>
      <w:r>
        <w:t xml:space="preserve">, p.119; Chris King, ‘Domestic buildings: understanding houses and society’, in Catherine Richardson, Tara Hamling and David </w:t>
      </w:r>
      <w:proofErr w:type="spellStart"/>
      <w:r>
        <w:t>Gaimster</w:t>
      </w:r>
      <w:proofErr w:type="spellEnd"/>
      <w:r>
        <w:rPr>
          <w:lang w:val="en-US"/>
        </w:rPr>
        <w:t xml:space="preserve"> </w:t>
      </w:r>
      <w:r w:rsidRPr="003901C6">
        <w:rPr>
          <w:lang w:val="en-US"/>
        </w:rPr>
        <w:t>(ed</w:t>
      </w:r>
      <w:r>
        <w:rPr>
          <w:lang w:val="en-US"/>
        </w:rPr>
        <w:t>s</w:t>
      </w:r>
      <w:r w:rsidRPr="003901C6">
        <w:rPr>
          <w:lang w:val="en-US"/>
        </w:rPr>
        <w:t xml:space="preserve">), </w:t>
      </w:r>
      <w:r>
        <w:rPr>
          <w:i/>
          <w:iCs/>
          <w:lang w:val="en-US"/>
        </w:rPr>
        <w:t>The Routledge Handbook of Mat</w:t>
      </w:r>
      <w:r w:rsidRPr="003901C6">
        <w:rPr>
          <w:i/>
          <w:iCs/>
          <w:lang w:val="en-US"/>
        </w:rPr>
        <w:t>erial Culture</w:t>
      </w:r>
      <w:r>
        <w:rPr>
          <w:i/>
          <w:iCs/>
          <w:lang w:val="en-US"/>
        </w:rPr>
        <w:t xml:space="preserve"> in Early Modern Europe</w:t>
      </w:r>
      <w:r w:rsidRPr="003901C6">
        <w:rPr>
          <w:i/>
          <w:iCs/>
          <w:lang w:val="en-US"/>
        </w:rPr>
        <w:t xml:space="preserve">, </w:t>
      </w:r>
      <w:r w:rsidRPr="003901C6">
        <w:rPr>
          <w:lang w:val="en-US"/>
        </w:rPr>
        <w:t>(</w:t>
      </w:r>
      <w:r>
        <w:rPr>
          <w:lang w:val="en-US"/>
        </w:rPr>
        <w:t>Abing</w:t>
      </w:r>
      <w:r w:rsidRPr="003901C6">
        <w:rPr>
          <w:lang w:val="en-US"/>
        </w:rPr>
        <w:t>don, 20</w:t>
      </w:r>
      <w:r>
        <w:rPr>
          <w:lang w:val="en-US"/>
        </w:rPr>
        <w:t>17</w:t>
      </w:r>
      <w:r w:rsidRPr="003901C6">
        <w:rPr>
          <w:lang w:val="en-US"/>
        </w:rPr>
        <w:t>),</w:t>
      </w:r>
      <w:r>
        <w:rPr>
          <w:lang w:val="en-US"/>
        </w:rPr>
        <w:t xml:space="preserve"> pp.115-129</w:t>
      </w:r>
      <w:r w:rsidR="00EB4EE0">
        <w:rPr>
          <w:lang w:val="en-US"/>
        </w:rPr>
        <w:t>.</w:t>
      </w:r>
    </w:p>
  </w:footnote>
  <w:footnote w:id="10">
    <w:p w14:paraId="1D13AB36" w14:textId="6FA919A9" w:rsidR="00EC1EEB" w:rsidRDefault="00EC1EEB" w:rsidP="00EC1EEB">
      <w:pPr>
        <w:pStyle w:val="FootnoteText"/>
      </w:pPr>
      <w:r>
        <w:rPr>
          <w:rStyle w:val="FootnoteReference"/>
        </w:rPr>
        <w:footnoteRef/>
      </w:r>
      <w:r>
        <w:t xml:space="preserve"> </w:t>
      </w:r>
      <w:r w:rsidRPr="00DF32B8">
        <w:rPr>
          <w:lang w:val="en-US"/>
        </w:rPr>
        <w:t>Adrian Green, ‘Houses and households in County Durham and Newcastle c.1570-1730’, (Durham University, 2000</w:t>
      </w:r>
      <w:r>
        <w:rPr>
          <w:lang w:val="en-US"/>
        </w:rPr>
        <w:t>;</w:t>
      </w:r>
      <w:r w:rsidRPr="00D1367F">
        <w:rPr>
          <w:lang w:val="en-US"/>
        </w:rPr>
        <w:t xml:space="preserve"> </w:t>
      </w:r>
      <w:r w:rsidRPr="00DF32B8">
        <w:rPr>
          <w:lang w:val="en-US"/>
        </w:rPr>
        <w:t>unpublished PhD thesis), [http://etheses.dur.ac.uk/1600/2/1600_v2.pdf?EThOS%20(BL); accessed 20</w:t>
      </w:r>
      <w:r w:rsidRPr="00DF32B8">
        <w:rPr>
          <w:vertAlign w:val="superscript"/>
          <w:lang w:val="en-US"/>
        </w:rPr>
        <w:t>th</w:t>
      </w:r>
      <w:r w:rsidRPr="00DF32B8">
        <w:rPr>
          <w:lang w:val="en-US"/>
        </w:rPr>
        <w:t xml:space="preserve"> May 20</w:t>
      </w:r>
      <w:r>
        <w:rPr>
          <w:lang w:val="en-US"/>
        </w:rPr>
        <w:t>20</w:t>
      </w:r>
      <w:r w:rsidRPr="00DF32B8">
        <w:rPr>
          <w:lang w:val="en-US"/>
        </w:rPr>
        <w:t>]</w:t>
      </w:r>
      <w:r>
        <w:rPr>
          <w:lang w:val="en-US"/>
        </w:rPr>
        <w:t>, pp.172-3</w:t>
      </w:r>
      <w:r w:rsidR="00EB4EE0">
        <w:rPr>
          <w:lang w:val="en-US"/>
        </w:rPr>
        <w:t>.</w:t>
      </w:r>
    </w:p>
  </w:footnote>
  <w:footnote w:id="11">
    <w:p w14:paraId="169BFC9A" w14:textId="2467FCA7" w:rsidR="00EC1EEB" w:rsidRDefault="00EC1EEB" w:rsidP="00EC1EEB">
      <w:pPr>
        <w:pStyle w:val="FootnoteText"/>
      </w:pPr>
      <w:r>
        <w:rPr>
          <w:rStyle w:val="FootnoteReference"/>
        </w:rPr>
        <w:footnoteRef/>
      </w:r>
      <w:r>
        <w:t xml:space="preserve"> Adrian Green, ‘Consumption and material culture’, in Keith Wrightson (ed.), </w:t>
      </w:r>
      <w:r>
        <w:rPr>
          <w:i/>
          <w:iCs/>
        </w:rPr>
        <w:t xml:space="preserve">A Social History of England, 1500-1750, </w:t>
      </w:r>
      <w:r>
        <w:t>(Cambridge, 2017), pp.242-266, p.251, p. 252</w:t>
      </w:r>
      <w:r w:rsidR="007D2A1C">
        <w:t>.</w:t>
      </w:r>
    </w:p>
  </w:footnote>
  <w:footnote w:id="12">
    <w:p w14:paraId="79366C72" w14:textId="44544CE3" w:rsidR="00EC1EEB" w:rsidRPr="0026201A" w:rsidRDefault="00EC1EEB" w:rsidP="00EC1EEB">
      <w:pPr>
        <w:pStyle w:val="FootnoteText"/>
      </w:pPr>
      <w:r>
        <w:rPr>
          <w:rStyle w:val="FootnoteReference"/>
        </w:rPr>
        <w:footnoteRef/>
      </w:r>
      <w:r>
        <w:t xml:space="preserve"> Harold Mytum, ‘Materiality and memory: an archaeological perspective on the popular adoption of linear time in Britain’, </w:t>
      </w:r>
      <w:r>
        <w:rPr>
          <w:i/>
          <w:iCs/>
        </w:rPr>
        <w:t xml:space="preserve">Antiquity, </w:t>
      </w:r>
      <w:r>
        <w:t xml:space="preserve">Vol. 81, No. 312, (2007), pp.381-396; Hanneke Ronnes and Alexandra Westra, ‘An age of autography: the English sixteenth-century country house and its dated inscription’, </w:t>
      </w:r>
      <w:r>
        <w:rPr>
          <w:i/>
          <w:iCs/>
        </w:rPr>
        <w:t>Explorations in Renaissance Culture</w:t>
      </w:r>
      <w:r>
        <w:t>, Vol. 2, (2011), pp.39-64</w:t>
      </w:r>
      <w:r w:rsidR="007D2A1C">
        <w:t>.</w:t>
      </w:r>
    </w:p>
  </w:footnote>
  <w:footnote w:id="13">
    <w:p w14:paraId="37EB3CB6" w14:textId="71167F79" w:rsidR="00EC1EEB" w:rsidRPr="00882537" w:rsidRDefault="00EC1EEB" w:rsidP="00EC1EEB">
      <w:pPr>
        <w:pStyle w:val="FootnoteText"/>
      </w:pPr>
      <w:r>
        <w:rPr>
          <w:rStyle w:val="FootnoteReference"/>
        </w:rPr>
        <w:footnoteRef/>
      </w:r>
      <w:r>
        <w:t xml:space="preserve"> Victor Chinnery, </w:t>
      </w:r>
      <w:r w:rsidRPr="00882537">
        <w:rPr>
          <w:i/>
          <w:iCs/>
        </w:rPr>
        <w:t xml:space="preserve">Oak Furniture: The British Tradition: A History of Early Furniture in the </w:t>
      </w:r>
      <w:proofErr w:type="gramStart"/>
      <w:r w:rsidRPr="00882537">
        <w:rPr>
          <w:i/>
          <w:iCs/>
        </w:rPr>
        <w:t>British isles</w:t>
      </w:r>
      <w:proofErr w:type="gramEnd"/>
      <w:r w:rsidRPr="00882537">
        <w:rPr>
          <w:i/>
          <w:iCs/>
        </w:rPr>
        <w:t xml:space="preserve"> and New England</w:t>
      </w:r>
      <w:r>
        <w:rPr>
          <w:i/>
          <w:iCs/>
        </w:rPr>
        <w:t xml:space="preserve">, </w:t>
      </w:r>
      <w:r>
        <w:t>(Woodbridge, 1986)</w:t>
      </w:r>
      <w:r w:rsidR="007D2A1C">
        <w:t>.</w:t>
      </w:r>
    </w:p>
  </w:footnote>
  <w:footnote w:id="14">
    <w:p w14:paraId="5684F027" w14:textId="07252B17" w:rsidR="00EC1EEB" w:rsidRDefault="00EC1EEB" w:rsidP="00EC1EEB">
      <w:pPr>
        <w:pStyle w:val="FootnoteText"/>
      </w:pPr>
      <w:r>
        <w:rPr>
          <w:rStyle w:val="FootnoteReference"/>
        </w:rPr>
        <w:footnoteRef/>
      </w:r>
      <w:r>
        <w:t xml:space="preserve"> </w:t>
      </w:r>
      <w:r w:rsidRPr="0043778A">
        <w:rPr>
          <w:lang w:val="en-US"/>
        </w:rPr>
        <w:t xml:space="preserve">Frank Britton, </w:t>
      </w:r>
      <w:r w:rsidRPr="0043778A">
        <w:rPr>
          <w:i/>
          <w:iCs/>
          <w:lang w:val="en-US"/>
        </w:rPr>
        <w:t xml:space="preserve">London Delftware, </w:t>
      </w:r>
      <w:r w:rsidRPr="0043778A">
        <w:rPr>
          <w:lang w:val="en-US"/>
        </w:rPr>
        <w:t>(London, 1987)</w:t>
      </w:r>
      <w:r>
        <w:rPr>
          <w:lang w:val="en-US"/>
        </w:rPr>
        <w:t xml:space="preserve">; </w:t>
      </w:r>
      <w:r w:rsidRPr="0030560C">
        <w:rPr>
          <w:lang w:val="en-US"/>
        </w:rPr>
        <w:t xml:space="preserve">Sheelah Ruggles-Brise, </w:t>
      </w:r>
      <w:r w:rsidRPr="0030560C">
        <w:rPr>
          <w:i/>
          <w:iCs/>
          <w:lang w:val="en-US"/>
        </w:rPr>
        <w:t xml:space="preserve">Sealed Bottles, </w:t>
      </w:r>
      <w:r w:rsidRPr="0030560C">
        <w:rPr>
          <w:lang w:val="en-US"/>
        </w:rPr>
        <w:t>(London, 1949)</w:t>
      </w:r>
      <w:r w:rsidR="007D2A1C">
        <w:rPr>
          <w:lang w:val="en-US"/>
        </w:rPr>
        <w:t>.</w:t>
      </w:r>
    </w:p>
  </w:footnote>
  <w:footnote w:id="15">
    <w:p w14:paraId="44FDE06F" w14:textId="37F2B4A6" w:rsidR="00EC1EEB" w:rsidRDefault="00EC1EEB" w:rsidP="00EC1EEB">
      <w:pPr>
        <w:pStyle w:val="FootnoteText"/>
      </w:pPr>
      <w:r>
        <w:rPr>
          <w:rStyle w:val="FootnoteReference"/>
        </w:rPr>
        <w:footnoteRef/>
      </w:r>
      <w:r>
        <w:t xml:space="preserve"> </w:t>
      </w:r>
      <w:r w:rsidRPr="00B44DFB">
        <w:rPr>
          <w:lang w:val="en-US"/>
        </w:rPr>
        <w:t xml:space="preserve">Angela McShane, ‘Subjects and objects: material expressions of love and loyalty in seventeenth-century England’, </w:t>
      </w:r>
      <w:r w:rsidRPr="00B44DFB">
        <w:rPr>
          <w:i/>
          <w:iCs/>
          <w:lang w:val="en-US"/>
        </w:rPr>
        <w:t xml:space="preserve">Journal of British Studies, </w:t>
      </w:r>
      <w:r w:rsidRPr="00B44DFB">
        <w:rPr>
          <w:lang w:val="en-US"/>
        </w:rPr>
        <w:t>Vol. 48, (2009), pp.871-886, p.877</w:t>
      </w:r>
      <w:r>
        <w:rPr>
          <w:lang w:val="en-US"/>
        </w:rPr>
        <w:t>;</w:t>
      </w:r>
      <w:r w:rsidRPr="00D7087E">
        <w:t xml:space="preserve"> </w:t>
      </w:r>
      <w:r w:rsidRPr="001F0EA0">
        <w:t xml:space="preserve">Tara Hamling, ‘The household’, in Anna French (ed.), </w:t>
      </w:r>
      <w:r w:rsidRPr="001F0EA0">
        <w:rPr>
          <w:i/>
          <w:iCs/>
        </w:rPr>
        <w:t xml:space="preserve">Early Modern Childhood: An Introduction, </w:t>
      </w:r>
      <w:r w:rsidRPr="001F0EA0">
        <w:t>(London, 2020), pp.33-54</w:t>
      </w:r>
      <w:r>
        <w:t>, p.39</w:t>
      </w:r>
      <w:r w:rsidR="007D2A1C">
        <w:t>.</w:t>
      </w:r>
    </w:p>
  </w:footnote>
  <w:footnote w:id="16">
    <w:p w14:paraId="5A97DB1D" w14:textId="75090CFB" w:rsidR="00EC1EEB" w:rsidRDefault="00EC1EEB" w:rsidP="00EC1EEB">
      <w:pPr>
        <w:pStyle w:val="FootnoteText"/>
      </w:pPr>
      <w:r>
        <w:rPr>
          <w:rStyle w:val="FootnoteReference"/>
        </w:rPr>
        <w:footnoteRef/>
      </w:r>
      <w:r>
        <w:t xml:space="preserve"> </w:t>
      </w:r>
      <w:r w:rsidRPr="003544C6">
        <w:rPr>
          <w:lang w:val="en-US"/>
        </w:rPr>
        <w:t xml:space="preserve">Nigel Jeffries </w:t>
      </w:r>
      <w:r>
        <w:rPr>
          <w:lang w:val="en-US"/>
        </w:rPr>
        <w:t xml:space="preserve">and </w:t>
      </w:r>
      <w:r w:rsidRPr="003544C6">
        <w:rPr>
          <w:lang w:val="en-US"/>
        </w:rPr>
        <w:t>Nicholas Major, ‘Mid 17</w:t>
      </w:r>
      <w:r w:rsidRPr="003544C6">
        <w:rPr>
          <w:vertAlign w:val="superscript"/>
          <w:lang w:val="en-US"/>
        </w:rPr>
        <w:t>th</w:t>
      </w:r>
      <w:r w:rsidRPr="003544C6">
        <w:rPr>
          <w:lang w:val="en-US"/>
        </w:rPr>
        <w:t>- and 19</w:t>
      </w:r>
      <w:r w:rsidRPr="003544C6">
        <w:rPr>
          <w:vertAlign w:val="superscript"/>
          <w:lang w:val="en-US"/>
        </w:rPr>
        <w:t>th</w:t>
      </w:r>
      <w:r w:rsidRPr="003544C6">
        <w:rPr>
          <w:lang w:val="en-US"/>
        </w:rPr>
        <w:t xml:space="preserve">-century English wine bottles with seals in London’s archaeological collections’, </w:t>
      </w:r>
      <w:r w:rsidRPr="003544C6">
        <w:rPr>
          <w:i/>
          <w:iCs/>
          <w:lang w:val="en-US"/>
        </w:rPr>
        <w:t xml:space="preserve">Post-Medieval Archaeology, </w:t>
      </w:r>
      <w:r w:rsidRPr="003544C6">
        <w:rPr>
          <w:lang w:val="en-US"/>
        </w:rPr>
        <w:t>Vol. 49, No. 1, (2015), pp.131-55; Idit Ben-Or, ‘Women’s work on small change: privately issued currency by women in mid-17</w:t>
      </w:r>
      <w:r w:rsidRPr="003544C6">
        <w:rPr>
          <w:vertAlign w:val="superscript"/>
          <w:lang w:val="en-US"/>
        </w:rPr>
        <w:t>th</w:t>
      </w:r>
      <w:r w:rsidRPr="003544C6">
        <w:rPr>
          <w:lang w:val="en-US"/>
        </w:rPr>
        <w:t xml:space="preserve"> century London’, </w:t>
      </w:r>
      <w:r w:rsidRPr="003544C6">
        <w:rPr>
          <w:i/>
          <w:iCs/>
          <w:lang w:val="en-US"/>
        </w:rPr>
        <w:t xml:space="preserve">Humanities and Social Sciences Communication, </w:t>
      </w:r>
      <w:r w:rsidRPr="003544C6">
        <w:rPr>
          <w:lang w:val="en-US"/>
        </w:rPr>
        <w:t>Vol. 9, No.107, (2022), pp.1-10</w:t>
      </w:r>
      <w:r w:rsidR="007D2A1C">
        <w:rPr>
          <w:lang w:val="en-US"/>
        </w:rPr>
        <w:t>.</w:t>
      </w:r>
    </w:p>
  </w:footnote>
  <w:footnote w:id="17">
    <w:p w14:paraId="0EBDCABE" w14:textId="774400BA" w:rsidR="00EC1EEB" w:rsidRDefault="00EC1EEB" w:rsidP="00EC1EEB">
      <w:pPr>
        <w:pStyle w:val="FootnoteText"/>
      </w:pPr>
      <w:r>
        <w:rPr>
          <w:rStyle w:val="FootnoteReference"/>
        </w:rPr>
        <w:footnoteRef/>
      </w:r>
      <w:r>
        <w:t xml:space="preserve"> </w:t>
      </w:r>
      <w:r w:rsidRPr="006E0BD3">
        <w:rPr>
          <w:lang w:val="en-US"/>
        </w:rPr>
        <w:t xml:space="preserve">Juliet Fleming, </w:t>
      </w:r>
      <w:r w:rsidRPr="006E0BD3">
        <w:rPr>
          <w:i/>
          <w:iCs/>
          <w:lang w:val="en-US"/>
        </w:rPr>
        <w:t xml:space="preserve">Graffiti and the Writing Arts of Early Modern England, </w:t>
      </w:r>
      <w:r w:rsidRPr="006E0BD3">
        <w:rPr>
          <w:lang w:val="en-US"/>
        </w:rPr>
        <w:t>(London, 2001)</w:t>
      </w:r>
      <w:r w:rsidR="007D2A1C">
        <w:rPr>
          <w:lang w:val="en-US"/>
        </w:rPr>
        <w:t>.</w:t>
      </w:r>
    </w:p>
  </w:footnote>
  <w:footnote w:id="18">
    <w:p w14:paraId="2217A162" w14:textId="06DCD00B" w:rsidR="00EC1EEB" w:rsidRDefault="00EC1EEB" w:rsidP="00EC1EEB">
      <w:pPr>
        <w:pStyle w:val="FootnoteText"/>
      </w:pPr>
      <w:r>
        <w:rPr>
          <w:rStyle w:val="FootnoteReference"/>
        </w:rPr>
        <w:footnoteRef/>
      </w:r>
      <w:r>
        <w:rPr>
          <w:lang w:val="en-US"/>
        </w:rPr>
        <w:t xml:space="preserve"> Ibid., p.13, pp.19-27, p.140</w:t>
      </w:r>
      <w:r w:rsidR="007D2A1C">
        <w:rPr>
          <w:lang w:val="en-US"/>
        </w:rPr>
        <w:t>.</w:t>
      </w:r>
    </w:p>
  </w:footnote>
  <w:footnote w:id="19">
    <w:p w14:paraId="7F96F594" w14:textId="6025DBD5" w:rsidR="00EC1EEB" w:rsidRDefault="00EC1EEB" w:rsidP="00EC1EEB">
      <w:pPr>
        <w:pStyle w:val="FootnoteText"/>
      </w:pPr>
      <w:r>
        <w:rPr>
          <w:rStyle w:val="FootnoteReference"/>
        </w:rPr>
        <w:footnoteRef/>
      </w:r>
      <w:r>
        <w:t xml:space="preserve"> Ibid., p.23</w:t>
      </w:r>
      <w:r w:rsidR="007D2A1C">
        <w:t>.</w:t>
      </w:r>
    </w:p>
  </w:footnote>
  <w:footnote w:id="20">
    <w:p w14:paraId="5D582BD2" w14:textId="276F702B" w:rsidR="00EC1EEB" w:rsidRDefault="00EC1EEB" w:rsidP="00EC1EEB">
      <w:pPr>
        <w:pStyle w:val="FootnoteText"/>
      </w:pPr>
      <w:r>
        <w:rPr>
          <w:rStyle w:val="FootnoteReference"/>
        </w:rPr>
        <w:footnoteRef/>
      </w:r>
      <w:r>
        <w:t xml:space="preserve"> </w:t>
      </w:r>
      <w:r w:rsidRPr="00EE788D">
        <w:rPr>
          <w:lang w:val="en-US"/>
        </w:rPr>
        <w:t xml:space="preserve">Catherine Richardson, Tara Hamling and David </w:t>
      </w:r>
      <w:proofErr w:type="spellStart"/>
      <w:r w:rsidRPr="00EE788D">
        <w:rPr>
          <w:lang w:val="en-US"/>
        </w:rPr>
        <w:t>Gaimste</w:t>
      </w:r>
      <w:r>
        <w:rPr>
          <w:lang w:val="en-US"/>
        </w:rPr>
        <w:t>r</w:t>
      </w:r>
      <w:proofErr w:type="spellEnd"/>
      <w:r>
        <w:rPr>
          <w:lang w:val="en-US"/>
        </w:rPr>
        <w:t xml:space="preserve">, </w:t>
      </w:r>
      <w:r>
        <w:t>‘Introduction’</w:t>
      </w:r>
      <w:r>
        <w:rPr>
          <w:sz w:val="24"/>
          <w:szCs w:val="24"/>
          <w:lang w:val="en-US"/>
        </w:rPr>
        <w:t xml:space="preserve"> </w:t>
      </w:r>
      <w:r w:rsidRPr="00EE788D">
        <w:rPr>
          <w:lang w:val="en-US"/>
        </w:rPr>
        <w:t>i</w:t>
      </w:r>
      <w:r>
        <w:rPr>
          <w:lang w:val="en-US"/>
        </w:rPr>
        <w:t xml:space="preserve">n </w:t>
      </w:r>
      <w:r w:rsidRPr="00EE788D">
        <w:rPr>
          <w:lang w:val="en-US"/>
        </w:rPr>
        <w:t xml:space="preserve">Catherine Richardson, Tara Hamling and David </w:t>
      </w:r>
      <w:proofErr w:type="spellStart"/>
      <w:r w:rsidRPr="00EE788D">
        <w:rPr>
          <w:lang w:val="en-US"/>
        </w:rPr>
        <w:t>Gaimster</w:t>
      </w:r>
      <w:proofErr w:type="spellEnd"/>
      <w:r w:rsidRPr="00EE788D">
        <w:rPr>
          <w:lang w:val="en-US"/>
        </w:rPr>
        <w:t xml:space="preserve"> (eds), </w:t>
      </w:r>
      <w:r w:rsidRPr="00EE788D">
        <w:rPr>
          <w:i/>
          <w:iCs/>
          <w:lang w:val="en-US"/>
        </w:rPr>
        <w:t xml:space="preserve">The Routledge Handbook of Material Culture in Early Modern Europe, </w:t>
      </w:r>
      <w:r w:rsidRPr="00EE788D">
        <w:rPr>
          <w:lang w:val="en-US"/>
        </w:rPr>
        <w:t>(Abingdon, 2017), pp.</w:t>
      </w:r>
      <w:r>
        <w:rPr>
          <w:lang w:val="en-US"/>
        </w:rPr>
        <w:t>3-28, p.5</w:t>
      </w:r>
      <w:r w:rsidR="007D2A1C">
        <w:rPr>
          <w:lang w:val="en-US"/>
        </w:rPr>
        <w:t>.</w:t>
      </w:r>
    </w:p>
  </w:footnote>
  <w:footnote w:id="21">
    <w:p w14:paraId="1A95F746" w14:textId="6EFD7239" w:rsidR="00EC1EEB" w:rsidRPr="00E03C30" w:rsidRDefault="00EC1EEB" w:rsidP="00EC1EEB">
      <w:pPr>
        <w:pStyle w:val="FootnoteText"/>
      </w:pPr>
      <w:r>
        <w:rPr>
          <w:rStyle w:val="FootnoteReference"/>
        </w:rPr>
        <w:footnoteRef/>
      </w:r>
      <w:r>
        <w:t xml:space="preserve"> Antony Buxton, </w:t>
      </w:r>
      <w:r w:rsidRPr="00E03C30">
        <w:rPr>
          <w:i/>
          <w:iCs/>
        </w:rPr>
        <w:t>Domestic Culture in Early Modern England</w:t>
      </w:r>
      <w:r w:rsidRPr="00E03C30">
        <w:t>, (Woodbridge, 2015)</w:t>
      </w:r>
      <w:r>
        <w:t>, p.13</w:t>
      </w:r>
      <w:r w:rsidR="003B760F">
        <w:t>.</w:t>
      </w:r>
    </w:p>
  </w:footnote>
  <w:footnote w:id="22">
    <w:p w14:paraId="063C060F" w14:textId="73084F17" w:rsidR="00EC1EEB" w:rsidRDefault="00EC1EEB" w:rsidP="00EC1EEB">
      <w:pPr>
        <w:pStyle w:val="FootnoteText"/>
      </w:pPr>
      <w:r>
        <w:rPr>
          <w:rStyle w:val="FootnoteReference"/>
        </w:rPr>
        <w:footnoteRef/>
      </w:r>
      <w:r>
        <w:t xml:space="preserve"> Ibid.</w:t>
      </w:r>
    </w:p>
  </w:footnote>
  <w:footnote w:id="23">
    <w:p w14:paraId="47C127D1" w14:textId="0C13EF38" w:rsidR="00EC1EEB" w:rsidRPr="003B203F" w:rsidRDefault="00EC1EEB" w:rsidP="00EC1EEB">
      <w:pPr>
        <w:pStyle w:val="FootnoteText"/>
      </w:pPr>
      <w:r>
        <w:rPr>
          <w:rStyle w:val="FootnoteReference"/>
        </w:rPr>
        <w:footnoteRef/>
      </w:r>
      <w:r>
        <w:t xml:space="preserve"> Ibid.,</w:t>
      </w:r>
      <w:r>
        <w:rPr>
          <w:i/>
          <w:iCs/>
        </w:rPr>
        <w:t xml:space="preserve"> </w:t>
      </w:r>
      <w:r>
        <w:t xml:space="preserve">p.13, </w:t>
      </w:r>
      <w:r w:rsidRPr="002E4782">
        <w:t>with reference to</w:t>
      </w:r>
      <w:r>
        <w:t xml:space="preserve"> Roy Harris, </w:t>
      </w:r>
      <w:r>
        <w:rPr>
          <w:i/>
          <w:iCs/>
        </w:rPr>
        <w:t xml:space="preserve">Reading Saussure: A Critical Commentary on the Cours de </w:t>
      </w:r>
      <w:proofErr w:type="spellStart"/>
      <w:r>
        <w:rPr>
          <w:i/>
          <w:iCs/>
        </w:rPr>
        <w:t>Linguistique</w:t>
      </w:r>
      <w:proofErr w:type="spellEnd"/>
      <w:r>
        <w:rPr>
          <w:i/>
          <w:iCs/>
        </w:rPr>
        <w:t xml:space="preserve"> Générale, </w:t>
      </w:r>
      <w:r>
        <w:t>(London, 1987), p.58, pp.219-20</w:t>
      </w:r>
      <w:r w:rsidR="003B760F">
        <w:t>.</w:t>
      </w:r>
    </w:p>
  </w:footnote>
  <w:footnote w:id="24">
    <w:p w14:paraId="582169DF" w14:textId="73CCEA38" w:rsidR="00EC1EEB" w:rsidRDefault="00EC1EEB" w:rsidP="00EC1EEB">
      <w:pPr>
        <w:pStyle w:val="FootnoteText"/>
      </w:pPr>
      <w:r>
        <w:rPr>
          <w:rStyle w:val="FootnoteReference"/>
        </w:rPr>
        <w:footnoteRef/>
      </w:r>
      <w:r>
        <w:t xml:space="preserve"> Sara Pennell, ‘</w:t>
      </w:r>
      <w:r w:rsidRPr="00431137">
        <w:t>Mundane materiality, or should small things still be forgotten? Material culture, micro-histories and the problem of scale</w:t>
      </w:r>
      <w:r>
        <w:t xml:space="preserve">’, in Karen Harvey (ed.), </w:t>
      </w:r>
      <w:r>
        <w:rPr>
          <w:i/>
          <w:iCs/>
        </w:rPr>
        <w:t xml:space="preserve">History and Material Culture: A Student’s Guide to Approaching Alternative Sources, </w:t>
      </w:r>
      <w:r>
        <w:t>(London, 2009), pp.173-191, p.179</w:t>
      </w:r>
      <w:r w:rsidR="003B760F">
        <w:t>.</w:t>
      </w:r>
    </w:p>
  </w:footnote>
  <w:footnote w:id="25">
    <w:p w14:paraId="14E76DE6" w14:textId="40F920A0" w:rsidR="00EC1EEB" w:rsidRDefault="00EC1EEB" w:rsidP="00EC1EEB">
      <w:pPr>
        <w:pStyle w:val="FootnoteText"/>
      </w:pPr>
      <w:r>
        <w:rPr>
          <w:rStyle w:val="FootnoteReference"/>
        </w:rPr>
        <w:footnoteRef/>
      </w:r>
      <w:r>
        <w:t xml:space="preserve"> Ibid.</w:t>
      </w:r>
    </w:p>
  </w:footnote>
  <w:footnote w:id="26">
    <w:p w14:paraId="0D6FDAE3" w14:textId="17424D00" w:rsidR="00EC1EEB" w:rsidRDefault="00EC1EEB" w:rsidP="00EC1EEB">
      <w:pPr>
        <w:pStyle w:val="FootnoteText"/>
      </w:pPr>
      <w:r>
        <w:rPr>
          <w:rStyle w:val="FootnoteReference"/>
        </w:rPr>
        <w:footnoteRef/>
      </w:r>
      <w:r>
        <w:t xml:space="preserve"> Tara Hamling and Catherine Richardson,</w:t>
      </w:r>
      <w:r w:rsidRPr="00FD7D85">
        <w:rPr>
          <w:i/>
          <w:iCs/>
        </w:rPr>
        <w:t xml:space="preserve"> Everyday </w:t>
      </w:r>
      <w:r>
        <w:rPr>
          <w:i/>
          <w:iCs/>
        </w:rPr>
        <w:t>O</w:t>
      </w:r>
      <w:r w:rsidRPr="00FD7D85">
        <w:rPr>
          <w:i/>
          <w:iCs/>
        </w:rPr>
        <w:t xml:space="preserve">bjects: </w:t>
      </w:r>
      <w:r>
        <w:rPr>
          <w:i/>
          <w:iCs/>
        </w:rPr>
        <w:t>M</w:t>
      </w:r>
      <w:r w:rsidRPr="00FD7D85">
        <w:rPr>
          <w:i/>
          <w:iCs/>
        </w:rPr>
        <w:t xml:space="preserve">edieval and </w:t>
      </w:r>
      <w:r>
        <w:rPr>
          <w:i/>
          <w:iCs/>
        </w:rPr>
        <w:t>E</w:t>
      </w:r>
      <w:r w:rsidRPr="00FD7D85">
        <w:rPr>
          <w:i/>
          <w:iCs/>
        </w:rPr>
        <w:t xml:space="preserve">arly </w:t>
      </w:r>
      <w:r>
        <w:rPr>
          <w:i/>
          <w:iCs/>
        </w:rPr>
        <w:t>M</w:t>
      </w:r>
      <w:r w:rsidRPr="00FD7D85">
        <w:rPr>
          <w:i/>
          <w:iCs/>
        </w:rPr>
        <w:t xml:space="preserve">odern </w:t>
      </w:r>
      <w:r>
        <w:rPr>
          <w:i/>
          <w:iCs/>
        </w:rPr>
        <w:t>M</w:t>
      </w:r>
      <w:r w:rsidRPr="00FD7D85">
        <w:rPr>
          <w:i/>
          <w:iCs/>
        </w:rPr>
        <w:t xml:space="preserve">aterial </w:t>
      </w:r>
      <w:r>
        <w:rPr>
          <w:i/>
          <w:iCs/>
        </w:rPr>
        <w:t>C</w:t>
      </w:r>
      <w:r w:rsidRPr="00FD7D85">
        <w:rPr>
          <w:i/>
          <w:iCs/>
        </w:rPr>
        <w:t xml:space="preserve">ulture and its </w:t>
      </w:r>
      <w:r>
        <w:rPr>
          <w:i/>
          <w:iCs/>
        </w:rPr>
        <w:t>M</w:t>
      </w:r>
      <w:r w:rsidRPr="00FD7D85">
        <w:rPr>
          <w:i/>
          <w:iCs/>
        </w:rPr>
        <w:t>eanings</w:t>
      </w:r>
      <w:r>
        <w:rPr>
          <w:i/>
          <w:iCs/>
        </w:rPr>
        <w:t xml:space="preserve">, </w:t>
      </w:r>
      <w:r>
        <w:t>(Abingdon, 2010), p.13</w:t>
      </w:r>
      <w:r w:rsidR="003B760F">
        <w:t>.</w:t>
      </w:r>
    </w:p>
  </w:footnote>
  <w:footnote w:id="27">
    <w:p w14:paraId="172CF123" w14:textId="6590A6C7" w:rsidR="00EC1EEB" w:rsidRDefault="00EC1EEB" w:rsidP="00EC1EEB">
      <w:pPr>
        <w:pStyle w:val="FootnoteText"/>
      </w:pPr>
      <w:r w:rsidRPr="000809D0">
        <w:rPr>
          <w:rStyle w:val="FootnoteReference"/>
        </w:rPr>
        <w:footnoteRef/>
      </w:r>
      <w:r>
        <w:t xml:space="preserve"> </w:t>
      </w:r>
      <w:r w:rsidRPr="00F61353">
        <w:rPr>
          <w:lang w:val="en-US"/>
        </w:rPr>
        <w:t xml:space="preserve">Neil McKendrick, John Brewer and John Harold Plumb, </w:t>
      </w:r>
      <w:r w:rsidRPr="00F61353">
        <w:rPr>
          <w:i/>
          <w:iCs/>
          <w:lang w:val="en-US"/>
        </w:rPr>
        <w:t xml:space="preserve">The Birth of a Consumer Society: The Commercialization of Eighteenth-Century England, </w:t>
      </w:r>
      <w:r w:rsidRPr="00F61353">
        <w:rPr>
          <w:lang w:val="en-US"/>
        </w:rPr>
        <w:t>(Bloomington, 1982)</w:t>
      </w:r>
      <w:r>
        <w:rPr>
          <w:lang w:val="en-US"/>
        </w:rPr>
        <w:t xml:space="preserve">; </w:t>
      </w:r>
      <w:r w:rsidRPr="006D7D39">
        <w:rPr>
          <w:lang w:val="en-US"/>
        </w:rPr>
        <w:t xml:space="preserve">Lorna Weatherill, ‘A possession of one’s own: women and consumer </w:t>
      </w:r>
      <w:proofErr w:type="spellStart"/>
      <w:r w:rsidRPr="006D7D39">
        <w:rPr>
          <w:lang w:val="en-US"/>
        </w:rPr>
        <w:t>behaviour</w:t>
      </w:r>
      <w:proofErr w:type="spellEnd"/>
      <w:r w:rsidRPr="006D7D39">
        <w:rPr>
          <w:lang w:val="en-US"/>
        </w:rPr>
        <w:t xml:space="preserve"> in England, 1660-1740’, </w:t>
      </w:r>
      <w:r w:rsidRPr="006D7D39">
        <w:rPr>
          <w:i/>
          <w:iCs/>
          <w:lang w:val="en-US"/>
        </w:rPr>
        <w:t xml:space="preserve">Journal of British Studies, </w:t>
      </w:r>
      <w:r w:rsidRPr="006D7D39">
        <w:rPr>
          <w:lang w:val="en-US"/>
        </w:rPr>
        <w:t>Vol. 25, No. 2, (1986), pp.131-156</w:t>
      </w:r>
      <w:r>
        <w:rPr>
          <w:lang w:val="en-US"/>
        </w:rPr>
        <w:t>;</w:t>
      </w:r>
      <w:r w:rsidRPr="00702B6F">
        <w:rPr>
          <w:lang w:val="en-US"/>
        </w:rPr>
        <w:t xml:space="preserve"> </w:t>
      </w:r>
      <w:r w:rsidRPr="006D7D39">
        <w:rPr>
          <w:lang w:val="en-US"/>
        </w:rPr>
        <w:t xml:space="preserve">Lorna Weatherill, </w:t>
      </w:r>
      <w:r w:rsidRPr="006D7D39">
        <w:rPr>
          <w:i/>
          <w:iCs/>
          <w:lang w:val="en-US"/>
        </w:rPr>
        <w:t xml:space="preserve">Consumer </w:t>
      </w:r>
      <w:proofErr w:type="spellStart"/>
      <w:r w:rsidRPr="006D7D39">
        <w:rPr>
          <w:i/>
          <w:iCs/>
          <w:lang w:val="en-US"/>
        </w:rPr>
        <w:t>Behaviour</w:t>
      </w:r>
      <w:proofErr w:type="spellEnd"/>
      <w:r w:rsidRPr="006D7D39">
        <w:rPr>
          <w:i/>
          <w:iCs/>
          <w:lang w:val="en-US"/>
        </w:rPr>
        <w:t xml:space="preserve"> and Material Culture in Britain, 1660-1760, </w:t>
      </w:r>
      <w:r w:rsidRPr="006D7D39">
        <w:rPr>
          <w:lang w:val="en-US"/>
        </w:rPr>
        <w:t>(London, 1996);</w:t>
      </w:r>
      <w:r>
        <w:rPr>
          <w:lang w:val="en-US"/>
        </w:rPr>
        <w:t xml:space="preserve"> Elizabeth Griffiths and Jane Whittle, </w:t>
      </w:r>
      <w:r w:rsidRPr="00630555">
        <w:rPr>
          <w:i/>
          <w:iCs/>
          <w:lang w:val="en-US"/>
        </w:rPr>
        <w:t>Consumption and Gender in the Early Seventeenth-Century Household: The World of Alice Le Strange</w:t>
      </w:r>
      <w:r>
        <w:rPr>
          <w:i/>
          <w:iCs/>
          <w:lang w:val="en-US"/>
        </w:rPr>
        <w:t>,</w:t>
      </w:r>
      <w:r w:rsidRPr="00630555">
        <w:rPr>
          <w:i/>
          <w:iCs/>
          <w:lang w:val="en-US"/>
        </w:rPr>
        <w:t xml:space="preserve"> </w:t>
      </w:r>
      <w:r>
        <w:rPr>
          <w:lang w:val="en-US"/>
        </w:rPr>
        <w:t>(Oxford, 2012)</w:t>
      </w:r>
      <w:r w:rsidR="003B760F">
        <w:rPr>
          <w:lang w:val="en-US"/>
        </w:rPr>
        <w:t>.</w:t>
      </w:r>
    </w:p>
  </w:footnote>
  <w:footnote w:id="28">
    <w:p w14:paraId="322B87CF" w14:textId="795B1FD1" w:rsidR="00EC1EEB" w:rsidRDefault="00EC1EEB" w:rsidP="00EC1EEB">
      <w:pPr>
        <w:pStyle w:val="FootnoteText"/>
      </w:pPr>
      <w:r>
        <w:rPr>
          <w:rStyle w:val="FootnoteReference"/>
        </w:rPr>
        <w:footnoteRef/>
      </w:r>
      <w:r>
        <w:t xml:space="preserve"> Hamling and Richardson, </w:t>
      </w:r>
      <w:r w:rsidRPr="00E705D1">
        <w:rPr>
          <w:i/>
          <w:iCs/>
        </w:rPr>
        <w:t>Everyday Objects</w:t>
      </w:r>
      <w:r>
        <w:t>, p.13</w:t>
      </w:r>
      <w:r w:rsidR="003B760F">
        <w:t>.</w:t>
      </w:r>
    </w:p>
  </w:footnote>
  <w:footnote w:id="29">
    <w:p w14:paraId="4B05DD9A" w14:textId="37E09AF9" w:rsidR="00EC1EEB" w:rsidRPr="006949B2" w:rsidRDefault="00EC1EEB" w:rsidP="00EC1EEB">
      <w:pPr>
        <w:pStyle w:val="FootnoteText"/>
      </w:pPr>
      <w:r>
        <w:rPr>
          <w:rStyle w:val="FootnoteReference"/>
        </w:rPr>
        <w:footnoteRef/>
      </w:r>
      <w:r>
        <w:t xml:space="preserve"> Matthew Johnson, ‘English houses, materiality, and everyday life’, </w:t>
      </w:r>
      <w:r>
        <w:rPr>
          <w:i/>
          <w:iCs/>
        </w:rPr>
        <w:t xml:space="preserve">Archaeological Papers of the American Anthropological Association, </w:t>
      </w:r>
      <w:r>
        <w:t>Vol. 26, No. 1, (2015), pp.27-39, p.30</w:t>
      </w:r>
      <w:r w:rsidR="003B760F">
        <w:t>.</w:t>
      </w:r>
    </w:p>
  </w:footnote>
  <w:footnote w:id="30">
    <w:p w14:paraId="3B1328C6" w14:textId="3EA61AA6" w:rsidR="00EC1EEB" w:rsidRDefault="00EC1EEB" w:rsidP="00EC1EEB">
      <w:pPr>
        <w:pStyle w:val="FootnoteText"/>
      </w:pPr>
      <w:r>
        <w:rPr>
          <w:rStyle w:val="FootnoteReference"/>
        </w:rPr>
        <w:footnoteRef/>
      </w:r>
      <w:r>
        <w:t xml:space="preserve"> King, ‘Domestic buildings’, p.116; In an archaeological context, Cynthia Robin and Nan Rothschild have also used the term ‘passive backdrop’ in arguing that space was ‘socially constructed and constitutive of social relationships’, in </w:t>
      </w:r>
      <w:r w:rsidRPr="0067105D">
        <w:t>C</w:t>
      </w:r>
      <w:r>
        <w:t>ynthia</w:t>
      </w:r>
      <w:r w:rsidRPr="0067105D">
        <w:t xml:space="preserve"> Robin and N</w:t>
      </w:r>
      <w:r>
        <w:t>an</w:t>
      </w:r>
      <w:r w:rsidRPr="0067105D">
        <w:t xml:space="preserve"> Rothschild, ‘Archaeological </w:t>
      </w:r>
      <w:r>
        <w:t>e</w:t>
      </w:r>
      <w:r w:rsidRPr="0067105D">
        <w:t xml:space="preserve">thnographies: </w:t>
      </w:r>
      <w:r>
        <w:t>s</w:t>
      </w:r>
      <w:r w:rsidRPr="0067105D">
        <w:t xml:space="preserve">ocial </w:t>
      </w:r>
      <w:r>
        <w:t>d</w:t>
      </w:r>
      <w:r w:rsidRPr="0067105D">
        <w:t xml:space="preserve">ynamics of </w:t>
      </w:r>
      <w:r>
        <w:t>o</w:t>
      </w:r>
      <w:r w:rsidRPr="0067105D">
        <w:t xml:space="preserve">utdoor </w:t>
      </w:r>
      <w:r>
        <w:t>s</w:t>
      </w:r>
      <w:r w:rsidRPr="0067105D">
        <w:t xml:space="preserve">pace’, </w:t>
      </w:r>
      <w:r w:rsidRPr="00C26F71">
        <w:rPr>
          <w:i/>
          <w:iCs/>
        </w:rPr>
        <w:t>Journal of Social</w:t>
      </w:r>
      <w:r w:rsidRPr="0067105D">
        <w:t xml:space="preserve"> </w:t>
      </w:r>
      <w:r w:rsidRPr="00C26F71">
        <w:rPr>
          <w:i/>
          <w:iCs/>
        </w:rPr>
        <w:t>Archaeology</w:t>
      </w:r>
      <w:r>
        <w:rPr>
          <w:i/>
          <w:iCs/>
        </w:rPr>
        <w:t xml:space="preserve">, </w:t>
      </w:r>
      <w:r>
        <w:t>Vol.</w:t>
      </w:r>
      <w:r w:rsidRPr="0067105D">
        <w:t xml:space="preserve"> 2</w:t>
      </w:r>
      <w:r>
        <w:t xml:space="preserve">, No. </w:t>
      </w:r>
      <w:r w:rsidRPr="0067105D">
        <w:t>2</w:t>
      </w:r>
      <w:r>
        <w:t>,</w:t>
      </w:r>
      <w:r w:rsidRPr="0067105D">
        <w:t xml:space="preserve"> (2002), </w:t>
      </w:r>
      <w:r>
        <w:t>pp.</w:t>
      </w:r>
      <w:r w:rsidRPr="0067105D">
        <w:t>159</w:t>
      </w:r>
      <w:r>
        <w:t>-</w:t>
      </w:r>
      <w:r w:rsidRPr="0067105D">
        <w:t xml:space="preserve">72, </w:t>
      </w:r>
      <w:r>
        <w:t>p.</w:t>
      </w:r>
      <w:r w:rsidRPr="0067105D">
        <w:t>161</w:t>
      </w:r>
      <w:r w:rsidR="003B760F">
        <w:t>.</w:t>
      </w:r>
    </w:p>
  </w:footnote>
  <w:footnote w:id="31">
    <w:p w14:paraId="691006E0" w14:textId="37B55752" w:rsidR="00EC1EEB" w:rsidRDefault="00EC1EEB" w:rsidP="00EC1EEB">
      <w:pPr>
        <w:pStyle w:val="FootnoteText"/>
      </w:pPr>
      <w:r w:rsidRPr="00F00BC8">
        <w:rPr>
          <w:rStyle w:val="FootnoteReference"/>
        </w:rPr>
        <w:footnoteRef/>
      </w:r>
      <w:r>
        <w:t xml:space="preserve"> </w:t>
      </w:r>
      <w:r w:rsidRPr="00F00BC8">
        <w:t>King, ‘Domestic buildings’, p.</w:t>
      </w:r>
      <w:r w:rsidR="007D3B06">
        <w:t>116.</w:t>
      </w:r>
    </w:p>
  </w:footnote>
  <w:footnote w:id="32">
    <w:p w14:paraId="26E49C23" w14:textId="42E3AB99" w:rsidR="00EC1EEB" w:rsidRDefault="00EC1EEB" w:rsidP="00EC1EEB">
      <w:pPr>
        <w:pStyle w:val="FootnoteText"/>
      </w:pPr>
      <w:r>
        <w:rPr>
          <w:rStyle w:val="FootnoteReference"/>
        </w:rPr>
        <w:footnoteRef/>
      </w:r>
      <w:r>
        <w:t xml:space="preserve"> Tara Hamling and Catherine Richardson,</w:t>
      </w:r>
      <w:r w:rsidRPr="00C46FED">
        <w:rPr>
          <w:rFonts w:eastAsia="Calibri"/>
          <w:i/>
          <w:iCs/>
          <w:sz w:val="24"/>
          <w:szCs w:val="24"/>
        </w:rPr>
        <w:t xml:space="preserve"> </w:t>
      </w:r>
      <w:r w:rsidRPr="00C46FED">
        <w:rPr>
          <w:i/>
          <w:iCs/>
          <w:lang w:val="en-US"/>
        </w:rPr>
        <w:t>A Day at Home in Early Modern England</w:t>
      </w:r>
      <w:r>
        <w:rPr>
          <w:i/>
          <w:iCs/>
          <w:lang w:val="en-US"/>
        </w:rPr>
        <w:t>: Material Culture and Domestic Life, 1500-1700,</w:t>
      </w:r>
      <w:r>
        <w:t xml:space="preserve"> (New Haven, 2017), p.16</w:t>
      </w:r>
      <w:r w:rsidR="007D3B06">
        <w:t>.</w:t>
      </w:r>
    </w:p>
  </w:footnote>
  <w:footnote w:id="33">
    <w:p w14:paraId="2B46BF9C" w14:textId="333AD903" w:rsidR="00EC1EEB" w:rsidRPr="006C5ADE" w:rsidRDefault="00EC1EEB" w:rsidP="00EC1EEB">
      <w:pPr>
        <w:pStyle w:val="FootnoteText"/>
      </w:pPr>
      <w:r>
        <w:rPr>
          <w:rStyle w:val="FootnoteReference"/>
        </w:rPr>
        <w:footnoteRef/>
      </w:r>
      <w:r>
        <w:t xml:space="preserve"> Weatherill, </w:t>
      </w:r>
      <w:r w:rsidRPr="00BF4F36">
        <w:rPr>
          <w:i/>
          <w:iCs/>
        </w:rPr>
        <w:t>Consumer Behaviour</w:t>
      </w:r>
      <w:r w:rsidRPr="00BF4F36">
        <w:t>;</w:t>
      </w:r>
      <w:r w:rsidRPr="00BF4F36">
        <w:rPr>
          <w:b/>
          <w:bCs/>
        </w:rPr>
        <w:t xml:space="preserve"> </w:t>
      </w:r>
      <w:r w:rsidRPr="00BF4ABF">
        <w:t>Mark Overton, Jane Whittle, Darron Dean and Andrew Hann</w:t>
      </w:r>
      <w:r>
        <w:t>,</w:t>
      </w:r>
      <w:r w:rsidRPr="00571134">
        <w:rPr>
          <w:i/>
          <w:iCs/>
        </w:rPr>
        <w:t xml:space="preserve"> </w:t>
      </w:r>
      <w:r w:rsidRPr="006C5ADE">
        <w:rPr>
          <w:i/>
          <w:iCs/>
        </w:rPr>
        <w:t>Production and Consumption in English Households, 1600-1750</w:t>
      </w:r>
      <w:r>
        <w:rPr>
          <w:i/>
          <w:iCs/>
        </w:rPr>
        <w:t xml:space="preserve">, </w:t>
      </w:r>
      <w:r>
        <w:t>(London, 2004)</w:t>
      </w:r>
      <w:r w:rsidR="007D3B06">
        <w:t>.</w:t>
      </w:r>
    </w:p>
  </w:footnote>
  <w:footnote w:id="34">
    <w:p w14:paraId="543195CB" w14:textId="73A4060D" w:rsidR="00EC1EEB" w:rsidRPr="00404AA3" w:rsidRDefault="00EC1EEB" w:rsidP="00EC1EEB">
      <w:pPr>
        <w:pStyle w:val="FootnoteText"/>
      </w:pPr>
      <w:r>
        <w:rPr>
          <w:rStyle w:val="FootnoteReference"/>
        </w:rPr>
        <w:footnoteRef/>
      </w:r>
      <w:r>
        <w:t xml:space="preserve"> </w:t>
      </w:r>
      <w:r w:rsidRPr="00D53531">
        <w:rPr>
          <w:lang w:val="en-US"/>
        </w:rPr>
        <w:t>Stephanie Downes, Sally Holloway and Sarah Randles</w:t>
      </w:r>
      <w:r>
        <w:rPr>
          <w:lang w:val="en-US"/>
        </w:rPr>
        <w:t xml:space="preserve"> (eds), </w:t>
      </w:r>
      <w:r w:rsidRPr="00404AA3">
        <w:rPr>
          <w:i/>
          <w:iCs/>
          <w:lang w:val="en-US"/>
        </w:rPr>
        <w:t>Feeling Things: Objects and Emotions through History</w:t>
      </w:r>
      <w:r>
        <w:rPr>
          <w:i/>
          <w:iCs/>
          <w:lang w:val="en-US"/>
        </w:rPr>
        <w:t xml:space="preserve">, </w:t>
      </w:r>
      <w:r>
        <w:rPr>
          <w:lang w:val="en-US"/>
        </w:rPr>
        <w:t>(Oxford, 2018)</w:t>
      </w:r>
      <w:r w:rsidR="007D3B06">
        <w:rPr>
          <w:lang w:val="en-US"/>
        </w:rPr>
        <w:t>.</w:t>
      </w:r>
    </w:p>
  </w:footnote>
  <w:footnote w:id="35">
    <w:p w14:paraId="0D4C6996" w14:textId="7689293D" w:rsidR="00EC1EEB" w:rsidRDefault="00EC1EEB" w:rsidP="00EC1EEB">
      <w:pPr>
        <w:pStyle w:val="FootnoteText"/>
      </w:pPr>
      <w:r>
        <w:rPr>
          <w:rStyle w:val="FootnoteReference"/>
        </w:rPr>
        <w:footnoteRef/>
      </w:r>
      <w:r>
        <w:t xml:space="preserve"> </w:t>
      </w:r>
      <w:r w:rsidRPr="00E86301">
        <w:rPr>
          <w:lang w:val="en-US"/>
        </w:rPr>
        <w:t xml:space="preserve">Alice Dolan and Sally Holloway, ‘Emotional textiles: an introduction’, </w:t>
      </w:r>
      <w:r w:rsidRPr="00E86301">
        <w:rPr>
          <w:i/>
          <w:iCs/>
          <w:lang w:val="en-US"/>
        </w:rPr>
        <w:t xml:space="preserve">Textile: Cloth and Culture, </w:t>
      </w:r>
      <w:r w:rsidRPr="00E86301">
        <w:rPr>
          <w:lang w:val="en-US"/>
        </w:rPr>
        <w:t xml:space="preserve">Vol. 14, No. 2, (2016), pp.152-159; Bridget Long, ‘“Regular Progressive Work Occupies My Mind Best”: Needlework as a Source of Entertainment, Consolation and Reflection’, </w:t>
      </w:r>
      <w:r w:rsidRPr="00E86301">
        <w:rPr>
          <w:i/>
          <w:iCs/>
          <w:lang w:val="en-US"/>
        </w:rPr>
        <w:t xml:space="preserve">Textile: Cloth and Culture, </w:t>
      </w:r>
      <w:r w:rsidRPr="00E86301">
        <w:rPr>
          <w:lang w:val="en-US"/>
        </w:rPr>
        <w:t xml:space="preserve">Vol. 14, No. 2, (2016), pp.176-187; Sarah Randles, ‘"The Pattern of All Patience": Gender, Agency and Emotions in Embroidery Pattern Books in Early Modern England’, in Susan Broomhall (ed.), </w:t>
      </w:r>
      <w:r w:rsidRPr="00E86301">
        <w:rPr>
          <w:i/>
          <w:iCs/>
          <w:lang w:val="en-US"/>
        </w:rPr>
        <w:t xml:space="preserve">Authority, Gender and Emotions in Late Medieval and Early Modern England, </w:t>
      </w:r>
      <w:r w:rsidRPr="00E86301">
        <w:rPr>
          <w:lang w:val="en-US"/>
        </w:rPr>
        <w:t xml:space="preserve">(Basingstoke, 2015), pp.150-167; Sasha Handley, ‘Objects, emotions and an early modern bed-sheet’, </w:t>
      </w:r>
      <w:r w:rsidRPr="00E86301">
        <w:rPr>
          <w:i/>
          <w:iCs/>
          <w:lang w:val="en-US"/>
        </w:rPr>
        <w:t xml:space="preserve">History Workshop Journal, </w:t>
      </w:r>
      <w:r w:rsidRPr="00E86301">
        <w:rPr>
          <w:lang w:val="en-US"/>
        </w:rPr>
        <w:t>Vol. 85, (2018), pp.169-194</w:t>
      </w:r>
      <w:r w:rsidR="007D3B06">
        <w:rPr>
          <w:lang w:val="en-US"/>
        </w:rPr>
        <w:t>.</w:t>
      </w:r>
    </w:p>
  </w:footnote>
  <w:footnote w:id="36">
    <w:p w14:paraId="477B54FE" w14:textId="272F09A3" w:rsidR="00EC1EEB" w:rsidRPr="00783781" w:rsidRDefault="00EC1EEB" w:rsidP="00EC1EEB">
      <w:pPr>
        <w:pStyle w:val="FootnoteText"/>
      </w:pPr>
      <w:r>
        <w:rPr>
          <w:rStyle w:val="FootnoteReference"/>
        </w:rPr>
        <w:footnoteRef/>
      </w:r>
      <w:r>
        <w:t xml:space="preserve"> Susan Frye, </w:t>
      </w:r>
      <w:r w:rsidRPr="00425EBA">
        <w:rPr>
          <w:i/>
          <w:iCs/>
        </w:rPr>
        <w:t>Pens and Needles: Women's Textualities in Early Modern England</w:t>
      </w:r>
      <w:r>
        <w:rPr>
          <w:i/>
          <w:iCs/>
        </w:rPr>
        <w:t xml:space="preserve">, </w:t>
      </w:r>
      <w:r>
        <w:t>(Philadelphia, 2013)</w:t>
      </w:r>
      <w:r w:rsidR="007D3B06">
        <w:t>.</w:t>
      </w:r>
    </w:p>
  </w:footnote>
  <w:footnote w:id="37">
    <w:p w14:paraId="61786246" w14:textId="52918263" w:rsidR="00EC1EEB" w:rsidRDefault="00EC1EEB" w:rsidP="00EC1EEB">
      <w:pPr>
        <w:pStyle w:val="FootnoteText"/>
      </w:pPr>
      <w:r>
        <w:rPr>
          <w:rStyle w:val="FootnoteReference"/>
        </w:rPr>
        <w:footnoteRef/>
      </w:r>
      <w:r>
        <w:t xml:space="preserve"> </w:t>
      </w:r>
      <w:r>
        <w:rPr>
          <w:lang w:val="en-US"/>
        </w:rPr>
        <w:t xml:space="preserve">Antonia Brodie, </w:t>
      </w:r>
      <w:r w:rsidRPr="00FA79E4">
        <w:rPr>
          <w:lang w:val="en-US"/>
        </w:rPr>
        <w:t xml:space="preserve">‘Marking and memory: an embroidered sheet in the collection of the Victoria and Albert Museum’, </w:t>
      </w:r>
      <w:r w:rsidRPr="00FA79E4">
        <w:rPr>
          <w:i/>
          <w:lang w:val="en-US"/>
        </w:rPr>
        <w:t xml:space="preserve">Textile: Cloth and Culture, </w:t>
      </w:r>
      <w:r w:rsidRPr="00FA79E4">
        <w:rPr>
          <w:lang w:val="en-US"/>
        </w:rPr>
        <w:t>Vol. 14, No. 2, (2016), pp.160-175</w:t>
      </w:r>
      <w:r w:rsidR="007D3B06">
        <w:rPr>
          <w:lang w:val="en-US"/>
        </w:rPr>
        <w:t>.</w:t>
      </w:r>
    </w:p>
  </w:footnote>
  <w:footnote w:id="38">
    <w:p w14:paraId="625EF4A4" w14:textId="3343F771" w:rsidR="00EC1EEB" w:rsidRDefault="00EC1EEB" w:rsidP="00EC1EEB">
      <w:pPr>
        <w:pStyle w:val="FootnoteText"/>
      </w:pPr>
      <w:r>
        <w:rPr>
          <w:rStyle w:val="FootnoteReference"/>
        </w:rPr>
        <w:footnoteRef/>
      </w:r>
      <w:r>
        <w:t xml:space="preserve"> </w:t>
      </w:r>
      <w:r w:rsidRPr="0036689E">
        <w:rPr>
          <w:lang w:val="en-US"/>
        </w:rPr>
        <w:t xml:space="preserve">Barbara Burman, “A Linnen Pockett a Prayer Book and Five Keys’: approaches to a history of women’s tie-on pockets’, in Maria Hayward and Elizabeth Kramer (eds), </w:t>
      </w:r>
      <w:r w:rsidRPr="0036689E">
        <w:rPr>
          <w:i/>
          <w:lang w:val="en-US"/>
        </w:rPr>
        <w:t xml:space="preserve">Textiles in Text: Re-establishing the Links Between Archival and Object-Based Research, </w:t>
      </w:r>
      <w:r w:rsidRPr="0036689E">
        <w:rPr>
          <w:lang w:val="en-US"/>
        </w:rPr>
        <w:t>(London, 2007), pp.157-163</w:t>
      </w:r>
      <w:r w:rsidR="007D3B06">
        <w:rPr>
          <w:lang w:val="en-US"/>
        </w:rPr>
        <w:t>.</w:t>
      </w:r>
    </w:p>
  </w:footnote>
  <w:footnote w:id="39">
    <w:p w14:paraId="6FDC0FEA" w14:textId="51787DF8" w:rsidR="00EC1EEB" w:rsidRDefault="00EC1EEB" w:rsidP="00EC1EEB">
      <w:pPr>
        <w:pStyle w:val="FootnoteText"/>
      </w:pPr>
      <w:r>
        <w:rPr>
          <w:rStyle w:val="FootnoteReference"/>
        </w:rPr>
        <w:footnoteRef/>
      </w:r>
      <w:r>
        <w:t xml:space="preserve"> Sarah Anne Bendall, ‘</w:t>
      </w:r>
      <w:r w:rsidRPr="00842986">
        <w:rPr>
          <w:lang w:val="en-US"/>
        </w:rPr>
        <w:t xml:space="preserve">To write a </w:t>
      </w:r>
      <w:proofErr w:type="spellStart"/>
      <w:r w:rsidRPr="00842986">
        <w:rPr>
          <w:lang w:val="en-US"/>
        </w:rPr>
        <w:t>distick</w:t>
      </w:r>
      <w:proofErr w:type="spellEnd"/>
      <w:r w:rsidRPr="00842986">
        <w:rPr>
          <w:lang w:val="en-US"/>
        </w:rPr>
        <w:t xml:space="preserve"> upon </w:t>
      </w:r>
      <w:proofErr w:type="gramStart"/>
      <w:r w:rsidRPr="00842986">
        <w:rPr>
          <w:lang w:val="en-US"/>
        </w:rPr>
        <w:t>it:</w:t>
      </w:r>
      <w:proofErr w:type="gramEnd"/>
      <w:r w:rsidRPr="00842986">
        <w:rPr>
          <w:lang w:val="en-US"/>
        </w:rPr>
        <w:t xml:space="preserve"> busks and the language of courtship and sexual desire in sixteenth- and seventeenth-century England’, </w:t>
      </w:r>
      <w:r w:rsidRPr="00842986">
        <w:rPr>
          <w:i/>
          <w:iCs/>
          <w:lang w:val="en-US"/>
        </w:rPr>
        <w:t xml:space="preserve">Gender and History, </w:t>
      </w:r>
      <w:r w:rsidRPr="00842986">
        <w:rPr>
          <w:lang w:val="en-US"/>
        </w:rPr>
        <w:t>Vol. 26, No. 2, (2014), pp.199-222</w:t>
      </w:r>
      <w:r>
        <w:rPr>
          <w:lang w:val="en-US"/>
        </w:rPr>
        <w:t xml:space="preserve">; </w:t>
      </w:r>
      <w:r w:rsidRPr="00791211">
        <w:rPr>
          <w:lang w:val="en-US"/>
        </w:rPr>
        <w:t xml:space="preserve">Felicity Heal, </w:t>
      </w:r>
      <w:r w:rsidRPr="00791211">
        <w:rPr>
          <w:i/>
          <w:iCs/>
          <w:lang w:val="en-US"/>
        </w:rPr>
        <w:t xml:space="preserve">The Power of Gifts: Gift Exchange in Early Modern England, </w:t>
      </w:r>
      <w:r w:rsidRPr="00791211">
        <w:rPr>
          <w:lang w:val="en-US"/>
        </w:rPr>
        <w:t>(Oxford, 2014)</w:t>
      </w:r>
      <w:r w:rsidR="007D3B06">
        <w:rPr>
          <w:lang w:val="en-US"/>
        </w:rPr>
        <w:t>.</w:t>
      </w:r>
    </w:p>
  </w:footnote>
  <w:footnote w:id="40">
    <w:p w14:paraId="685B8A21" w14:textId="16857DB8" w:rsidR="00EC1EEB" w:rsidRDefault="00EC1EEB" w:rsidP="00EC1EEB">
      <w:pPr>
        <w:pStyle w:val="FootnoteText"/>
      </w:pPr>
      <w:r>
        <w:rPr>
          <w:rStyle w:val="FootnoteReference"/>
        </w:rPr>
        <w:footnoteRef/>
      </w:r>
      <w:r>
        <w:t xml:space="preserve"> </w:t>
      </w:r>
      <w:r w:rsidRPr="00BB1E6A">
        <w:rPr>
          <w:lang w:val="en-US"/>
        </w:rPr>
        <w:t>Bridget Millmore, ‘Love tokens: engraved coins, emotions and the poor 1700-1856’, (University of Brighton, 2015</w:t>
      </w:r>
      <w:r>
        <w:rPr>
          <w:lang w:val="en-US"/>
        </w:rPr>
        <w:t xml:space="preserve">; </w:t>
      </w:r>
      <w:r w:rsidRPr="00D1367F">
        <w:rPr>
          <w:lang w:val="en-US"/>
        </w:rPr>
        <w:t>unpublished PhD thesis</w:t>
      </w:r>
      <w:r w:rsidRPr="00BB1E6A">
        <w:rPr>
          <w:lang w:val="en-US"/>
        </w:rPr>
        <w:t>), [eprints.brighton.ac.uk/13793/1/Bridget%20Millmore%20PhD%20Final.pdf; accessed 6</w:t>
      </w:r>
      <w:r>
        <w:rPr>
          <w:vertAlign w:val="superscript"/>
          <w:lang w:val="en-US"/>
        </w:rPr>
        <w:t xml:space="preserve"> </w:t>
      </w:r>
      <w:r w:rsidRPr="00BB1E6A">
        <w:rPr>
          <w:lang w:val="en-US"/>
        </w:rPr>
        <w:t>June</w:t>
      </w:r>
      <w:r>
        <w:rPr>
          <w:lang w:val="en-US"/>
        </w:rPr>
        <w:t xml:space="preserve"> 2022</w:t>
      </w:r>
      <w:r w:rsidRPr="00BB1E6A">
        <w:rPr>
          <w:lang w:val="en-US"/>
        </w:rPr>
        <w:t>]</w:t>
      </w:r>
      <w:r w:rsidR="007D3B06">
        <w:rPr>
          <w:lang w:val="en-US"/>
        </w:rPr>
        <w:t>.</w:t>
      </w:r>
    </w:p>
  </w:footnote>
  <w:footnote w:id="41">
    <w:p w14:paraId="1ACEF33A" w14:textId="5EA86325" w:rsidR="00EC1EEB" w:rsidRDefault="00EC1EEB" w:rsidP="00EC1EEB">
      <w:pPr>
        <w:pStyle w:val="FootnoteText"/>
      </w:pPr>
      <w:r>
        <w:rPr>
          <w:rStyle w:val="FootnoteReference"/>
        </w:rPr>
        <w:footnoteRef/>
      </w:r>
      <w:r>
        <w:t xml:space="preserve"> </w:t>
      </w:r>
      <w:r w:rsidRPr="006834E9">
        <w:rPr>
          <w:lang w:val="en-US"/>
        </w:rPr>
        <w:t xml:space="preserve">Angela McShane, ‘Bad habits and female agency: attending to early modern women in the material history of intoxication’, in Merry Weisner Hanks (ed.), </w:t>
      </w:r>
      <w:r w:rsidRPr="006834E9">
        <w:rPr>
          <w:i/>
          <w:iCs/>
          <w:lang w:val="en-US"/>
        </w:rPr>
        <w:t xml:space="preserve">Challenging Women’s Agency and Activism in Early Modernity, </w:t>
      </w:r>
      <w:r w:rsidRPr="006834E9">
        <w:rPr>
          <w:lang w:val="en-US"/>
        </w:rPr>
        <w:t>(Amsterdam, 2020)</w:t>
      </w:r>
      <w:r>
        <w:rPr>
          <w:lang w:val="en-US"/>
        </w:rPr>
        <w:t>, pp.25-64</w:t>
      </w:r>
      <w:r w:rsidR="001A779F">
        <w:rPr>
          <w:lang w:val="en-US"/>
        </w:rPr>
        <w:t>.</w:t>
      </w:r>
    </w:p>
  </w:footnote>
  <w:footnote w:id="42">
    <w:p w14:paraId="1055A661" w14:textId="7CF06E1C" w:rsidR="00EC1EEB" w:rsidRPr="00A6479C" w:rsidRDefault="00EC1EEB" w:rsidP="00EC1EEB">
      <w:pPr>
        <w:pStyle w:val="FootnoteText"/>
      </w:pPr>
      <w:r>
        <w:rPr>
          <w:rStyle w:val="FootnoteReference"/>
        </w:rPr>
        <w:footnoteRef/>
      </w:r>
      <w:r>
        <w:t xml:space="preserve"> </w:t>
      </w:r>
      <w:r w:rsidRPr="00B335CE">
        <w:rPr>
          <w:lang w:val="en-US"/>
        </w:rPr>
        <w:t xml:space="preserve">Sara Pennell, ‘”Pots and pans history”: the material culture of the kitchen in early modern England’, </w:t>
      </w:r>
      <w:r w:rsidRPr="00B335CE">
        <w:rPr>
          <w:i/>
          <w:iCs/>
          <w:lang w:val="en-US"/>
        </w:rPr>
        <w:t xml:space="preserve">Journal of Design History, </w:t>
      </w:r>
      <w:r w:rsidRPr="00B335CE">
        <w:rPr>
          <w:lang w:val="en-US"/>
        </w:rPr>
        <w:t xml:space="preserve">Vol. 11, (1998), pp.201-216; Laura Gowing, ‘The twinkling of a </w:t>
      </w:r>
      <w:proofErr w:type="spellStart"/>
      <w:r w:rsidRPr="00B335CE">
        <w:rPr>
          <w:lang w:val="en-US"/>
        </w:rPr>
        <w:t>bedstaff</w:t>
      </w:r>
      <w:proofErr w:type="spellEnd"/>
      <w:r w:rsidRPr="00B335CE">
        <w:rPr>
          <w:lang w:val="en-US"/>
        </w:rPr>
        <w:t xml:space="preserve">: Recovering the social life of English beds 1500-1700’, </w:t>
      </w:r>
      <w:r w:rsidRPr="00B335CE">
        <w:rPr>
          <w:i/>
          <w:iCs/>
          <w:lang w:val="en-US"/>
        </w:rPr>
        <w:t xml:space="preserve">Home Cultures, </w:t>
      </w:r>
      <w:r w:rsidRPr="00B335CE">
        <w:rPr>
          <w:lang w:val="en-US"/>
        </w:rPr>
        <w:t>Vol. 11, No. 3, (2014), pp.275-304;</w:t>
      </w:r>
      <w:r w:rsidRPr="00B335CE">
        <w:rPr>
          <w:b/>
          <w:bCs/>
          <w:lang w:val="en-US"/>
        </w:rPr>
        <w:t xml:space="preserve"> </w:t>
      </w:r>
      <w:r w:rsidRPr="00B335CE">
        <w:rPr>
          <w:lang w:val="en-US"/>
        </w:rPr>
        <w:t xml:space="preserve">Sasha Handley, </w:t>
      </w:r>
      <w:r w:rsidRPr="00B335CE">
        <w:rPr>
          <w:i/>
          <w:iCs/>
          <w:lang w:val="en-US"/>
        </w:rPr>
        <w:t xml:space="preserve">Sleep in Early Modern England, </w:t>
      </w:r>
      <w:r w:rsidRPr="00B335CE">
        <w:rPr>
          <w:lang w:val="en-US"/>
        </w:rPr>
        <w:t>(Yale, 2016);</w:t>
      </w:r>
      <w:r w:rsidRPr="00B335CE">
        <w:rPr>
          <w:b/>
          <w:bCs/>
          <w:lang w:val="en-US"/>
        </w:rPr>
        <w:t xml:space="preserve"> </w:t>
      </w:r>
      <w:r w:rsidRPr="00B335CE">
        <w:rPr>
          <w:lang w:val="en-US"/>
        </w:rPr>
        <w:t>Alexandra Walsham, ‘Domesticating the Reformation: material culture, memory and confessional identity in early modern England’, </w:t>
      </w:r>
      <w:r w:rsidRPr="00B335CE">
        <w:rPr>
          <w:i/>
          <w:iCs/>
          <w:lang w:val="en-US"/>
        </w:rPr>
        <w:t xml:space="preserve">Renaissance Quarterly, </w:t>
      </w:r>
      <w:r w:rsidRPr="00B335CE">
        <w:rPr>
          <w:lang w:val="en-US"/>
        </w:rPr>
        <w:t>Vol. 69, (2016), pp.566-616; Cara Sian Middlemass, ‘Mourning jewellery in England, c.1500-1800’ (Newcastle University, 2018</w:t>
      </w:r>
      <w:r>
        <w:rPr>
          <w:lang w:val="en-US"/>
        </w:rPr>
        <w:t xml:space="preserve">; </w:t>
      </w:r>
      <w:r w:rsidRPr="005C35E2">
        <w:rPr>
          <w:lang w:val="en-US"/>
        </w:rPr>
        <w:t>unpublished PhD thesis</w:t>
      </w:r>
      <w:r w:rsidRPr="00B335CE">
        <w:rPr>
          <w:lang w:val="en-US"/>
        </w:rPr>
        <w:t>), [http://theses.ncl.ac.uk/jspui/handle/10443/4188; accessed January 2020]</w:t>
      </w:r>
      <w:r>
        <w:rPr>
          <w:lang w:val="en-US"/>
        </w:rPr>
        <w:t xml:space="preserve">; </w:t>
      </w:r>
      <w:r w:rsidRPr="00B335CE">
        <w:rPr>
          <w:lang w:val="en-US"/>
        </w:rPr>
        <w:t xml:space="preserve">Alice Dolan, ‘Touching linen: textiles, emotion and bodily intimacy in England c.1708-1818’, </w:t>
      </w:r>
      <w:r w:rsidRPr="00B335CE">
        <w:rPr>
          <w:i/>
          <w:iCs/>
          <w:lang w:val="en-US"/>
        </w:rPr>
        <w:t xml:space="preserve">Cultural and Social History, </w:t>
      </w:r>
      <w:r w:rsidRPr="00B335CE">
        <w:rPr>
          <w:lang w:val="en-US"/>
        </w:rPr>
        <w:t>Vol. 16, No. 2, (2019), pp.145-164</w:t>
      </w:r>
      <w:r>
        <w:rPr>
          <w:lang w:val="en-US"/>
        </w:rPr>
        <w:t xml:space="preserve">; Jon Stobart (ed.), </w:t>
      </w:r>
      <w:r>
        <w:rPr>
          <w:i/>
          <w:iCs/>
          <w:lang w:val="en-US"/>
        </w:rPr>
        <w:t xml:space="preserve">The Comforts of Home in Western Europe, 1700-1900, </w:t>
      </w:r>
      <w:r>
        <w:rPr>
          <w:lang w:val="en-US"/>
        </w:rPr>
        <w:t>(London, 2020)</w:t>
      </w:r>
      <w:r w:rsidR="001A779F">
        <w:rPr>
          <w:lang w:val="en-US"/>
        </w:rPr>
        <w:t>.</w:t>
      </w:r>
    </w:p>
  </w:footnote>
  <w:footnote w:id="43">
    <w:p w14:paraId="40DC9474" w14:textId="2EBD290D" w:rsidR="00EC1EEB" w:rsidRDefault="00EC1EEB" w:rsidP="00EC1EEB">
      <w:pPr>
        <w:pStyle w:val="FootnoteText"/>
      </w:pPr>
      <w:r>
        <w:rPr>
          <w:rStyle w:val="FootnoteReference"/>
        </w:rPr>
        <w:footnoteRef/>
      </w:r>
      <w:r>
        <w:t xml:space="preserve"> In relation to the global turn in material culture research, Riello has demonstrated how ‘unique objects’ in museum collections have been used to tell global stories, capable of</w:t>
      </w:r>
      <w:r w:rsidRPr="00A66B3B">
        <w:rPr>
          <w:rFonts w:eastAsia="Calibri"/>
          <w:sz w:val="24"/>
          <w:szCs w:val="24"/>
        </w:rPr>
        <w:t xml:space="preserve"> </w:t>
      </w:r>
      <w:r w:rsidRPr="00A66B3B">
        <w:rPr>
          <w:lang w:val="en-US"/>
        </w:rPr>
        <w:t xml:space="preserve">encompassing ‘an entire world of material </w:t>
      </w:r>
      <w:proofErr w:type="gramStart"/>
      <w:r w:rsidRPr="00A66B3B">
        <w:rPr>
          <w:lang w:val="en-US"/>
        </w:rPr>
        <w:t>change</w:t>
      </w:r>
      <w:proofErr w:type="gramEnd"/>
      <w:r w:rsidRPr="00A66B3B">
        <w:rPr>
          <w:lang w:val="en-US"/>
        </w:rPr>
        <w:t xml:space="preserve"> and exchange</w:t>
      </w:r>
      <w:r>
        <w:rPr>
          <w:lang w:val="en-US"/>
        </w:rPr>
        <w:t>’. He has demonstrated a second trend towards researching ‘</w:t>
      </w:r>
      <w:r w:rsidRPr="00DD6EFD">
        <w:rPr>
          <w:lang w:val="en-US"/>
        </w:rPr>
        <w:t>traded commodities’</w:t>
      </w:r>
      <w:r>
        <w:rPr>
          <w:lang w:val="en-US"/>
        </w:rPr>
        <w:t xml:space="preserve">, using individual goods </w:t>
      </w:r>
      <w:r w:rsidRPr="00D2773A">
        <w:rPr>
          <w:lang w:val="en-US"/>
        </w:rPr>
        <w:t>as a lens for the exploration of commerce and consumption patterns on a global scale</w:t>
      </w:r>
      <w:r>
        <w:rPr>
          <w:lang w:val="en-US"/>
        </w:rPr>
        <w:t>.</w:t>
      </w:r>
      <w:r>
        <w:t xml:space="preserve"> Giorgio Riello, ‘Global things: Europe’s early modern material transformation’, in Richardson, Hamling and </w:t>
      </w:r>
      <w:proofErr w:type="spellStart"/>
      <w:r>
        <w:t>Gaimster</w:t>
      </w:r>
      <w:proofErr w:type="spellEnd"/>
      <w:r>
        <w:t xml:space="preserve"> (eds), </w:t>
      </w:r>
      <w:r>
        <w:rPr>
          <w:i/>
          <w:iCs/>
        </w:rPr>
        <w:t>The Routledge Handbook,</w:t>
      </w:r>
      <w:r>
        <w:t xml:space="preserve"> pp.29-45, pp.30-31</w:t>
      </w:r>
      <w:r w:rsidR="001A779F">
        <w:t>.</w:t>
      </w:r>
    </w:p>
  </w:footnote>
  <w:footnote w:id="44">
    <w:p w14:paraId="69380F56" w14:textId="29DC9B62" w:rsidR="00EC1EEB" w:rsidRDefault="00EC1EEB" w:rsidP="00EC1EEB">
      <w:pPr>
        <w:pStyle w:val="FootnoteText"/>
      </w:pPr>
      <w:r>
        <w:rPr>
          <w:rStyle w:val="FootnoteReference"/>
        </w:rPr>
        <w:footnoteRef/>
      </w:r>
      <w:r>
        <w:t xml:space="preserve"> Barbara Rosenwein, ‘Review of William Reddy, </w:t>
      </w:r>
      <w:r>
        <w:rPr>
          <w:i/>
          <w:iCs/>
        </w:rPr>
        <w:t>The Navigation of Feeling: A Framework for the History of Emotions</w:t>
      </w:r>
      <w:r>
        <w:t xml:space="preserve">, (Cambridge, 2001)’, </w:t>
      </w:r>
      <w:r>
        <w:rPr>
          <w:i/>
          <w:iCs/>
        </w:rPr>
        <w:t xml:space="preserve">American Historical Review, </w:t>
      </w:r>
      <w:r>
        <w:t>Vol. 107, No. 4, (2002), pp.1181-1182,</w:t>
      </w:r>
      <w:r>
        <w:rPr>
          <w:i/>
          <w:iCs/>
        </w:rPr>
        <w:t xml:space="preserve"> </w:t>
      </w:r>
      <w:r>
        <w:t>p.1182</w:t>
      </w:r>
      <w:r w:rsidR="001A779F">
        <w:t>.</w:t>
      </w:r>
    </w:p>
  </w:footnote>
  <w:footnote w:id="45">
    <w:p w14:paraId="26B15758" w14:textId="0F41D945" w:rsidR="00EC1EEB" w:rsidRDefault="00EC1EEB" w:rsidP="00EC1EEB">
      <w:pPr>
        <w:pStyle w:val="FootnoteText"/>
      </w:pPr>
      <w:r>
        <w:rPr>
          <w:rStyle w:val="FootnoteReference"/>
        </w:rPr>
        <w:footnoteRef/>
      </w:r>
      <w:r>
        <w:t xml:space="preserve"> </w:t>
      </w:r>
      <w:r w:rsidRPr="001250FA">
        <w:t xml:space="preserve">William Reddy, </w:t>
      </w:r>
      <w:r w:rsidRPr="001250FA">
        <w:rPr>
          <w:i/>
          <w:iCs/>
        </w:rPr>
        <w:t>The Navigation of Feeling: A Framework for the History of Emotions</w:t>
      </w:r>
      <w:r w:rsidRPr="001250FA">
        <w:t>, (Cambridge, 2001)</w:t>
      </w:r>
      <w:r>
        <w:t>, pp.145-172</w:t>
      </w:r>
      <w:r w:rsidR="001A779F">
        <w:t>.</w:t>
      </w:r>
    </w:p>
  </w:footnote>
  <w:footnote w:id="46">
    <w:p w14:paraId="7C70A388" w14:textId="5BA87764" w:rsidR="00EC1EEB" w:rsidRDefault="00EC1EEB" w:rsidP="00EC1EEB">
      <w:pPr>
        <w:pStyle w:val="FootnoteText"/>
      </w:pPr>
      <w:r>
        <w:rPr>
          <w:rStyle w:val="FootnoteReference"/>
        </w:rPr>
        <w:footnoteRef/>
      </w:r>
      <w:r>
        <w:t xml:space="preserve"> Barbara Rosenwein, </w:t>
      </w:r>
      <w:r w:rsidRPr="006E314D">
        <w:rPr>
          <w:i/>
          <w:iCs/>
        </w:rPr>
        <w:t xml:space="preserve">Emotional Communities in the Early Middle Ages, </w:t>
      </w:r>
      <w:r w:rsidRPr="006E314D">
        <w:t>(</w:t>
      </w:r>
      <w:r>
        <w:t>Ithaca</w:t>
      </w:r>
      <w:r w:rsidRPr="006E314D">
        <w:t>, 2006)</w:t>
      </w:r>
      <w:r>
        <w:t>, p.22</w:t>
      </w:r>
      <w:r w:rsidR="001A779F">
        <w:t>.</w:t>
      </w:r>
    </w:p>
  </w:footnote>
  <w:footnote w:id="47">
    <w:p w14:paraId="083E8D13" w14:textId="6C38D74C" w:rsidR="00EC1EEB" w:rsidRDefault="00EC1EEB" w:rsidP="00EC1EEB">
      <w:pPr>
        <w:pStyle w:val="FootnoteText"/>
      </w:pPr>
      <w:r>
        <w:rPr>
          <w:rStyle w:val="FootnoteReference"/>
        </w:rPr>
        <w:footnoteRef/>
      </w:r>
      <w:r>
        <w:t xml:space="preserve"> Ibid., p.26</w:t>
      </w:r>
      <w:r w:rsidR="001A779F">
        <w:t>.</w:t>
      </w:r>
    </w:p>
  </w:footnote>
  <w:footnote w:id="48">
    <w:p w14:paraId="62B6BE55" w14:textId="68F93009" w:rsidR="00EC1EEB" w:rsidRDefault="00EC1EEB" w:rsidP="00EC1EEB">
      <w:pPr>
        <w:pStyle w:val="FootnoteText"/>
      </w:pPr>
      <w:r>
        <w:rPr>
          <w:rStyle w:val="FootnoteReference"/>
        </w:rPr>
        <w:footnoteRef/>
      </w:r>
      <w:r>
        <w:t xml:space="preserve"> Ibid., pp.57-78</w:t>
      </w:r>
      <w:r w:rsidR="001A779F">
        <w:t>.</w:t>
      </w:r>
    </w:p>
  </w:footnote>
  <w:footnote w:id="49">
    <w:p w14:paraId="17B0B812" w14:textId="3AB4BB03" w:rsidR="00EC1EEB" w:rsidRDefault="00EC1EEB" w:rsidP="00EC1EEB">
      <w:pPr>
        <w:pStyle w:val="FootnoteText"/>
      </w:pPr>
      <w:r>
        <w:rPr>
          <w:rStyle w:val="FootnoteReference"/>
        </w:rPr>
        <w:footnoteRef/>
      </w:r>
      <w:r>
        <w:t xml:space="preserve"> Ibid., pp.57-78, p.25</w:t>
      </w:r>
      <w:r w:rsidR="001A779F">
        <w:t>.</w:t>
      </w:r>
    </w:p>
  </w:footnote>
  <w:footnote w:id="50">
    <w:p w14:paraId="7192414F" w14:textId="71B63CFA" w:rsidR="00EC1EEB" w:rsidRDefault="00EC1EEB" w:rsidP="00EC1EEB">
      <w:pPr>
        <w:pStyle w:val="FootnoteText"/>
      </w:pPr>
      <w:r>
        <w:rPr>
          <w:rStyle w:val="FootnoteReference"/>
        </w:rPr>
        <w:footnoteRef/>
      </w:r>
      <w:r>
        <w:t xml:space="preserve"> Sasha Handley, ‘Lusty sack possets, nuptial affections and the material communities of early modern weddings’, </w:t>
      </w:r>
      <w:r>
        <w:rPr>
          <w:i/>
          <w:iCs/>
        </w:rPr>
        <w:t xml:space="preserve">Environment and History, </w:t>
      </w:r>
      <w:r>
        <w:t>Vol. 28, No. 3, (2022), pp.375-395, p.375</w:t>
      </w:r>
      <w:r w:rsidR="001A779F">
        <w:t>.</w:t>
      </w:r>
    </w:p>
  </w:footnote>
  <w:footnote w:id="51">
    <w:p w14:paraId="12E06B70" w14:textId="774E3BD4" w:rsidR="00EC1EEB" w:rsidRDefault="00EC1EEB" w:rsidP="00EC1EEB">
      <w:pPr>
        <w:pStyle w:val="FootnoteText"/>
      </w:pPr>
      <w:r>
        <w:rPr>
          <w:rStyle w:val="FootnoteReference"/>
        </w:rPr>
        <w:footnoteRef/>
      </w:r>
      <w:r>
        <w:t xml:space="preserve"> Ibid., p.376</w:t>
      </w:r>
      <w:r w:rsidR="001A779F">
        <w:t>.</w:t>
      </w:r>
    </w:p>
  </w:footnote>
  <w:footnote w:id="52">
    <w:p w14:paraId="4686655A" w14:textId="0F5A1B58" w:rsidR="00EC1EEB" w:rsidRDefault="00EC1EEB" w:rsidP="00EC1EEB">
      <w:pPr>
        <w:pStyle w:val="FootnoteText"/>
      </w:pPr>
      <w:r>
        <w:rPr>
          <w:rStyle w:val="FootnoteReference"/>
        </w:rPr>
        <w:footnoteRef/>
      </w:r>
      <w:r>
        <w:t xml:space="preserve"> Ibid., p.378, p.385</w:t>
      </w:r>
      <w:r w:rsidR="001A779F">
        <w:t>.</w:t>
      </w:r>
    </w:p>
  </w:footnote>
  <w:footnote w:id="53">
    <w:p w14:paraId="2CEB1A58" w14:textId="0ED7C508" w:rsidR="00EC1EEB" w:rsidRDefault="00EC1EEB" w:rsidP="00EC1EEB">
      <w:pPr>
        <w:pStyle w:val="FootnoteText"/>
      </w:pPr>
      <w:r>
        <w:rPr>
          <w:rStyle w:val="FootnoteReference"/>
        </w:rPr>
        <w:footnoteRef/>
      </w:r>
      <w:r>
        <w:t xml:space="preserve"> Ibid., p.27</w:t>
      </w:r>
      <w:r w:rsidR="001A779F">
        <w:t>.</w:t>
      </w:r>
    </w:p>
  </w:footnote>
  <w:footnote w:id="54">
    <w:p w14:paraId="525E63FB" w14:textId="06AE7104" w:rsidR="00EC1EEB" w:rsidRDefault="00EC1EEB" w:rsidP="00EC1EEB">
      <w:pPr>
        <w:pStyle w:val="FootnoteText"/>
      </w:pPr>
      <w:r>
        <w:rPr>
          <w:rStyle w:val="FootnoteReference"/>
        </w:rPr>
        <w:footnoteRef/>
      </w:r>
      <w:r>
        <w:t xml:space="preserve"> </w:t>
      </w:r>
      <w:r w:rsidRPr="00B77CCD">
        <w:t xml:space="preserve">Monique Scheer, ‘Are emotions a kind of practice (and is that what makes them have a history)? A </w:t>
      </w:r>
      <w:proofErr w:type="spellStart"/>
      <w:r w:rsidRPr="00B77CCD">
        <w:t>Bourdieuian</w:t>
      </w:r>
      <w:proofErr w:type="spellEnd"/>
      <w:r w:rsidRPr="00B77CCD">
        <w:t xml:space="preserve"> approach to understanding emotion’, </w:t>
      </w:r>
      <w:r w:rsidRPr="00B77CCD">
        <w:rPr>
          <w:i/>
          <w:iCs/>
        </w:rPr>
        <w:t xml:space="preserve">History and Theory, </w:t>
      </w:r>
      <w:r w:rsidRPr="00B77CCD">
        <w:t>Vol. 52, No. 2, (2012), pp.193-220</w:t>
      </w:r>
      <w:r w:rsidR="001A779F">
        <w:t>.</w:t>
      </w:r>
    </w:p>
  </w:footnote>
  <w:footnote w:id="55">
    <w:p w14:paraId="0A2E6F00" w14:textId="6D326743" w:rsidR="00EC1EEB" w:rsidRDefault="00EC1EEB" w:rsidP="00EC1EEB">
      <w:pPr>
        <w:pStyle w:val="FootnoteText"/>
      </w:pPr>
      <w:r>
        <w:rPr>
          <w:rStyle w:val="FootnoteReference"/>
        </w:rPr>
        <w:footnoteRef/>
      </w:r>
      <w:r>
        <w:t xml:space="preserve"> Ibid., p.204</w:t>
      </w:r>
      <w:r w:rsidR="001A779F">
        <w:t>.</w:t>
      </w:r>
    </w:p>
  </w:footnote>
  <w:footnote w:id="56">
    <w:p w14:paraId="32650C2C" w14:textId="77777777" w:rsidR="00EC1EEB" w:rsidRDefault="00EC1EEB" w:rsidP="00EC1EEB">
      <w:pPr>
        <w:pStyle w:val="FootnoteText"/>
      </w:pPr>
      <w:r>
        <w:rPr>
          <w:rStyle w:val="FootnoteReference"/>
        </w:rPr>
        <w:footnoteRef/>
      </w:r>
      <w:r>
        <w:t xml:space="preserve"> Ibid.</w:t>
      </w:r>
    </w:p>
  </w:footnote>
  <w:footnote w:id="57">
    <w:p w14:paraId="6990BE29" w14:textId="77777777" w:rsidR="00EC1EEB" w:rsidRDefault="00EC1EEB" w:rsidP="00EC1EEB">
      <w:pPr>
        <w:pStyle w:val="FootnoteText"/>
      </w:pPr>
      <w:r>
        <w:rPr>
          <w:rStyle w:val="FootnoteReference"/>
        </w:rPr>
        <w:footnoteRef/>
      </w:r>
      <w:r>
        <w:t xml:space="preserve"> Ibid.</w:t>
      </w:r>
    </w:p>
  </w:footnote>
  <w:footnote w:id="58">
    <w:p w14:paraId="70DC245A" w14:textId="41B07A1D" w:rsidR="00EC1EEB" w:rsidRPr="004C5747" w:rsidRDefault="00EC1EEB" w:rsidP="00EC1EEB">
      <w:pPr>
        <w:pStyle w:val="FootnoteText"/>
      </w:pPr>
      <w:r>
        <w:rPr>
          <w:rStyle w:val="FootnoteReference"/>
        </w:rPr>
        <w:footnoteRef/>
      </w:r>
      <w:r>
        <w:t xml:space="preserve"> </w:t>
      </w:r>
      <w:r w:rsidRPr="002A58DF">
        <w:t xml:space="preserve">Peter </w:t>
      </w:r>
      <w:proofErr w:type="spellStart"/>
      <w:r w:rsidRPr="002A58DF">
        <w:t>Laslett</w:t>
      </w:r>
      <w:proofErr w:type="spellEnd"/>
      <w:r w:rsidRPr="002A58DF">
        <w:t xml:space="preserve">, </w:t>
      </w:r>
      <w:r w:rsidRPr="002A58DF">
        <w:rPr>
          <w:i/>
        </w:rPr>
        <w:t xml:space="preserve">The World We Have Lost, </w:t>
      </w:r>
      <w:r w:rsidRPr="002A58DF">
        <w:t>(London, 1965)</w:t>
      </w:r>
      <w:r>
        <w:t xml:space="preserve">; </w:t>
      </w:r>
      <w:r w:rsidRPr="00C4654A">
        <w:t xml:space="preserve">Peter </w:t>
      </w:r>
      <w:proofErr w:type="spellStart"/>
      <w:r w:rsidRPr="00C4654A">
        <w:t>Laslett</w:t>
      </w:r>
      <w:proofErr w:type="spellEnd"/>
      <w:r w:rsidRPr="00C4654A">
        <w:t xml:space="preserve"> and Richard Wall (eds), </w:t>
      </w:r>
      <w:r w:rsidRPr="00C4654A">
        <w:rPr>
          <w:i/>
        </w:rPr>
        <w:t xml:space="preserve">The Household and Family in Past Time, </w:t>
      </w:r>
      <w:r w:rsidRPr="00C4654A">
        <w:t>(Cambridge, 1972</w:t>
      </w:r>
      <w:r>
        <w:t xml:space="preserve">); Laurence Stone, </w:t>
      </w:r>
      <w:r>
        <w:rPr>
          <w:i/>
          <w:iCs/>
        </w:rPr>
        <w:t xml:space="preserve">Family, Sex and Marriage in England 1500-1800, </w:t>
      </w:r>
      <w:r>
        <w:t>(London,</w:t>
      </w:r>
      <w:r w:rsidRPr="00A91DF0">
        <w:t>1977);</w:t>
      </w:r>
      <w:r>
        <w:t xml:space="preserve"> </w:t>
      </w:r>
      <w:r w:rsidRPr="00DA152B">
        <w:t xml:space="preserve">Angus McLaren, </w:t>
      </w:r>
      <w:r w:rsidRPr="00DA152B">
        <w:rPr>
          <w:i/>
        </w:rPr>
        <w:t xml:space="preserve">Reproductive Rituals: The Perception of Fertility in England from the Sixteenth Century to the Nineteenth Century, </w:t>
      </w:r>
      <w:r w:rsidRPr="00DA152B">
        <w:t>(New York, 1984)</w:t>
      </w:r>
      <w:r w:rsidR="001A779F">
        <w:t>.</w:t>
      </w:r>
    </w:p>
  </w:footnote>
  <w:footnote w:id="59">
    <w:p w14:paraId="486B7B65" w14:textId="2A497F48" w:rsidR="00EC1EEB" w:rsidRDefault="00EC1EEB" w:rsidP="00EC1EEB">
      <w:pPr>
        <w:pStyle w:val="FootnoteText"/>
      </w:pPr>
      <w:r>
        <w:rPr>
          <w:rStyle w:val="FootnoteReference"/>
        </w:rPr>
        <w:footnoteRef/>
      </w:r>
      <w:r>
        <w:t xml:space="preserve"> Margaret Pelling, ‘Finding widowers: men without women in English towns before 1700’, in Sandra Cavallo and Lyndan Warner (eds), </w:t>
      </w:r>
      <w:r>
        <w:rPr>
          <w:i/>
          <w:iCs/>
        </w:rPr>
        <w:t xml:space="preserve">Widowhood in Medieval and Early Modern Europe, </w:t>
      </w:r>
      <w:r>
        <w:t>(London, 1999</w:t>
      </w:r>
      <w:r w:rsidRPr="00E519E7">
        <w:t>), pp.</w:t>
      </w:r>
      <w:r>
        <w:t>37-54</w:t>
      </w:r>
      <w:r w:rsidRPr="00E519E7">
        <w:t>;</w:t>
      </w:r>
      <w:r>
        <w:t xml:space="preserve"> Elizabeth Foyster, ‘Marrying the experienced widow in early modern England: the male perspective’, in Cavallo and Warner (eds), </w:t>
      </w:r>
      <w:r>
        <w:rPr>
          <w:i/>
          <w:iCs/>
        </w:rPr>
        <w:t>Widowhood</w:t>
      </w:r>
      <w:r w:rsidRPr="00B548A9">
        <w:rPr>
          <w:i/>
          <w:iCs/>
        </w:rPr>
        <w:t xml:space="preserve">, </w:t>
      </w:r>
      <w:r w:rsidRPr="00B548A9">
        <w:t>pp.</w:t>
      </w:r>
      <w:r>
        <w:t>108-124</w:t>
      </w:r>
      <w:r w:rsidRPr="00B548A9">
        <w:t>;</w:t>
      </w:r>
      <w:r>
        <w:t xml:space="preserve"> </w:t>
      </w:r>
      <w:r w:rsidRPr="000053D2">
        <w:t xml:space="preserve">Amy M. </w:t>
      </w:r>
      <w:proofErr w:type="spellStart"/>
      <w:r w:rsidRPr="000053D2">
        <w:t>Froide</w:t>
      </w:r>
      <w:proofErr w:type="spellEnd"/>
      <w:r w:rsidRPr="000053D2">
        <w:t xml:space="preserve">, </w:t>
      </w:r>
      <w:r w:rsidRPr="000053D2">
        <w:rPr>
          <w:i/>
          <w:iCs/>
        </w:rPr>
        <w:t xml:space="preserve">Never Married: </w:t>
      </w:r>
      <w:proofErr w:type="spellStart"/>
      <w:r w:rsidRPr="000053D2">
        <w:rPr>
          <w:i/>
          <w:iCs/>
        </w:rPr>
        <w:t>Singlewomen</w:t>
      </w:r>
      <w:proofErr w:type="spellEnd"/>
      <w:r w:rsidRPr="000053D2">
        <w:rPr>
          <w:i/>
          <w:iCs/>
        </w:rPr>
        <w:t xml:space="preserve"> in Early Modern England, </w:t>
      </w:r>
      <w:r w:rsidRPr="000053D2">
        <w:t>(Oxford, 2007)</w:t>
      </w:r>
      <w:r w:rsidR="001A779F">
        <w:t>.</w:t>
      </w:r>
    </w:p>
  </w:footnote>
  <w:footnote w:id="60">
    <w:p w14:paraId="5E699E57" w14:textId="60A4B157" w:rsidR="00EC1EEB" w:rsidRPr="00234524" w:rsidRDefault="00EC1EEB" w:rsidP="00EC1EEB">
      <w:pPr>
        <w:pStyle w:val="FootnoteText"/>
      </w:pPr>
      <w:r>
        <w:rPr>
          <w:rStyle w:val="FootnoteReference"/>
        </w:rPr>
        <w:footnoteRef/>
      </w:r>
      <w:r>
        <w:t xml:space="preserve"> Naomi Tadmor, </w:t>
      </w:r>
      <w:r>
        <w:rPr>
          <w:i/>
          <w:iCs/>
        </w:rPr>
        <w:t xml:space="preserve">Family and Friends in Eighteenth-Century England: Household, Kinship and Patronage, </w:t>
      </w:r>
      <w:r>
        <w:t>(Cambridge, 2001)</w:t>
      </w:r>
      <w:r w:rsidR="001A779F">
        <w:t>.</w:t>
      </w:r>
    </w:p>
  </w:footnote>
  <w:footnote w:id="61">
    <w:p w14:paraId="14EC68D8" w14:textId="29343BAF" w:rsidR="00EC1EEB" w:rsidRPr="009425D3" w:rsidRDefault="00EC1EEB" w:rsidP="00EC1EEB">
      <w:pPr>
        <w:pStyle w:val="FootnoteText"/>
      </w:pPr>
      <w:r>
        <w:rPr>
          <w:rStyle w:val="FootnoteReference"/>
        </w:rPr>
        <w:footnoteRef/>
      </w:r>
      <w:r>
        <w:t xml:space="preserve"> Patricia Crawford and Sara Mendelson, </w:t>
      </w:r>
      <w:r>
        <w:rPr>
          <w:i/>
          <w:iCs/>
        </w:rPr>
        <w:t xml:space="preserve">Women in Early Modern England 1550-1720, </w:t>
      </w:r>
      <w:r>
        <w:t xml:space="preserve">(Oxford, 1998); </w:t>
      </w:r>
      <w:r w:rsidRPr="00AE12C0">
        <w:t xml:space="preserve">Richard Grassby, </w:t>
      </w:r>
      <w:r w:rsidRPr="00AE12C0">
        <w:rPr>
          <w:i/>
        </w:rPr>
        <w:t xml:space="preserve">Kinship and Capitalism: Marriage, Family, and Business in the English-Speaking World, 1580-1740, </w:t>
      </w:r>
      <w:r w:rsidRPr="00AE12C0">
        <w:t>(Cambridge, 2001)</w:t>
      </w:r>
      <w:r>
        <w:t xml:space="preserve">; Patricia Crawford, </w:t>
      </w:r>
      <w:r w:rsidRPr="0013107F">
        <w:rPr>
          <w:i/>
          <w:iCs/>
        </w:rPr>
        <w:t>Blood, Bodies and Families in Early Modern England</w:t>
      </w:r>
      <w:r>
        <w:rPr>
          <w:i/>
          <w:iCs/>
        </w:rPr>
        <w:t xml:space="preserve">, </w:t>
      </w:r>
      <w:r>
        <w:t>(Abingdon, 2004);</w:t>
      </w:r>
      <w:r w:rsidRPr="0013107F">
        <w:t xml:space="preserve"> </w:t>
      </w:r>
      <w:r>
        <w:t xml:space="preserve">Laura Gowing, </w:t>
      </w:r>
      <w:r>
        <w:rPr>
          <w:i/>
          <w:iCs/>
        </w:rPr>
        <w:t xml:space="preserve">Gender Relations in Early Modern England, </w:t>
      </w:r>
      <w:r>
        <w:t xml:space="preserve">(London, 2012); </w:t>
      </w:r>
      <w:r w:rsidRPr="00C51C3A">
        <w:t xml:space="preserve">Naomi Tadmor, ‘Early modern kinship in the long-run: reflections on continuity and change’, </w:t>
      </w:r>
      <w:r w:rsidRPr="00C51C3A">
        <w:rPr>
          <w:i/>
        </w:rPr>
        <w:t xml:space="preserve">Continuity and Change, </w:t>
      </w:r>
      <w:r w:rsidRPr="00C51C3A">
        <w:t>Vol. 25, No.1, (2010), pp.15-48</w:t>
      </w:r>
      <w:r>
        <w:t>; Richard Wall, ‘</w:t>
      </w:r>
      <w:r w:rsidRPr="00916D50">
        <w:t>Bequests to widows and their property in early modern England</w:t>
      </w:r>
      <w:r>
        <w:t xml:space="preserve">’, </w:t>
      </w:r>
      <w:r>
        <w:rPr>
          <w:i/>
          <w:iCs/>
        </w:rPr>
        <w:t xml:space="preserve">History of the Family, </w:t>
      </w:r>
      <w:r>
        <w:t xml:space="preserve">Vol. 15, No.3, (2010), pp.222-238; </w:t>
      </w:r>
      <w:r w:rsidRPr="00330325">
        <w:t xml:space="preserve">Olwen Hufton, </w:t>
      </w:r>
      <w:r w:rsidRPr="00330325">
        <w:rPr>
          <w:i/>
          <w:iCs/>
        </w:rPr>
        <w:t xml:space="preserve">The Prospect Before Her: A History of Women in Western Europe, Vol. 1 (1500-1800), </w:t>
      </w:r>
      <w:r w:rsidRPr="00330325">
        <w:t xml:space="preserve">(London, 1995); </w:t>
      </w:r>
      <w:r>
        <w:t xml:space="preserve">Judith M. Bennett, </w:t>
      </w:r>
      <w:r>
        <w:rPr>
          <w:i/>
          <w:iCs/>
        </w:rPr>
        <w:t xml:space="preserve">Ale, Beer, and Brewsters in England: Women’s Work in a Changing World, 1300-1600, </w:t>
      </w:r>
      <w:r>
        <w:t xml:space="preserve">(Oxford, 1996); Jan de Vries, </w:t>
      </w:r>
      <w:r>
        <w:rPr>
          <w:i/>
          <w:iCs/>
        </w:rPr>
        <w:t xml:space="preserve">The Industrious Revolution: Consumer Behaviour and the Household Economy, 1650 to the Present, </w:t>
      </w:r>
      <w:r>
        <w:t>(Cambridge, 2008)</w:t>
      </w:r>
      <w:r w:rsidR="001A779F">
        <w:t>.</w:t>
      </w:r>
    </w:p>
  </w:footnote>
  <w:footnote w:id="62">
    <w:p w14:paraId="4C7ED5E6" w14:textId="53E283B0" w:rsidR="00EC1EEB" w:rsidRDefault="00EC1EEB" w:rsidP="00EC1EEB">
      <w:pPr>
        <w:pStyle w:val="FootnoteText"/>
      </w:pPr>
      <w:r>
        <w:rPr>
          <w:rStyle w:val="FootnoteReference"/>
        </w:rPr>
        <w:footnoteRef/>
      </w:r>
      <w:r>
        <w:t xml:space="preserve"> </w:t>
      </w:r>
      <w:r w:rsidRPr="00C01196">
        <w:t>Amy L</w:t>
      </w:r>
      <w:r>
        <w:t>ouise</w:t>
      </w:r>
      <w:r w:rsidRPr="00C01196">
        <w:t xml:space="preserve"> Erickson,</w:t>
      </w:r>
      <w:r>
        <w:t xml:space="preserve"> </w:t>
      </w:r>
      <w:r>
        <w:rPr>
          <w:i/>
          <w:iCs/>
        </w:rPr>
        <w:t xml:space="preserve">Women and Property in Early Modern England, </w:t>
      </w:r>
      <w:r>
        <w:t xml:space="preserve">(London, 1993); Amy Louise Erickson, ‘Property and widowhood in England 1660-1840’, in </w:t>
      </w:r>
      <w:r w:rsidRPr="00747FAF">
        <w:t xml:space="preserve">Cavallo and Warner (eds), </w:t>
      </w:r>
      <w:r w:rsidRPr="00747FAF">
        <w:rPr>
          <w:i/>
          <w:iCs/>
        </w:rPr>
        <w:t xml:space="preserve">Widowhood, </w:t>
      </w:r>
      <w:r w:rsidRPr="00295992">
        <w:t>pp</w:t>
      </w:r>
      <w:r w:rsidRPr="00747FAF">
        <w:t>.</w:t>
      </w:r>
      <w:r>
        <w:t xml:space="preserve">145-163; </w:t>
      </w:r>
      <w:r w:rsidRPr="00A94AE5">
        <w:t>Amy L</w:t>
      </w:r>
      <w:r>
        <w:t>ouise</w:t>
      </w:r>
      <w:r w:rsidRPr="00A94AE5">
        <w:t xml:space="preserve"> Erickson,</w:t>
      </w:r>
      <w:r>
        <w:t xml:space="preserve"> ‘Possession – and the other one-tenth of the law: assessing women’s ownership and economic roles in early modern England’, </w:t>
      </w:r>
      <w:r>
        <w:rPr>
          <w:i/>
          <w:iCs/>
        </w:rPr>
        <w:t xml:space="preserve">Women’s History Review, </w:t>
      </w:r>
      <w:r>
        <w:t>Vol. 16, No. 3, (2007) pp.369-385;</w:t>
      </w:r>
      <w:r w:rsidRPr="008B784D">
        <w:t xml:space="preserve"> </w:t>
      </w:r>
      <w:r w:rsidRPr="00C75A86">
        <w:t xml:space="preserve">Jane Whittle, ‘Enterprising widows and active wives: women’s unpaid work in the household economy of early modern England’, </w:t>
      </w:r>
      <w:r w:rsidRPr="00C75A86">
        <w:rPr>
          <w:i/>
          <w:iCs/>
        </w:rPr>
        <w:t xml:space="preserve">The History of the Family, </w:t>
      </w:r>
      <w:r w:rsidRPr="00C75A86">
        <w:t>Vol. 19, No. 3, (2014), pp.283-300</w:t>
      </w:r>
      <w:r>
        <w:t>; Jane Whittle, ‘</w:t>
      </w:r>
      <w:r w:rsidRPr="009173F5">
        <w:t>Inheritance, marriage, widowhood and remarriage : A comparative perspective on women and landholding in north-east Norfolk, 1440-1580</w:t>
      </w:r>
      <w:r>
        <w:t xml:space="preserve">’, </w:t>
      </w:r>
      <w:r>
        <w:rPr>
          <w:i/>
          <w:iCs/>
        </w:rPr>
        <w:t xml:space="preserve">Continuity and Change, </w:t>
      </w:r>
      <w:r>
        <w:t>Vol. 13, No. 1, (1998), pp.33-72</w:t>
      </w:r>
      <w:r w:rsidR="001A779F">
        <w:t>.</w:t>
      </w:r>
    </w:p>
  </w:footnote>
  <w:footnote w:id="63">
    <w:p w14:paraId="38E0B192" w14:textId="7F3457D2" w:rsidR="00EC1EEB" w:rsidRPr="00513E78" w:rsidRDefault="00EC1EEB" w:rsidP="00EC1EEB">
      <w:pPr>
        <w:pStyle w:val="FootnoteText"/>
      </w:pPr>
      <w:r>
        <w:rPr>
          <w:rStyle w:val="FootnoteReference"/>
        </w:rPr>
        <w:footnoteRef/>
      </w:r>
      <w:r>
        <w:t xml:space="preserve"> </w:t>
      </w:r>
      <w:r w:rsidRPr="00FC6974">
        <w:t xml:space="preserve">Peter Rushton, ‘Property, power and family networks: the problem of disputed marriage in early modern England’, </w:t>
      </w:r>
      <w:r w:rsidRPr="00FC6974">
        <w:rPr>
          <w:i/>
          <w:iCs/>
        </w:rPr>
        <w:t xml:space="preserve">Journal of Family History, </w:t>
      </w:r>
      <w:r w:rsidRPr="00FC6974">
        <w:t>Vol. 11, No. 3, (1986), pp.205-219</w:t>
      </w:r>
      <w:r>
        <w:t xml:space="preserve">; Diane O’Hara, ‘The language of tokens and the making of marriage’, </w:t>
      </w:r>
      <w:r>
        <w:rPr>
          <w:i/>
          <w:iCs/>
        </w:rPr>
        <w:t xml:space="preserve">Rural History, </w:t>
      </w:r>
      <w:r>
        <w:t>Vol. 3, No.1, (1992), pp.1-40;</w:t>
      </w:r>
      <w:r w:rsidRPr="00DC2704">
        <w:rPr>
          <w:sz w:val="24"/>
        </w:rPr>
        <w:t xml:space="preserve"> </w:t>
      </w:r>
      <w:r w:rsidRPr="00DC2704">
        <w:t xml:space="preserve">Juana Green, ‘Properties of marriage: proprietary conflict and the calculus of gender in </w:t>
      </w:r>
      <w:proofErr w:type="spellStart"/>
      <w:r w:rsidRPr="00DC2704">
        <w:rPr>
          <w:i/>
          <w:iCs/>
        </w:rPr>
        <w:t>Epicoene</w:t>
      </w:r>
      <w:proofErr w:type="spellEnd"/>
      <w:r w:rsidRPr="00DC2704">
        <w:t xml:space="preserve">’, in Jonathan Gil Harris and Natasha Korda (eds), </w:t>
      </w:r>
      <w:r w:rsidRPr="00DC2704">
        <w:rPr>
          <w:i/>
          <w:iCs/>
        </w:rPr>
        <w:t xml:space="preserve">Staged Properties in Early Modern English Drama, </w:t>
      </w:r>
      <w:r w:rsidRPr="00DC2704">
        <w:t>(Cambridge, 2002), pp.261-288</w:t>
      </w:r>
      <w:r>
        <w:t>;</w:t>
      </w:r>
      <w:r w:rsidRPr="00DC2704">
        <w:rPr>
          <w:sz w:val="24"/>
        </w:rPr>
        <w:t xml:space="preserve"> </w:t>
      </w:r>
      <w:r w:rsidRPr="00DC2704">
        <w:t xml:space="preserve">Joanne </w:t>
      </w:r>
      <w:proofErr w:type="spellStart"/>
      <w:r w:rsidRPr="00DC2704">
        <w:t>Begiato</w:t>
      </w:r>
      <w:proofErr w:type="spellEnd"/>
      <w:r w:rsidRPr="00DC2704">
        <w:t xml:space="preserve">, </w:t>
      </w:r>
      <w:r w:rsidRPr="00DC2704">
        <w:rPr>
          <w:i/>
          <w:iCs/>
        </w:rPr>
        <w:t xml:space="preserve">Unquiet Lives: Marriage and Marriage Breakdown in England, 1660–1800, </w:t>
      </w:r>
      <w:r w:rsidRPr="00DC2704">
        <w:t>(Cambridge, 2009);</w:t>
      </w:r>
      <w:r w:rsidRPr="003701B6">
        <w:t xml:space="preserve"> John Addy, </w:t>
      </w:r>
      <w:r w:rsidRPr="003701B6">
        <w:rPr>
          <w:i/>
          <w:iCs/>
        </w:rPr>
        <w:t xml:space="preserve">Sin &amp; Society in the Seventeenth Century, </w:t>
      </w:r>
      <w:r w:rsidRPr="003701B6">
        <w:t>(Abingdon, 2013)</w:t>
      </w:r>
      <w:r w:rsidR="00527BDF">
        <w:t>.</w:t>
      </w:r>
    </w:p>
  </w:footnote>
  <w:footnote w:id="64">
    <w:p w14:paraId="1F08FFCA" w14:textId="161A2148" w:rsidR="00EC1EEB" w:rsidRPr="00504310" w:rsidRDefault="00EC1EEB" w:rsidP="00EC1EEB">
      <w:pPr>
        <w:pStyle w:val="FootnoteText"/>
      </w:pPr>
      <w:r>
        <w:rPr>
          <w:rStyle w:val="FootnoteReference"/>
        </w:rPr>
        <w:footnoteRef/>
      </w:r>
      <w:r>
        <w:t xml:space="preserve"> </w:t>
      </w:r>
      <w:r w:rsidRPr="00B30B3A">
        <w:t xml:space="preserve">David Cressy, </w:t>
      </w:r>
      <w:r w:rsidRPr="00B30B3A">
        <w:rPr>
          <w:i/>
          <w:iCs/>
        </w:rPr>
        <w:t>Birth, Marriage, and Death: Ritual, Religion, and the Life-Cycle in Tudor and Stuart England</w:t>
      </w:r>
      <w:r>
        <w:t>, (Oxford, 1997); Christine Peters, ‘</w:t>
      </w:r>
      <w:r w:rsidRPr="00A7638C">
        <w:t xml:space="preserve">Gender, </w:t>
      </w:r>
      <w:r>
        <w:t>s</w:t>
      </w:r>
      <w:r w:rsidRPr="00A7638C">
        <w:t xml:space="preserve">acrament and </w:t>
      </w:r>
      <w:r>
        <w:t>r</w:t>
      </w:r>
      <w:r w:rsidRPr="00A7638C">
        <w:t xml:space="preserve">itual: </w:t>
      </w:r>
      <w:r>
        <w:t>t</w:t>
      </w:r>
      <w:r w:rsidRPr="00A7638C">
        <w:t xml:space="preserve">he </w:t>
      </w:r>
      <w:r>
        <w:t>m</w:t>
      </w:r>
      <w:r w:rsidRPr="00A7638C">
        <w:t xml:space="preserve">aking and </w:t>
      </w:r>
      <w:r>
        <w:t>m</w:t>
      </w:r>
      <w:r w:rsidRPr="00A7638C">
        <w:t xml:space="preserve">eaning of </w:t>
      </w:r>
      <w:r>
        <w:t>m</w:t>
      </w:r>
      <w:r w:rsidRPr="00A7638C">
        <w:t xml:space="preserve">arriage in </w:t>
      </w:r>
      <w:r>
        <w:t>l</w:t>
      </w:r>
      <w:r w:rsidRPr="00A7638C">
        <w:t xml:space="preserve">ate </w:t>
      </w:r>
      <w:r>
        <w:t>m</w:t>
      </w:r>
      <w:r w:rsidRPr="00A7638C">
        <w:t xml:space="preserve">edieval and </w:t>
      </w:r>
      <w:r>
        <w:t>e</w:t>
      </w:r>
      <w:r w:rsidRPr="00A7638C">
        <w:t xml:space="preserve">arly </w:t>
      </w:r>
      <w:r>
        <w:t>m</w:t>
      </w:r>
      <w:r w:rsidRPr="00A7638C">
        <w:t>odern England</w:t>
      </w:r>
      <w:r>
        <w:t xml:space="preserve">’, </w:t>
      </w:r>
      <w:r>
        <w:rPr>
          <w:i/>
          <w:iCs/>
        </w:rPr>
        <w:t xml:space="preserve">Past &amp; Present, </w:t>
      </w:r>
      <w:r>
        <w:t xml:space="preserve">No. 169, (2000), pp.63-96; </w:t>
      </w:r>
      <w:r w:rsidRPr="00504310">
        <w:t xml:space="preserve">Joanne </w:t>
      </w:r>
      <w:proofErr w:type="spellStart"/>
      <w:r w:rsidRPr="00504310">
        <w:t>Begiato</w:t>
      </w:r>
      <w:proofErr w:type="spellEnd"/>
      <w:r w:rsidRPr="00504310">
        <w:t xml:space="preserve">, </w:t>
      </w:r>
      <w:r>
        <w:t>‘</w:t>
      </w:r>
      <w:r w:rsidRPr="00504310">
        <w:t>”So now you are wed enough”:  clandestine unions in the north-west of England in the first half of the eighteenth century</w:t>
      </w:r>
      <w:r>
        <w:t xml:space="preserve">’, in Michael Lobban, Joanne </w:t>
      </w:r>
      <w:proofErr w:type="spellStart"/>
      <w:r>
        <w:t>Begiato</w:t>
      </w:r>
      <w:proofErr w:type="spellEnd"/>
      <w:r>
        <w:t xml:space="preserve"> and Adrian Green (eds), </w:t>
      </w:r>
      <w:r w:rsidRPr="00504310">
        <w:rPr>
          <w:i/>
          <w:iCs/>
        </w:rPr>
        <w:t>Law, Lawyers and Litigants in Early Modern England: Essays in Memory of Christopher W. Brooks</w:t>
      </w:r>
      <w:r>
        <w:rPr>
          <w:i/>
          <w:iCs/>
        </w:rPr>
        <w:t xml:space="preserve">, </w:t>
      </w:r>
      <w:r>
        <w:t>(Cambridge, 2019), pp.207-208</w:t>
      </w:r>
      <w:r w:rsidR="00527BDF">
        <w:t>.</w:t>
      </w:r>
    </w:p>
  </w:footnote>
  <w:footnote w:id="65">
    <w:p w14:paraId="3749A261" w14:textId="037B82BA" w:rsidR="00EC1EEB" w:rsidRDefault="00EC1EEB" w:rsidP="00EC1EEB">
      <w:pPr>
        <w:pStyle w:val="FootnoteText"/>
      </w:pPr>
      <w:r>
        <w:rPr>
          <w:rStyle w:val="FootnoteReference"/>
        </w:rPr>
        <w:footnoteRef/>
      </w:r>
      <w:r>
        <w:t xml:space="preserve"> </w:t>
      </w:r>
      <w:r w:rsidRPr="00D20BEC">
        <w:rPr>
          <w:noProof/>
        </w:rPr>
        <w:fldChar w:fldCharType="begin" w:fldLock="1"/>
      </w:r>
      <w:r w:rsidRPr="00D20BEC">
        <w:rPr>
          <w:noProof/>
        </w:rPr>
        <w:instrText>ADDIN CSL_CITATION {"citationItems":[{"id":"ITEM-1","itemData":{"DOI":"10.1177/13684310222225432","ISSN":"13684310","abstract":"This article works out the main characteristics of ‘practice theory’, a type of social theory which has been sketched by such authors as Bourdieu, Giddens, Taylor, late Foucault and others. Practice theory is presented as a conceptual alternative to other forms of social and cultural theory, above all to culturalist mentalism, textualism and intersubjectivism. The article shows how practice theory and the three other cultural-theoretical vocabularies differ in their localization of the social and in their conceptualization of the body, mind, things, knowledge, discourse, structure/process and the agent. © 2002, Sage Publications. All rights reserved.","author":[{"dropping-particle":"","family":"Reckwitz","given":"Andreas","non-dropping-particle":"","parse-names":false,"suffix":""}],"container-title":"European Journal of Social Theory","id":"ITEM-1","issue":"2","issued":{"date-parts":[["2002"]]},"number-of-pages":"243-263","title":"Toward a Theory of Social Practices: A Development in Culturalist Theorizing","type":"report","volume":"5"},"uris":["http://www.mendeley.com/documents/?uuid=97a98211-e6e0-325d-9276-89918e8f7f69"]}],"mendeley":{"formattedCitation":"Andreas Reckwitz, &lt;i&gt;Toward a Theory of Social Practices: A Development in Culturalist Theorizing&lt;/i&gt; (&lt;i&gt;European Journal of Social Theory&lt;/i&gt;, 2002), v.","plainTextFormattedCitation":"Andreas Reckwitz, Toward a Theory of Social Practices: A Development in Culturalist Theorizing (European Journal of Social Theory, 2002), v.","previouslyFormattedCitation":"Andreas Reckwitz, &lt;i&gt;Toward a Theory of Social Practices: A Development in Culturalist Theorizing&lt;/i&gt; (&lt;i&gt;European Journal of Social Theory&lt;/i&gt;, 2002), v."},"properties":{"noteIndex":1},"schema":"https://github.com/citation-style-language/schema/raw/master/csl-citation.json"}</w:instrText>
      </w:r>
      <w:r w:rsidRPr="00D20BEC">
        <w:rPr>
          <w:noProof/>
        </w:rPr>
        <w:fldChar w:fldCharType="separate"/>
      </w:r>
      <w:r w:rsidRPr="00D20BEC">
        <w:rPr>
          <w:noProof/>
        </w:rPr>
        <w:t xml:space="preserve">Andreas Reckwitz, 'Toward a theory of social practices: a development in culturalist theorizing', </w:t>
      </w:r>
      <w:r w:rsidRPr="00D20BEC">
        <w:rPr>
          <w:i/>
          <w:noProof/>
        </w:rPr>
        <w:t>European Journal of Social Theory</w:t>
      </w:r>
      <w:r w:rsidRPr="00D20BEC">
        <w:rPr>
          <w:noProof/>
        </w:rPr>
        <w:t xml:space="preserve">, Vol.5, No.2, (2002), </w:t>
      </w:r>
      <w:r w:rsidRPr="00D20BEC">
        <w:rPr>
          <w:noProof/>
        </w:rPr>
        <w:fldChar w:fldCharType="end"/>
      </w:r>
      <w:r w:rsidRPr="00D20BEC">
        <w:rPr>
          <w:noProof/>
        </w:rPr>
        <w:t>pp.243-263</w:t>
      </w:r>
      <w:r>
        <w:rPr>
          <w:noProof/>
        </w:rPr>
        <w:t>, p.244</w:t>
      </w:r>
      <w:r w:rsidR="00527BDF">
        <w:rPr>
          <w:noProof/>
        </w:rPr>
        <w:t>.</w:t>
      </w:r>
    </w:p>
  </w:footnote>
  <w:footnote w:id="66">
    <w:p w14:paraId="1EE72D58" w14:textId="479576CF" w:rsidR="00EC1EEB" w:rsidRPr="00FE3BA4" w:rsidRDefault="00EC1EEB" w:rsidP="00EC1EEB">
      <w:pPr>
        <w:pStyle w:val="FootnoteText"/>
      </w:pPr>
      <w:r>
        <w:rPr>
          <w:rStyle w:val="FootnoteReference"/>
        </w:rPr>
        <w:footnoteRef/>
      </w:r>
      <w:r>
        <w:t xml:space="preserve"> Anthony Giddens, </w:t>
      </w:r>
      <w:r>
        <w:rPr>
          <w:i/>
          <w:iCs/>
        </w:rPr>
        <w:t xml:space="preserve">Central Problems in Social Theory: Action, Structure and Contradiction in Social Analysis, </w:t>
      </w:r>
      <w:r>
        <w:t xml:space="preserve">(London, 1979); Anthony Giddens, </w:t>
      </w:r>
      <w:r>
        <w:rPr>
          <w:i/>
          <w:iCs/>
        </w:rPr>
        <w:t xml:space="preserve">The Constitution of Society: Outline of the Theory of Structuration, </w:t>
      </w:r>
      <w:r>
        <w:t xml:space="preserve">(Cambridge, 1984); Pierre Bourdieu, </w:t>
      </w:r>
      <w:r>
        <w:rPr>
          <w:i/>
          <w:iCs/>
        </w:rPr>
        <w:t xml:space="preserve">Outline of a Theory of Practice, </w:t>
      </w:r>
      <w:r>
        <w:t xml:space="preserve">(Cambridge, 1977); Pierre Bourdieu, </w:t>
      </w:r>
      <w:r>
        <w:rPr>
          <w:i/>
          <w:iCs/>
        </w:rPr>
        <w:t xml:space="preserve">The Logic of Practice, </w:t>
      </w:r>
      <w:r>
        <w:t>(Cambridge, 1990);</w:t>
      </w:r>
      <w:r w:rsidRPr="00FE3BA4">
        <w:t xml:space="preserve"> </w:t>
      </w:r>
      <w:r>
        <w:t xml:space="preserve">Pierre Bourdieu, </w:t>
      </w:r>
      <w:r>
        <w:rPr>
          <w:i/>
          <w:iCs/>
        </w:rPr>
        <w:t xml:space="preserve">Language and Symbolic Power, </w:t>
      </w:r>
      <w:r>
        <w:t>(Cambridge, 1992)</w:t>
      </w:r>
      <w:r w:rsidR="00527BDF">
        <w:t>.</w:t>
      </w:r>
    </w:p>
  </w:footnote>
  <w:footnote w:id="67">
    <w:p w14:paraId="25C35519" w14:textId="3452DC8F" w:rsidR="00EC1EEB" w:rsidRDefault="00EC1EEB" w:rsidP="00EC1EEB">
      <w:pPr>
        <w:pStyle w:val="FootnoteText"/>
      </w:pPr>
      <w:r>
        <w:rPr>
          <w:rStyle w:val="FootnoteReference"/>
        </w:rPr>
        <w:footnoteRef/>
      </w:r>
      <w:r>
        <w:t xml:space="preserve"> Elizabeth Shove, Mika </w:t>
      </w:r>
      <w:proofErr w:type="spellStart"/>
      <w:r>
        <w:t>Pantzar</w:t>
      </w:r>
      <w:proofErr w:type="spellEnd"/>
      <w:r>
        <w:t xml:space="preserve"> and Matt Watson, </w:t>
      </w:r>
      <w:r>
        <w:rPr>
          <w:i/>
          <w:iCs/>
        </w:rPr>
        <w:t xml:space="preserve">The Dynamics of Social Practice: Everyday Life and How It Changes, </w:t>
      </w:r>
      <w:r>
        <w:t>(Newbury Park, 2012), p.5</w:t>
      </w:r>
      <w:r w:rsidR="00527BDF">
        <w:t>.</w:t>
      </w:r>
    </w:p>
  </w:footnote>
  <w:footnote w:id="68">
    <w:p w14:paraId="51A46889" w14:textId="69E41C42" w:rsidR="00EC1EEB" w:rsidRDefault="00EC1EEB" w:rsidP="00EC1EEB">
      <w:pPr>
        <w:pStyle w:val="FootnoteText"/>
      </w:pPr>
      <w:r>
        <w:rPr>
          <w:rStyle w:val="FootnoteReference"/>
        </w:rPr>
        <w:footnoteRef/>
      </w:r>
      <w:r>
        <w:t xml:space="preserve"> </w:t>
      </w:r>
      <w:r w:rsidRPr="005D5346">
        <w:rPr>
          <w:noProof/>
        </w:rPr>
        <w:t>Reckwitz, '</w:t>
      </w:r>
      <w:r>
        <w:rPr>
          <w:noProof/>
        </w:rPr>
        <w:t>Toward a t</w:t>
      </w:r>
      <w:r w:rsidRPr="005D5346">
        <w:rPr>
          <w:noProof/>
        </w:rPr>
        <w:t>heory</w:t>
      </w:r>
      <w:r>
        <w:rPr>
          <w:noProof/>
        </w:rPr>
        <w:t>'</w:t>
      </w:r>
      <w:r w:rsidR="00527BDF">
        <w:rPr>
          <w:noProof/>
        </w:rPr>
        <w:t>.</w:t>
      </w:r>
    </w:p>
  </w:footnote>
  <w:footnote w:id="69">
    <w:p w14:paraId="2B4B4269" w14:textId="6F1D06A9" w:rsidR="00EC1EEB" w:rsidRDefault="00EC1EEB" w:rsidP="00EC1EEB">
      <w:pPr>
        <w:pStyle w:val="FootnoteText"/>
      </w:pPr>
      <w:r>
        <w:rPr>
          <w:rStyle w:val="FootnoteReference"/>
        </w:rPr>
        <w:footnoteRef/>
      </w:r>
      <w:r>
        <w:t xml:space="preserve"> </w:t>
      </w:r>
      <w:r w:rsidRPr="008B6C4A">
        <w:t>Ibid., p.245</w:t>
      </w:r>
      <w:r w:rsidR="00527BDF">
        <w:t>.</w:t>
      </w:r>
    </w:p>
  </w:footnote>
  <w:footnote w:id="70">
    <w:p w14:paraId="013F8C8A" w14:textId="77777777" w:rsidR="00EC1EEB" w:rsidRDefault="00EC1EEB" w:rsidP="00EC1EEB">
      <w:pPr>
        <w:pStyle w:val="FootnoteText"/>
      </w:pPr>
      <w:r>
        <w:rPr>
          <w:rStyle w:val="FootnoteReference"/>
        </w:rPr>
        <w:footnoteRef/>
      </w:r>
      <w:r>
        <w:t xml:space="preserve"> Ibid.</w:t>
      </w:r>
    </w:p>
  </w:footnote>
  <w:footnote w:id="71">
    <w:p w14:paraId="7DFF4E2A" w14:textId="4BFBAEF4" w:rsidR="00EC1EEB" w:rsidRDefault="00EC1EEB" w:rsidP="00EC1EEB">
      <w:pPr>
        <w:pStyle w:val="FootnoteText"/>
      </w:pPr>
      <w:r>
        <w:rPr>
          <w:rStyle w:val="FootnoteReference"/>
        </w:rPr>
        <w:footnoteRef/>
      </w:r>
      <w:r>
        <w:t xml:space="preserve"> Sherry Ortner, ‘Theory in anthropology since the sixties’, </w:t>
      </w:r>
      <w:r>
        <w:rPr>
          <w:i/>
          <w:iCs/>
        </w:rPr>
        <w:t xml:space="preserve">Comparative Studies in Society and History, </w:t>
      </w:r>
      <w:r>
        <w:t>Vol. 26, No. 1, (1984), pp.126-166, p.159</w:t>
      </w:r>
      <w:r w:rsidR="00527BDF">
        <w:t>.</w:t>
      </w:r>
    </w:p>
  </w:footnote>
  <w:footnote w:id="72">
    <w:p w14:paraId="46669EC4" w14:textId="1173929F" w:rsidR="00EC1EEB" w:rsidRDefault="00EC1EEB" w:rsidP="00EC1EEB">
      <w:pPr>
        <w:pStyle w:val="FootnoteText"/>
      </w:pPr>
      <w:r>
        <w:rPr>
          <w:rStyle w:val="FootnoteReference"/>
        </w:rPr>
        <w:footnoteRef/>
      </w:r>
      <w:r>
        <w:t xml:space="preserve"> </w:t>
      </w:r>
      <w:r w:rsidRPr="005D5346">
        <w:rPr>
          <w:noProof/>
        </w:rPr>
        <w:t>Reckwitz, '</w:t>
      </w:r>
      <w:r>
        <w:rPr>
          <w:noProof/>
        </w:rPr>
        <w:t>Toward a t</w:t>
      </w:r>
      <w:r w:rsidRPr="005D5346">
        <w:rPr>
          <w:noProof/>
        </w:rPr>
        <w:t>heory</w:t>
      </w:r>
      <w:r>
        <w:rPr>
          <w:noProof/>
        </w:rPr>
        <w:t xml:space="preserve">', </w:t>
      </w:r>
      <w:r>
        <w:t>p.259</w:t>
      </w:r>
      <w:r w:rsidR="00527BDF">
        <w:t>.</w:t>
      </w:r>
    </w:p>
  </w:footnote>
  <w:footnote w:id="73">
    <w:p w14:paraId="69E58DCE" w14:textId="19CC9849" w:rsidR="00EC1EEB" w:rsidRDefault="00EC1EEB" w:rsidP="00EC1EEB">
      <w:pPr>
        <w:pStyle w:val="FootnoteText"/>
      </w:pPr>
      <w:r>
        <w:rPr>
          <w:rStyle w:val="FootnoteReference"/>
        </w:rPr>
        <w:footnoteRef/>
      </w:r>
      <w:r>
        <w:t xml:space="preserve"> Andreas Reckwitz, ‘Affective spaces: a praxeological outlook’, </w:t>
      </w:r>
      <w:r>
        <w:rPr>
          <w:i/>
          <w:iCs/>
        </w:rPr>
        <w:t xml:space="preserve">Rethinking History, </w:t>
      </w:r>
      <w:r>
        <w:t>Vol. 16, No. 2, (2012), pp.241-258, p.248</w:t>
      </w:r>
      <w:r w:rsidR="00527BDF">
        <w:t>.</w:t>
      </w:r>
    </w:p>
  </w:footnote>
  <w:footnote w:id="74">
    <w:p w14:paraId="267E186A" w14:textId="58FAD6AD" w:rsidR="00EC1EEB" w:rsidRDefault="00EC1EEB" w:rsidP="00EC1EEB">
      <w:pPr>
        <w:pStyle w:val="FootnoteText"/>
      </w:pPr>
      <w:r>
        <w:rPr>
          <w:rStyle w:val="FootnoteReference"/>
        </w:rPr>
        <w:footnoteRef/>
      </w:r>
      <w:r>
        <w:t xml:space="preserve"> Theodore Schatzki, </w:t>
      </w:r>
      <w:r>
        <w:rPr>
          <w:i/>
          <w:iCs/>
        </w:rPr>
        <w:t xml:space="preserve">The Site of the Social: A Philosophical Exploration of the Constitution of Social Life and Change, </w:t>
      </w:r>
      <w:r>
        <w:t>(Pennsylvania, 2002);</w:t>
      </w:r>
      <w:r>
        <w:rPr>
          <w:i/>
          <w:iCs/>
        </w:rPr>
        <w:t xml:space="preserve"> </w:t>
      </w:r>
      <w:r>
        <w:t xml:space="preserve">Theodore Schatzki, ‘A primer on practices: theory and research’, in Joy Higgs, Ronald Barnett and Stephen Billett (eds), </w:t>
      </w:r>
      <w:r>
        <w:rPr>
          <w:i/>
          <w:iCs/>
        </w:rPr>
        <w:t xml:space="preserve">Practice-Based Education: Perspectives and Strategies, </w:t>
      </w:r>
      <w:r>
        <w:t>(Rotterdam, 2012), pp.13-26, p.15</w:t>
      </w:r>
      <w:r w:rsidR="00527BDF">
        <w:t>.</w:t>
      </w:r>
    </w:p>
  </w:footnote>
  <w:footnote w:id="75">
    <w:p w14:paraId="4E7B68A8" w14:textId="2A0A807E" w:rsidR="00EC1EEB" w:rsidRPr="00865E88" w:rsidRDefault="00EC1EEB" w:rsidP="00EC1EEB">
      <w:pPr>
        <w:pStyle w:val="FootnoteText"/>
      </w:pPr>
      <w:r>
        <w:rPr>
          <w:rStyle w:val="FootnoteReference"/>
        </w:rPr>
        <w:footnoteRef/>
      </w:r>
      <w:r>
        <w:t xml:space="preserve"> Stephen </w:t>
      </w:r>
      <w:proofErr w:type="spellStart"/>
      <w:r>
        <w:t>Satris</w:t>
      </w:r>
      <w:proofErr w:type="spellEnd"/>
      <w:r>
        <w:t xml:space="preserve">, ‘Review: Theodore Schatzki, </w:t>
      </w:r>
      <w:r>
        <w:rPr>
          <w:i/>
          <w:iCs/>
        </w:rPr>
        <w:t xml:space="preserve">Social Practices: A </w:t>
      </w:r>
      <w:proofErr w:type="spellStart"/>
      <w:r>
        <w:rPr>
          <w:i/>
          <w:iCs/>
        </w:rPr>
        <w:t>Wittgensteinian</w:t>
      </w:r>
      <w:proofErr w:type="spellEnd"/>
      <w:r>
        <w:rPr>
          <w:i/>
          <w:iCs/>
        </w:rPr>
        <w:t xml:space="preserve"> Approach to Human Activity and the Social, </w:t>
      </w:r>
      <w:r>
        <w:t xml:space="preserve">(Cambridge, 1996)’, </w:t>
      </w:r>
      <w:r>
        <w:rPr>
          <w:i/>
          <w:iCs/>
        </w:rPr>
        <w:t xml:space="preserve">The Review of Metaphysics, </w:t>
      </w:r>
      <w:r>
        <w:t>Vol. 52, No. 1, (1998), pp.174-175, p.175</w:t>
      </w:r>
      <w:r w:rsidR="00527BDF">
        <w:t>.</w:t>
      </w:r>
    </w:p>
  </w:footnote>
  <w:footnote w:id="76">
    <w:p w14:paraId="6F6AE02D" w14:textId="6FF02CD9" w:rsidR="00EC1EEB" w:rsidRDefault="00EC1EEB" w:rsidP="00EC1EEB">
      <w:pPr>
        <w:pStyle w:val="FootnoteText"/>
      </w:pPr>
      <w:r>
        <w:rPr>
          <w:rStyle w:val="FootnoteReference"/>
        </w:rPr>
        <w:footnoteRef/>
      </w:r>
      <w:r>
        <w:t xml:space="preserve"> </w:t>
      </w:r>
      <w:r w:rsidRPr="00D20BEC">
        <w:fldChar w:fldCharType="begin" w:fldLock="1"/>
      </w:r>
      <w:r w:rsidRPr="00D20BEC">
        <w:instrText>ADDIN CSL_CITATION {"citationItems":[{"id":"ITEM-1","itemData":{"DOI":"10.1177/13684310222225432","ISSN":"13684310","abstract":"This article works out the main characteristics of ‘practice theory’, a type of social theory which has been sketched by such authors as Bourdieu, Giddens, Taylor, late Foucault and others. Practice theory is presented as a conceptual alternative to other forms of social and cultural theory, above all to culturalist mentalism, textualism and intersubjectivism. The article shows how practice theory and the three other cultural-theoretical vocabularies differ in their localization of the social and in their conceptualization of the body, mind, things, knowledge, discourse, structure/process and the agent. © 2002, Sage Publications. All rights reserved.","author":[{"dropping-particle":"","family":"Reckwitz","given":"Andreas","non-dropping-particle":"","parse-names":false,"suffix":""}],"container-title":"European Journal of Social Theory","id":"ITEM-1","issue":"2","issued":{"date-parts":[["2002"]]},"number-of-pages":"243-263","title":"Toward a Theory of Social Practices: A Development in Culturalist Theorizing","type":"report","volume":"5"},"uris":["http://www.mendeley.com/documents/?uuid=97a98211-e6e0-325d-9276-89918e8f7f69"]}],"mendeley":{"formattedCitation":"Andreas Reckwitz, &lt;i&gt;Toward a Theory of Social Practices: A Development in Culturalist Theorizing&lt;/i&gt; (&lt;i&gt;European Journal of Social Theory&lt;/i&gt;, 2002), v.","plainTextFormattedCitation":"Andreas Reckwitz, Toward a Theory of Social Practices: A Development in Culturalist Theorizing (European Journal of Social Theory, 2002), v.","previouslyFormattedCitation":"Andreas Reckwitz, &lt;i&gt;Toward a Theory of Social Practices: A Development in Culturalist Theorizing&lt;/i&gt; (&lt;i&gt;European Journal of Social Theory&lt;/i&gt;, 2002), v."},"properties":{"noteIndex":1},"schema":"https://github.com/citation-style-language/schema/raw/master/csl-citation.json"}</w:instrText>
      </w:r>
      <w:r w:rsidRPr="00D20BEC">
        <w:fldChar w:fldCharType="separate"/>
      </w:r>
      <w:r w:rsidRPr="00D20BEC">
        <w:t xml:space="preserve">Reckwitz, 'Toward a theory', </w:t>
      </w:r>
      <w:r w:rsidRPr="00D20BEC">
        <w:fldChar w:fldCharType="end"/>
      </w:r>
      <w:r>
        <w:t>p.259</w:t>
      </w:r>
      <w:r w:rsidR="00527BDF">
        <w:t>.</w:t>
      </w:r>
    </w:p>
  </w:footnote>
  <w:footnote w:id="77">
    <w:p w14:paraId="722714CE" w14:textId="6BF5812F" w:rsidR="00EC1EEB" w:rsidRDefault="00EC1EEB" w:rsidP="00EC1EEB">
      <w:pPr>
        <w:pStyle w:val="FootnoteText"/>
      </w:pPr>
      <w:r>
        <w:rPr>
          <w:rStyle w:val="FootnoteReference"/>
        </w:rPr>
        <w:footnoteRef/>
      </w:r>
      <w:r>
        <w:t xml:space="preserve"> </w:t>
      </w:r>
      <w:r>
        <w:fldChar w:fldCharType="begin" w:fldLock="1"/>
      </w:r>
      <w:r>
        <w:instrText>ADDIN CSL_CITATION {"citationItems":[{"id":"ITEM-1","itemData":{"DOI":"10.1177/13684310222225432","ISSN":"13684310","abstract":"This article works out the main characteristics of ‘practice theory’, a type of social theory which has been sketched by such authors as Bourdieu, Giddens, Taylor, late Foucault and others. Practice theory is presented as a conceptual alternative to other forms of social and cultural theory, above all to culturalist mentalism, textualism and intersubjectivism. The article shows how practice theory and the three other cultural-theoretical vocabularies differ in their localization of the social and in their conceptualization of the body, mind, things, knowledge, discourse, structure/process and the agent. © 2002, Sage Publications. All rights reserved.","author":[{"dropping-particle":"","family":"Reckwitz","given":"Andreas","non-dropping-particle":"","parse-names":false,"suffix":""}],"container-title":"European Journal of Social Theory","id":"ITEM-1","issue":"2","issued":{"date-parts":[["2002"]]},"number-of-pages":"243-263","title":"Toward a Theory of Social Practices: A Development in Culturalist Theorizing","type":"report","volume":"5"},"uris":["http://www.mendeley.com/documents/?uuid=97a98211-e6e0-325d-9276-89918e8f7f69"]}],"mendeley":{"formattedCitation":"Andreas Reckwitz, &lt;i&gt;Toward a Theory of Social Practices: A Development in Culturalist Theorizing&lt;/i&gt; (&lt;i&gt;European Journal of Social Theory&lt;/i&gt;, 2002), v.","plainTextFormattedCitation":"Andreas Reckwitz, Toward a Theory of Social Practices: A Development in Culturalist Theorizing (European Journal of Social Theory, 2002), v.","previouslyFormattedCitation":"Andreas Reckwitz, &lt;i&gt;Toward a Theory of Social Practices: A Development in Culturalist Theorizing&lt;/i&gt; (&lt;i&gt;European Journal of Social Theory&lt;/i&gt;, 2002), v."},"properties":{"noteIndex":1},"schema":"https://github.com/citation-style-language/schema/raw/master/csl-citation.json"}</w:instrText>
      </w:r>
      <w:r>
        <w:fldChar w:fldCharType="separate"/>
      </w:r>
      <w:r w:rsidRPr="005D5346">
        <w:rPr>
          <w:noProof/>
        </w:rPr>
        <w:t>Reckwitz, '</w:t>
      </w:r>
      <w:r>
        <w:rPr>
          <w:noProof/>
        </w:rPr>
        <w:t>Toward a t</w:t>
      </w:r>
      <w:r w:rsidRPr="005D5346">
        <w:rPr>
          <w:noProof/>
        </w:rPr>
        <w:t>heory</w:t>
      </w:r>
      <w:r>
        <w:rPr>
          <w:noProof/>
        </w:rPr>
        <w:t xml:space="preserve">', </w:t>
      </w:r>
      <w:r>
        <w:fldChar w:fldCharType="end"/>
      </w:r>
      <w:r>
        <w:t>p.251</w:t>
      </w:r>
      <w:r w:rsidR="00527BDF">
        <w:t>.</w:t>
      </w:r>
    </w:p>
  </w:footnote>
  <w:footnote w:id="78">
    <w:p w14:paraId="605629C8" w14:textId="4469C7C2" w:rsidR="00EC1EEB" w:rsidRPr="00331B62" w:rsidRDefault="00EC1EEB" w:rsidP="00EC1EEB">
      <w:pPr>
        <w:pStyle w:val="FootnoteText"/>
      </w:pPr>
      <w:r>
        <w:rPr>
          <w:rStyle w:val="FootnoteReference"/>
        </w:rPr>
        <w:footnoteRef/>
      </w:r>
      <w:r>
        <w:t xml:space="preserve"> Chantal </w:t>
      </w:r>
      <w:proofErr w:type="spellStart"/>
      <w:r>
        <w:t>Mouffe</w:t>
      </w:r>
      <w:proofErr w:type="spellEnd"/>
      <w:r>
        <w:t xml:space="preserve">, ‘Feminism, citizenship, and radical democratic politics’, in Judith Butler and Joan Scott (eds), </w:t>
      </w:r>
      <w:r>
        <w:rPr>
          <w:i/>
          <w:iCs/>
        </w:rPr>
        <w:t xml:space="preserve">Feminists Theorize the Political, </w:t>
      </w:r>
      <w:r>
        <w:t xml:space="preserve">(London, 1992), pp.369-384, cited in Theodore Schatzki, </w:t>
      </w:r>
      <w:r>
        <w:rPr>
          <w:i/>
          <w:iCs/>
        </w:rPr>
        <w:t xml:space="preserve">Social Practices: A </w:t>
      </w:r>
      <w:proofErr w:type="spellStart"/>
      <w:r>
        <w:rPr>
          <w:i/>
          <w:iCs/>
        </w:rPr>
        <w:t>Wittgensteinian</w:t>
      </w:r>
      <w:proofErr w:type="spellEnd"/>
      <w:r>
        <w:rPr>
          <w:i/>
          <w:iCs/>
        </w:rPr>
        <w:t xml:space="preserve"> Approach to Human Activity and the Social, </w:t>
      </w:r>
      <w:r>
        <w:t>(Cambridge, 1996), p.8</w:t>
      </w:r>
      <w:r w:rsidR="00527BDF">
        <w:t>.</w:t>
      </w:r>
    </w:p>
  </w:footnote>
  <w:footnote w:id="79">
    <w:p w14:paraId="648DBCBD" w14:textId="292135AB" w:rsidR="00EC1EEB" w:rsidRDefault="00EC1EEB" w:rsidP="00EC1EEB">
      <w:pPr>
        <w:pStyle w:val="FootnoteText"/>
      </w:pPr>
      <w:r>
        <w:rPr>
          <w:rStyle w:val="FootnoteReference"/>
        </w:rPr>
        <w:footnoteRef/>
      </w:r>
      <w:r>
        <w:t xml:space="preserve"> </w:t>
      </w:r>
      <w:r w:rsidRPr="007779CB">
        <w:fldChar w:fldCharType="begin" w:fldLock="1"/>
      </w:r>
      <w:r w:rsidRPr="007779CB">
        <w:instrText>ADDIN CSL_CITATION {"citationItems":[{"id":"ITEM-1","itemData":{"DOI":"10.1177/13684310222225432","ISSN":"13684310","abstract":"This article works out the main characteristics of ‘practice theory’, a type of social theory which has been sketched by such authors as Bourdieu, Giddens, Taylor, late Foucault and others. Practice theory is presented as a conceptual alternative to other forms of social and cultural theory, above all to culturalist mentalism, textualism and intersubjectivism. The article shows how practice theory and the three other cultural-theoretical vocabularies differ in their localization of the social and in their conceptualization of the body, mind, things, knowledge, discourse, structure/process and the agent. © 2002, Sage Publications. All rights reserved.","author":[{"dropping-particle":"","family":"Reckwitz","given":"Andreas","non-dropping-particle":"","parse-names":false,"suffix":""}],"container-title":"European Journal of Social Theory","id":"ITEM-1","issue":"2","issued":{"date-parts":[["2002"]]},"number-of-pages":"243-263","title":"Toward a Theory of Social Practices: A Development in Culturalist Theorizing","type":"report","volume":"5"},"uris":["http://www.mendeley.com/documents/?uuid=97a98211-e6e0-325d-9276-89918e8f7f69"]}],"mendeley":{"formattedCitation":"Andreas Reckwitz, &lt;i&gt;Toward a Theory of Social Practices: A Development in Culturalist Theorizing&lt;/i&gt; (&lt;i&gt;European Journal of Social Theory&lt;/i&gt;, 2002), v.","plainTextFormattedCitation":"Andreas Reckwitz, Toward a Theory of Social Practices: A Development in Culturalist Theorizing (European Journal of Social Theory, 2002), v.","previouslyFormattedCitation":"Andreas Reckwitz, &lt;i&gt;Toward a Theory of Social Practices: A Development in Culturalist Theorizing&lt;/i&gt; (&lt;i&gt;European Journal of Social Theory&lt;/i&gt;, 2002), v."},"properties":{"noteIndex":1},"schema":"https://github.com/citation-style-language/schema/raw/master/csl-citation.json"}</w:instrText>
      </w:r>
      <w:r w:rsidRPr="007779CB">
        <w:fldChar w:fldCharType="separate"/>
      </w:r>
      <w:r w:rsidRPr="007779CB">
        <w:t xml:space="preserve">Reckwitz, 'Toward a theory', </w:t>
      </w:r>
      <w:r w:rsidRPr="007779CB">
        <w:fldChar w:fldCharType="end"/>
      </w:r>
      <w:r w:rsidRPr="007779CB">
        <w:t>p.251</w:t>
      </w:r>
      <w:r w:rsidR="00527BDF">
        <w:t>.</w:t>
      </w:r>
    </w:p>
  </w:footnote>
  <w:footnote w:id="80">
    <w:p w14:paraId="2C8E8BC2" w14:textId="7A14B2F1" w:rsidR="00EC1EEB" w:rsidRDefault="00EC1EEB" w:rsidP="00EC1EEB">
      <w:pPr>
        <w:pStyle w:val="FootnoteText"/>
      </w:pPr>
      <w:r>
        <w:rPr>
          <w:rStyle w:val="FootnoteReference"/>
        </w:rPr>
        <w:footnoteRef/>
      </w:r>
      <w:r>
        <w:t xml:space="preserve"> </w:t>
      </w:r>
      <w:r w:rsidRPr="00F611C7">
        <w:t xml:space="preserve">Shove, </w:t>
      </w:r>
      <w:proofErr w:type="spellStart"/>
      <w:r w:rsidRPr="00F611C7">
        <w:t>Pantzar</w:t>
      </w:r>
      <w:proofErr w:type="spellEnd"/>
      <w:r w:rsidRPr="00F611C7">
        <w:t xml:space="preserve"> and Watson,</w:t>
      </w:r>
      <w:r w:rsidRPr="00F611C7">
        <w:rPr>
          <w:i/>
          <w:iCs/>
        </w:rPr>
        <w:t xml:space="preserve"> Dynamics</w:t>
      </w:r>
      <w:r w:rsidRPr="00F611C7">
        <w:t>, p.7</w:t>
      </w:r>
      <w:r w:rsidR="00527BDF">
        <w:t>.</w:t>
      </w:r>
    </w:p>
  </w:footnote>
  <w:footnote w:id="81">
    <w:p w14:paraId="739456EF" w14:textId="028949BE" w:rsidR="00EC1EEB" w:rsidRPr="00C52205" w:rsidRDefault="00EC1EEB" w:rsidP="00EC1EEB">
      <w:pPr>
        <w:pStyle w:val="FootnoteText"/>
      </w:pPr>
      <w:r>
        <w:rPr>
          <w:rStyle w:val="FootnoteReference"/>
        </w:rPr>
        <w:footnoteRef/>
      </w:r>
      <w:r>
        <w:t xml:space="preserve"> Ibid.</w:t>
      </w:r>
    </w:p>
  </w:footnote>
  <w:footnote w:id="82">
    <w:p w14:paraId="1CD7F747" w14:textId="0721AEE1" w:rsidR="00EC1EEB" w:rsidRDefault="00EC1EEB" w:rsidP="00EC1EEB">
      <w:pPr>
        <w:pStyle w:val="FootnoteText"/>
      </w:pPr>
      <w:r>
        <w:rPr>
          <w:rStyle w:val="FootnoteReference"/>
        </w:rPr>
        <w:footnoteRef/>
      </w:r>
      <w:r>
        <w:t xml:space="preserve"> Reckwitz, ‘Toward a theory’, p.249</w:t>
      </w:r>
      <w:r w:rsidR="00527BDF">
        <w:t>.</w:t>
      </w:r>
    </w:p>
  </w:footnote>
  <w:footnote w:id="83">
    <w:p w14:paraId="24361A5D" w14:textId="323EB3CC" w:rsidR="00EC1EEB" w:rsidRDefault="00EC1EEB" w:rsidP="00EC1EEB">
      <w:pPr>
        <w:pStyle w:val="FootnoteText"/>
      </w:pPr>
      <w:r>
        <w:rPr>
          <w:rStyle w:val="FootnoteReference"/>
        </w:rPr>
        <w:footnoteRef/>
      </w:r>
      <w:r>
        <w:t xml:space="preserve"> Handley, ‘Lusty sack </w:t>
      </w:r>
      <w:proofErr w:type="gramStart"/>
      <w:r>
        <w:t>possets’</w:t>
      </w:r>
      <w:proofErr w:type="gramEnd"/>
      <w:r w:rsidR="00527BDF">
        <w:t>.</w:t>
      </w:r>
    </w:p>
  </w:footnote>
  <w:footnote w:id="84">
    <w:p w14:paraId="4A9E24C5" w14:textId="2A846C95" w:rsidR="00EC1EEB" w:rsidRDefault="00EC1EEB" w:rsidP="00EC1EEB">
      <w:pPr>
        <w:pStyle w:val="FootnoteText"/>
      </w:pPr>
      <w:r>
        <w:rPr>
          <w:rStyle w:val="FootnoteReference"/>
        </w:rPr>
        <w:footnoteRef/>
      </w:r>
      <w:r>
        <w:t xml:space="preserve"> Alasdair MacIntyre, </w:t>
      </w:r>
      <w:r>
        <w:rPr>
          <w:i/>
          <w:iCs/>
        </w:rPr>
        <w:t xml:space="preserve">After Virtue: A Study in Moral Theory, </w:t>
      </w:r>
      <w:r>
        <w:t>(Paris, 1985), p.273</w:t>
      </w:r>
      <w:r w:rsidR="00527BDF">
        <w:t>.</w:t>
      </w:r>
    </w:p>
  </w:footnote>
  <w:footnote w:id="85">
    <w:p w14:paraId="2FF5823E" w14:textId="354650F1" w:rsidR="00EC1EEB" w:rsidRDefault="00EC1EEB" w:rsidP="00EC1EEB">
      <w:pPr>
        <w:pStyle w:val="FootnoteText"/>
      </w:pPr>
      <w:r>
        <w:rPr>
          <w:rStyle w:val="FootnoteReference"/>
        </w:rPr>
        <w:footnoteRef/>
      </w:r>
      <w:r>
        <w:t xml:space="preserve"> </w:t>
      </w:r>
      <w:proofErr w:type="gramStart"/>
      <w:r>
        <w:t>Ibid.;</w:t>
      </w:r>
      <w:proofErr w:type="gramEnd"/>
      <w:r>
        <w:t xml:space="preserve"> Bourdieu has discussed social capital in relation to the family in</w:t>
      </w:r>
      <w:r w:rsidRPr="00EB599D">
        <w:rPr>
          <w:sz w:val="24"/>
        </w:rPr>
        <w:t xml:space="preserve"> </w:t>
      </w:r>
      <w:r w:rsidRPr="00EB599D">
        <w:t xml:space="preserve">Pierre Bourdieu, ‘On the family as a realized category’, </w:t>
      </w:r>
      <w:r w:rsidRPr="00EB599D">
        <w:rPr>
          <w:i/>
          <w:iCs/>
        </w:rPr>
        <w:t xml:space="preserve">Theory, Culture &amp; Society, </w:t>
      </w:r>
      <w:r w:rsidRPr="00EB599D">
        <w:t>Vol. 13, No. 3, (1996), pp.19-26</w:t>
      </w:r>
      <w:r w:rsidR="00527BDF">
        <w:t>.</w:t>
      </w:r>
    </w:p>
  </w:footnote>
  <w:footnote w:id="86">
    <w:p w14:paraId="789254D8" w14:textId="659C0BF5" w:rsidR="00EC1EEB" w:rsidRDefault="00EC1EEB" w:rsidP="00EC1EEB">
      <w:pPr>
        <w:pStyle w:val="FootnoteText"/>
      </w:pPr>
      <w:r>
        <w:rPr>
          <w:rStyle w:val="FootnoteReference"/>
        </w:rPr>
        <w:footnoteRef/>
      </w:r>
      <w:r>
        <w:t xml:space="preserve"> Wendy Bottero, ‘Practising family history: ‘identity’ as a category of social practice’, </w:t>
      </w:r>
      <w:r>
        <w:rPr>
          <w:i/>
          <w:iCs/>
        </w:rPr>
        <w:t xml:space="preserve">The British Journal of Sociology, </w:t>
      </w:r>
      <w:r>
        <w:t>Vol. 66, No. 3, (2015), pp.534-556, p.543</w:t>
      </w:r>
      <w:r w:rsidR="00527BDF">
        <w:t>.</w:t>
      </w:r>
    </w:p>
  </w:footnote>
  <w:footnote w:id="87">
    <w:p w14:paraId="20CDD7E2" w14:textId="19E4AA7C" w:rsidR="00EC1EEB" w:rsidRDefault="00EC1EEB" w:rsidP="00EC1EEB">
      <w:pPr>
        <w:pStyle w:val="FootnoteText"/>
      </w:pPr>
      <w:r>
        <w:rPr>
          <w:rStyle w:val="FootnoteReference"/>
        </w:rPr>
        <w:footnoteRef/>
      </w:r>
      <w:r>
        <w:t xml:space="preserve"> Ibid.</w:t>
      </w:r>
    </w:p>
  </w:footnote>
  <w:footnote w:id="88">
    <w:p w14:paraId="13DFC4DB" w14:textId="2E83B11D" w:rsidR="00EC1EEB" w:rsidRDefault="00EC1EEB" w:rsidP="00EC1EEB">
      <w:pPr>
        <w:pStyle w:val="FootnoteText"/>
      </w:pPr>
      <w:r>
        <w:rPr>
          <w:rStyle w:val="FootnoteReference"/>
        </w:rPr>
        <w:footnoteRef/>
      </w:r>
      <w:r>
        <w:t xml:space="preserve"> Anne-Marie Kramer, ‘</w:t>
      </w:r>
      <w:proofErr w:type="spellStart"/>
      <w:r>
        <w:t>Mediat</w:t>
      </w:r>
      <w:proofErr w:type="spellEnd"/>
      <w:r>
        <w:t>[is]</w:t>
      </w:r>
      <w:proofErr w:type="spellStart"/>
      <w:r>
        <w:t>ing</w:t>
      </w:r>
      <w:proofErr w:type="spellEnd"/>
      <w:r>
        <w:t xml:space="preserve"> memory: history, affect and identity in </w:t>
      </w:r>
      <w:r>
        <w:rPr>
          <w:i/>
          <w:iCs/>
        </w:rPr>
        <w:t xml:space="preserve">Who Do You Think You Are?’, European Journal of Cultural Studies, </w:t>
      </w:r>
      <w:r>
        <w:t>Vol. 14, No. 3, (2011), pp.379-395, p.393</w:t>
      </w:r>
      <w:r w:rsidR="00527BDF">
        <w:t>.</w:t>
      </w:r>
    </w:p>
  </w:footnote>
  <w:footnote w:id="89">
    <w:p w14:paraId="0A8FD18A" w14:textId="0D2E69B9" w:rsidR="00EC1EEB" w:rsidRPr="00F16121" w:rsidRDefault="00EC1EEB" w:rsidP="00EC1EEB">
      <w:pPr>
        <w:pStyle w:val="FootnoteText"/>
      </w:pPr>
      <w:r>
        <w:rPr>
          <w:rStyle w:val="FootnoteReference"/>
        </w:rPr>
        <w:footnoteRef/>
      </w:r>
      <w:r>
        <w:t xml:space="preserve"> Bourdieu, ‘On the family’, p.22</w:t>
      </w:r>
      <w:r w:rsidR="00527BDF">
        <w:t>.</w:t>
      </w:r>
    </w:p>
  </w:footnote>
  <w:footnote w:id="90">
    <w:p w14:paraId="4A6655A7" w14:textId="489A9CEC" w:rsidR="00EC1EEB" w:rsidRDefault="00EC1EEB" w:rsidP="00EC1EEB">
      <w:pPr>
        <w:pStyle w:val="FootnoteText"/>
      </w:pPr>
      <w:r>
        <w:rPr>
          <w:rStyle w:val="FootnoteReference"/>
        </w:rPr>
        <w:footnoteRef/>
      </w:r>
      <w:r>
        <w:t xml:space="preserve"> Ibid., p.25</w:t>
      </w:r>
      <w:r w:rsidR="00527BDF">
        <w:t>.</w:t>
      </w:r>
    </w:p>
  </w:footnote>
  <w:footnote w:id="91">
    <w:p w14:paraId="52F0BC30" w14:textId="6E82E4D8" w:rsidR="00EC1EEB" w:rsidRDefault="00EC1EEB" w:rsidP="00EC1EEB">
      <w:pPr>
        <w:pStyle w:val="FootnoteText"/>
      </w:pPr>
      <w:r>
        <w:rPr>
          <w:rStyle w:val="FootnoteReference"/>
        </w:rPr>
        <w:footnoteRef/>
      </w:r>
      <w:r>
        <w:t xml:space="preserve"> Reckwitz, ‘Toward a theory’, p.243</w:t>
      </w:r>
      <w:r w:rsidR="00527BDF">
        <w:t>.</w:t>
      </w:r>
    </w:p>
  </w:footnote>
  <w:footnote w:id="92">
    <w:p w14:paraId="78705314" w14:textId="2E922DE1" w:rsidR="00EC1EEB" w:rsidRPr="00CC5C8C" w:rsidRDefault="00EC1EEB" w:rsidP="00EC1EEB">
      <w:pPr>
        <w:pStyle w:val="FootnoteText"/>
      </w:pPr>
      <w:r>
        <w:rPr>
          <w:rStyle w:val="FootnoteReference"/>
        </w:rPr>
        <w:footnoteRef/>
      </w:r>
      <w:r>
        <w:t xml:space="preserve"> Davide Nicolini, </w:t>
      </w:r>
      <w:r>
        <w:rPr>
          <w:i/>
          <w:iCs/>
        </w:rPr>
        <w:t xml:space="preserve">Practice Theory, Work, and Organization: An Introduction, </w:t>
      </w:r>
      <w:r>
        <w:t>(Oxford, 2012), p.3</w:t>
      </w:r>
      <w:r w:rsidR="00527BDF">
        <w:t>.</w:t>
      </w:r>
    </w:p>
  </w:footnote>
  <w:footnote w:id="93">
    <w:p w14:paraId="083017B6" w14:textId="38F6CA82" w:rsidR="00EC1EEB" w:rsidRDefault="00EC1EEB" w:rsidP="00EC1EEB">
      <w:pPr>
        <w:pStyle w:val="FootnoteText"/>
      </w:pPr>
      <w:r>
        <w:rPr>
          <w:rStyle w:val="FootnoteReference"/>
        </w:rPr>
        <w:footnoteRef/>
      </w:r>
      <w:r>
        <w:t xml:space="preserve"> Joseph Maran and Philipp W. </w:t>
      </w:r>
      <w:proofErr w:type="spellStart"/>
      <w:r>
        <w:t>Stockhammer</w:t>
      </w:r>
      <w:proofErr w:type="spellEnd"/>
      <w:r>
        <w:t xml:space="preserve">, ‘Introduction’, in Joseph Maran and Philipp W. </w:t>
      </w:r>
      <w:proofErr w:type="spellStart"/>
      <w:r>
        <w:t>Stockhammer</w:t>
      </w:r>
      <w:proofErr w:type="spellEnd"/>
      <w:r>
        <w:t xml:space="preserve"> (eds), </w:t>
      </w:r>
      <w:r>
        <w:rPr>
          <w:i/>
        </w:rPr>
        <w:t xml:space="preserve">Materiality and Social Practice: Transformative Capacities of Intercultural Encounters, </w:t>
      </w:r>
      <w:r>
        <w:t>(Oxford, 2012), pp.1-3, p.2</w:t>
      </w:r>
      <w:r w:rsidR="00527BDF">
        <w:t>.</w:t>
      </w:r>
    </w:p>
  </w:footnote>
  <w:footnote w:id="94">
    <w:p w14:paraId="380A54E5" w14:textId="6EC3B8C9" w:rsidR="00EC1EEB" w:rsidRPr="00C315F3" w:rsidRDefault="00EC1EEB" w:rsidP="00EC1EEB">
      <w:pPr>
        <w:pStyle w:val="FootnoteText"/>
      </w:pPr>
      <w:r>
        <w:rPr>
          <w:rStyle w:val="FootnoteReference"/>
        </w:rPr>
        <w:footnoteRef/>
      </w:r>
      <w:r>
        <w:t xml:space="preserve"> Nicolini, </w:t>
      </w:r>
      <w:r>
        <w:rPr>
          <w:i/>
        </w:rPr>
        <w:t xml:space="preserve">Practice Theory, </w:t>
      </w:r>
      <w:r>
        <w:t xml:space="preserve">p.3; Maran and </w:t>
      </w:r>
      <w:proofErr w:type="spellStart"/>
      <w:r>
        <w:t>Stockhammer</w:t>
      </w:r>
      <w:proofErr w:type="spellEnd"/>
      <w:r>
        <w:t>, ‘Introduction’, p.2</w:t>
      </w:r>
      <w:r w:rsidR="00527BDF">
        <w:t>.</w:t>
      </w:r>
    </w:p>
  </w:footnote>
  <w:footnote w:id="95">
    <w:p w14:paraId="7F679C5F" w14:textId="6594F5DF" w:rsidR="00EC1EEB" w:rsidRDefault="00EC1EEB" w:rsidP="00EC1EEB">
      <w:pPr>
        <w:pStyle w:val="FootnoteText"/>
      </w:pPr>
      <w:r>
        <w:rPr>
          <w:rStyle w:val="FootnoteReference"/>
        </w:rPr>
        <w:footnoteRef/>
      </w:r>
      <w:r>
        <w:t xml:space="preserve"> Theodore Schatzki, ‘Materiality and social life’, </w:t>
      </w:r>
      <w:r>
        <w:rPr>
          <w:i/>
        </w:rPr>
        <w:t xml:space="preserve">Nature and Culture, </w:t>
      </w:r>
      <w:r>
        <w:t>Vol. 5, No. 2, (2010), pp.123-149, p.135</w:t>
      </w:r>
      <w:r w:rsidR="00527BDF">
        <w:t>.</w:t>
      </w:r>
    </w:p>
  </w:footnote>
  <w:footnote w:id="96">
    <w:p w14:paraId="44E6D7C8" w14:textId="1EA959C9" w:rsidR="00EC1EEB" w:rsidRDefault="00EC1EEB" w:rsidP="00EC1EEB">
      <w:pPr>
        <w:pStyle w:val="FootnoteText"/>
      </w:pPr>
      <w:r>
        <w:rPr>
          <w:rStyle w:val="FootnoteReference"/>
        </w:rPr>
        <w:footnoteRef/>
      </w:r>
      <w:r>
        <w:t xml:space="preserve"> Andreas Reckwitz, ‘The status of the “material” in theories of culture: from “social structure” to “artefacts”, </w:t>
      </w:r>
      <w:r>
        <w:rPr>
          <w:i/>
        </w:rPr>
        <w:t xml:space="preserve">Journal for the Theory of Social Behaviour, </w:t>
      </w:r>
      <w:r>
        <w:t>Vol. 32, (2002), pp.195-217, p.208</w:t>
      </w:r>
      <w:r w:rsidR="00527BDF">
        <w:t>.</w:t>
      </w:r>
    </w:p>
  </w:footnote>
  <w:footnote w:id="97">
    <w:p w14:paraId="66F0E374" w14:textId="61E62B77" w:rsidR="00EC1EEB" w:rsidRDefault="00EC1EEB" w:rsidP="00EC1EEB">
      <w:pPr>
        <w:pStyle w:val="FootnoteText"/>
      </w:pPr>
      <w:r>
        <w:rPr>
          <w:rStyle w:val="FootnoteReference"/>
        </w:rPr>
        <w:footnoteRef/>
      </w:r>
      <w:r>
        <w:t xml:space="preserve"> Reckwitz, ‘Toward a theory’, p.253</w:t>
      </w:r>
      <w:r w:rsidR="00527BDF">
        <w:t>.</w:t>
      </w:r>
    </w:p>
  </w:footnote>
  <w:footnote w:id="98">
    <w:p w14:paraId="4252C423" w14:textId="561E5DF4" w:rsidR="00EC1EEB" w:rsidRDefault="00EC1EEB" w:rsidP="00EC1EEB">
      <w:pPr>
        <w:pStyle w:val="FootnoteText"/>
      </w:pPr>
      <w:r>
        <w:rPr>
          <w:rStyle w:val="FootnoteReference"/>
        </w:rPr>
        <w:footnoteRef/>
      </w:r>
      <w:r>
        <w:t xml:space="preserve"> </w:t>
      </w:r>
      <w:r w:rsidRPr="009D60E6">
        <w:rPr>
          <w:lang w:val="en-US"/>
        </w:rPr>
        <w:t>King, ‘Domestic buildings’, p.116</w:t>
      </w:r>
      <w:r w:rsidR="00527BDF">
        <w:rPr>
          <w:lang w:val="en-US"/>
        </w:rPr>
        <w:t>.</w:t>
      </w:r>
    </w:p>
  </w:footnote>
  <w:footnote w:id="99">
    <w:p w14:paraId="7C3B5B3D" w14:textId="66073ECB" w:rsidR="00EC1EEB" w:rsidRDefault="00EC1EEB" w:rsidP="00EC1EEB">
      <w:pPr>
        <w:pStyle w:val="FootnoteText"/>
      </w:pPr>
      <w:r>
        <w:rPr>
          <w:rStyle w:val="FootnoteReference"/>
        </w:rPr>
        <w:footnoteRef/>
      </w:r>
      <w:r>
        <w:t xml:space="preserve"> Reckwitz, ‘Affective spaces’, p.252</w:t>
      </w:r>
      <w:r w:rsidR="00527BDF">
        <w:t>.</w:t>
      </w:r>
    </w:p>
  </w:footnote>
  <w:footnote w:id="100">
    <w:p w14:paraId="0C281BEA" w14:textId="3F00D3D4" w:rsidR="00EC1EEB" w:rsidRDefault="00EC1EEB" w:rsidP="00EC1EEB">
      <w:pPr>
        <w:pStyle w:val="FootnoteText"/>
      </w:pPr>
      <w:r>
        <w:rPr>
          <w:rStyle w:val="FootnoteReference"/>
        </w:rPr>
        <w:footnoteRef/>
      </w:r>
      <w:r>
        <w:t xml:space="preserve"> </w:t>
      </w:r>
      <w:r w:rsidRPr="008565A0">
        <w:rPr>
          <w:rStyle w:val="normaltextrun"/>
          <w:color w:val="000000"/>
          <w:shd w:val="clear" w:color="auto" w:fill="FFFFFF"/>
        </w:rPr>
        <w:t>Henri Lefebvre, ‘The production of space’ in Jen Jack Gieseking, William Mangold (eds) with Cindi Katz</w:t>
      </w:r>
      <w:r>
        <w:rPr>
          <w:rStyle w:val="normaltextrun"/>
          <w:color w:val="000000"/>
          <w:shd w:val="clear" w:color="auto" w:fill="FFFFFF"/>
        </w:rPr>
        <w:t>,</w:t>
      </w:r>
      <w:r w:rsidRPr="008565A0">
        <w:rPr>
          <w:rStyle w:val="normaltextrun"/>
          <w:color w:val="000000"/>
          <w:shd w:val="clear" w:color="auto" w:fill="FFFFFF"/>
        </w:rPr>
        <w:t> </w:t>
      </w:r>
      <w:proofErr w:type="spellStart"/>
      <w:r w:rsidRPr="008565A0">
        <w:rPr>
          <w:rStyle w:val="spellingerror"/>
          <w:color w:val="000000"/>
          <w:shd w:val="clear" w:color="auto" w:fill="FFFFFF"/>
        </w:rPr>
        <w:t>Cetha</w:t>
      </w:r>
      <w:proofErr w:type="spellEnd"/>
      <w:r w:rsidRPr="008565A0">
        <w:rPr>
          <w:rStyle w:val="normaltextrun"/>
          <w:color w:val="000000"/>
          <w:shd w:val="clear" w:color="auto" w:fill="FFFFFF"/>
        </w:rPr>
        <w:t> Low, Susan </w:t>
      </w:r>
      <w:r w:rsidRPr="008565A0">
        <w:rPr>
          <w:rStyle w:val="spellingerror"/>
          <w:color w:val="000000"/>
          <w:shd w:val="clear" w:color="auto" w:fill="FFFFFF"/>
        </w:rPr>
        <w:t>Saegert</w:t>
      </w:r>
      <w:r w:rsidRPr="008565A0">
        <w:rPr>
          <w:rStyle w:val="normaltextrun"/>
          <w:color w:val="000000"/>
          <w:shd w:val="clear" w:color="auto" w:fill="FFFFFF"/>
        </w:rPr>
        <w:t>, </w:t>
      </w:r>
      <w:r w:rsidRPr="00503FB6">
        <w:rPr>
          <w:rStyle w:val="normaltextrun"/>
          <w:i/>
          <w:iCs/>
          <w:color w:val="000000"/>
          <w:shd w:val="clear" w:color="auto" w:fill="FFFFFF"/>
        </w:rPr>
        <w:t>The People, Place and Space Reader</w:t>
      </w:r>
      <w:r w:rsidRPr="008565A0">
        <w:rPr>
          <w:rStyle w:val="normaltextrun"/>
          <w:color w:val="000000"/>
          <w:shd w:val="clear" w:color="auto" w:fill="FFFFFF"/>
        </w:rPr>
        <w:t>, (Oxford, 2014), pp.289-293</w:t>
      </w:r>
      <w:r>
        <w:rPr>
          <w:rStyle w:val="normaltextrun"/>
          <w:color w:val="000000"/>
          <w:shd w:val="clear" w:color="auto" w:fill="FFFFFF"/>
        </w:rPr>
        <w:t>, p.291</w:t>
      </w:r>
      <w:r w:rsidR="00527BDF">
        <w:rPr>
          <w:rStyle w:val="normaltextrun"/>
          <w:color w:val="000000"/>
          <w:shd w:val="clear" w:color="auto" w:fill="FFFFFF"/>
        </w:rPr>
        <w:t>.</w:t>
      </w:r>
    </w:p>
  </w:footnote>
  <w:footnote w:id="101">
    <w:p w14:paraId="79C39115" w14:textId="77777777" w:rsidR="00EC1EEB" w:rsidRDefault="00EC1EEB" w:rsidP="00EC1EEB">
      <w:pPr>
        <w:pStyle w:val="FootnoteText"/>
      </w:pPr>
      <w:r>
        <w:rPr>
          <w:rStyle w:val="FootnoteReference"/>
        </w:rPr>
        <w:footnoteRef/>
      </w:r>
      <w:r>
        <w:t xml:space="preserve"> Ibid.</w:t>
      </w:r>
    </w:p>
  </w:footnote>
  <w:footnote w:id="102">
    <w:p w14:paraId="5EA1D1DB" w14:textId="1DCB3CF1" w:rsidR="00EC1EEB" w:rsidRDefault="00EC1EEB" w:rsidP="00EC1EEB">
      <w:pPr>
        <w:pStyle w:val="FootnoteText"/>
      </w:pPr>
      <w:r>
        <w:rPr>
          <w:rStyle w:val="FootnoteReference"/>
        </w:rPr>
        <w:footnoteRef/>
      </w:r>
      <w:r>
        <w:t xml:space="preserve"> </w:t>
      </w:r>
      <w:proofErr w:type="spellStart"/>
      <w:r>
        <w:rPr>
          <w:rStyle w:val="normaltextrun"/>
          <w:color w:val="000000"/>
          <w:shd w:val="clear" w:color="auto" w:fill="FFFFFF"/>
        </w:rPr>
        <w:t>Reckwtiz</w:t>
      </w:r>
      <w:proofErr w:type="spellEnd"/>
      <w:r>
        <w:rPr>
          <w:rStyle w:val="normaltextrun"/>
          <w:color w:val="000000"/>
          <w:shd w:val="clear" w:color="auto" w:fill="FFFFFF"/>
        </w:rPr>
        <w:t>, ‘Affective spaces’, p.249</w:t>
      </w:r>
      <w:r w:rsidR="00527BDF">
        <w:rPr>
          <w:rStyle w:val="normaltextrun"/>
          <w:color w:val="000000"/>
          <w:shd w:val="clear" w:color="auto" w:fill="FFFFFF"/>
        </w:rPr>
        <w:t>.</w:t>
      </w:r>
    </w:p>
  </w:footnote>
  <w:footnote w:id="103">
    <w:p w14:paraId="00FCA8E3" w14:textId="77777777" w:rsidR="00EC1EEB" w:rsidRDefault="00EC1EEB" w:rsidP="00EC1EEB">
      <w:pPr>
        <w:pStyle w:val="FootnoteText"/>
      </w:pPr>
      <w:r>
        <w:rPr>
          <w:rStyle w:val="FootnoteReference"/>
        </w:rPr>
        <w:footnoteRef/>
      </w:r>
      <w:r>
        <w:t xml:space="preserve"> Ibid.</w:t>
      </w:r>
    </w:p>
  </w:footnote>
  <w:footnote w:id="104">
    <w:p w14:paraId="77E7B646" w14:textId="77777777" w:rsidR="00EC1EEB" w:rsidRDefault="00EC1EEB" w:rsidP="00EC1EEB">
      <w:pPr>
        <w:pStyle w:val="FootnoteText"/>
      </w:pPr>
      <w:r>
        <w:rPr>
          <w:rStyle w:val="FootnoteReference"/>
        </w:rPr>
        <w:footnoteRef/>
      </w:r>
      <w:r>
        <w:t xml:space="preserve"> ‘Townships: Bolton le Sands’, in William Farrer and J. </w:t>
      </w:r>
      <w:proofErr w:type="spellStart"/>
      <w:r>
        <w:t>Brownbill</w:t>
      </w:r>
      <w:proofErr w:type="spellEnd"/>
      <w:r>
        <w:t xml:space="preserve"> (eds), </w:t>
      </w:r>
      <w:r w:rsidRPr="003F6F46">
        <w:rPr>
          <w:i/>
          <w:iCs/>
        </w:rPr>
        <w:t>Victoria History of the County of Lancaster</w:t>
      </w:r>
      <w:r>
        <w:rPr>
          <w:i/>
          <w:iCs/>
        </w:rPr>
        <w:t xml:space="preserve">: </w:t>
      </w:r>
      <w:r w:rsidRPr="003F6F46">
        <w:rPr>
          <w:i/>
          <w:iCs/>
        </w:rPr>
        <w:t>Vol</w:t>
      </w:r>
      <w:r>
        <w:rPr>
          <w:i/>
          <w:iCs/>
        </w:rPr>
        <w:t>.</w:t>
      </w:r>
      <w:r w:rsidRPr="003F6F46">
        <w:rPr>
          <w:i/>
          <w:iCs/>
        </w:rPr>
        <w:t xml:space="preserve"> 8</w:t>
      </w:r>
      <w:r>
        <w:t>, (London, 1914), pp.132-136 [</w:t>
      </w:r>
      <w:r w:rsidRPr="00FB48F8">
        <w:t>http://www.british-history.ac.uk/vch/lancs/vol8/pp132-136</w:t>
      </w:r>
      <w:r>
        <w:t xml:space="preserve">; </w:t>
      </w:r>
      <w:r w:rsidRPr="00FB48F8">
        <w:t>accessed 1 October 2022]</w:t>
      </w:r>
      <w:r>
        <w:t xml:space="preserve"> - Farrer also states that Holy Trinity Church was previously known as St Michael’s. Since Holy Trinity is the current name of the church, this has been used throughout.</w:t>
      </w:r>
    </w:p>
  </w:footnote>
  <w:footnote w:id="105">
    <w:p w14:paraId="0F4882E9" w14:textId="18EDA39F" w:rsidR="00EC1EEB" w:rsidRDefault="00EC1EEB" w:rsidP="00EC1EEB">
      <w:pPr>
        <w:pStyle w:val="FootnoteText"/>
      </w:pPr>
      <w:r>
        <w:rPr>
          <w:rStyle w:val="FootnoteReference"/>
        </w:rPr>
        <w:footnoteRef/>
      </w:r>
      <w:r>
        <w:t xml:space="preserve"> Kenneth Entwistle, </w:t>
      </w:r>
      <w:r>
        <w:rPr>
          <w:i/>
          <w:iCs/>
        </w:rPr>
        <w:t xml:space="preserve">From </w:t>
      </w:r>
      <w:proofErr w:type="spellStart"/>
      <w:r w:rsidRPr="009D49F0">
        <w:rPr>
          <w:i/>
          <w:iCs/>
        </w:rPr>
        <w:t>Bodeltone</w:t>
      </w:r>
      <w:proofErr w:type="spellEnd"/>
      <w:r w:rsidRPr="009D49F0">
        <w:rPr>
          <w:i/>
          <w:iCs/>
        </w:rPr>
        <w:t xml:space="preserve"> to Bolton-le-Sands</w:t>
      </w:r>
      <w:r>
        <w:t>,</w:t>
      </w:r>
      <w:r w:rsidRPr="00BE5F83">
        <w:t xml:space="preserve"> (London, </w:t>
      </w:r>
      <w:r>
        <w:t>1982), pp.1-3</w:t>
      </w:r>
      <w:r w:rsidR="00527BDF">
        <w:t>.</w:t>
      </w:r>
    </w:p>
  </w:footnote>
  <w:footnote w:id="106">
    <w:p w14:paraId="6BD2DDD0" w14:textId="03D41711" w:rsidR="00EC1EEB" w:rsidRDefault="00EC1EEB" w:rsidP="00EC1EEB">
      <w:pPr>
        <w:pStyle w:val="FootnoteText"/>
      </w:pPr>
      <w:r>
        <w:rPr>
          <w:rStyle w:val="FootnoteReference"/>
        </w:rPr>
        <w:footnoteRef/>
      </w:r>
      <w:r>
        <w:t xml:space="preserve"> Ibid.</w:t>
      </w:r>
    </w:p>
  </w:footnote>
  <w:footnote w:id="107">
    <w:p w14:paraId="1394651C" w14:textId="6FAADBD5" w:rsidR="00EC1EEB" w:rsidRPr="009109FC" w:rsidRDefault="00EC1EEB" w:rsidP="00EC1EEB">
      <w:pPr>
        <w:pStyle w:val="FootnoteText"/>
      </w:pPr>
      <w:r>
        <w:rPr>
          <w:rStyle w:val="FootnoteReference"/>
        </w:rPr>
        <w:footnoteRef/>
      </w:r>
      <w:r>
        <w:t xml:space="preserve"> John Marius Wilson, </w:t>
      </w:r>
      <w:r>
        <w:rPr>
          <w:i/>
          <w:iCs/>
        </w:rPr>
        <w:t xml:space="preserve">The Imperial Gazetteer of England and Wales, </w:t>
      </w:r>
      <w:r>
        <w:t>(Edinburgh, 1870), p.1072</w:t>
      </w:r>
      <w:r w:rsidR="00527BDF">
        <w:t>.</w:t>
      </w:r>
    </w:p>
  </w:footnote>
  <w:footnote w:id="108">
    <w:p w14:paraId="3EF7900E" w14:textId="08C068C1" w:rsidR="00EC1EEB" w:rsidRDefault="00EC1EEB" w:rsidP="00EC1EEB">
      <w:pPr>
        <w:pStyle w:val="FootnoteText"/>
      </w:pPr>
      <w:r>
        <w:rPr>
          <w:rStyle w:val="FootnoteReference"/>
        </w:rPr>
        <w:footnoteRef/>
      </w:r>
      <w:r>
        <w:t xml:space="preserve"> </w:t>
      </w:r>
      <w:r w:rsidRPr="000E70C6">
        <w:t xml:space="preserve">B. E. Harris (ed.), </w:t>
      </w:r>
      <w:r w:rsidRPr="000E70C6">
        <w:rPr>
          <w:i/>
          <w:iCs/>
        </w:rPr>
        <w:t xml:space="preserve">Victoria County History of Chester: Vol. 3, </w:t>
      </w:r>
      <w:r w:rsidRPr="000E70C6">
        <w:t>(Oxford, 1980), p</w:t>
      </w:r>
      <w:r>
        <w:t>p</w:t>
      </w:r>
      <w:r w:rsidRPr="000E70C6">
        <w:t>.3</w:t>
      </w:r>
      <w:r>
        <w:t>-4</w:t>
      </w:r>
      <w:r w:rsidR="00527BDF">
        <w:t>.</w:t>
      </w:r>
    </w:p>
  </w:footnote>
  <w:footnote w:id="109">
    <w:p w14:paraId="3A5E3B5C" w14:textId="77777777" w:rsidR="00EC1EEB" w:rsidRDefault="00EC1EEB" w:rsidP="00EC1EEB">
      <w:pPr>
        <w:pStyle w:val="FootnoteText"/>
      </w:pPr>
      <w:r>
        <w:rPr>
          <w:rStyle w:val="FootnoteReference"/>
        </w:rPr>
        <w:footnoteRef/>
      </w:r>
      <w:r>
        <w:t xml:space="preserve"> Leases for the Legh family of Adlington are held within the Adlington Estate Archive. A significant portion of these sources have been transcribed by hand and were kindly made available to me by former estate archivist Simon Harris. The papers of the Legh family of Lyme Hall are held at Manchester Archives (GB124/E17) but did not need to be consulted in what follows. Leases for properties held by the Stanley family within Prestbury are all held at Lancashire Archives, in collection DDK. Original leases have not been considered, since they are unsorted and are stored across 200 boxes, but two lease registers are available for Macclesfield under references DDK/2102 and DDK/2103.</w:t>
      </w:r>
    </w:p>
  </w:footnote>
  <w:footnote w:id="110">
    <w:p w14:paraId="4C17FCD5" w14:textId="587F56A7" w:rsidR="00EC1EEB" w:rsidRDefault="00EC1EEB" w:rsidP="00EC1EEB">
      <w:pPr>
        <w:pStyle w:val="FootnoteText"/>
      </w:pPr>
      <w:r>
        <w:rPr>
          <w:rStyle w:val="FootnoteReference"/>
        </w:rPr>
        <w:footnoteRef/>
      </w:r>
      <w:r>
        <w:t xml:space="preserve"> ‘The National Heritage List for England: Search the List’, </w:t>
      </w:r>
      <w:r>
        <w:rPr>
          <w:i/>
          <w:iCs/>
        </w:rPr>
        <w:t>Historic England</w:t>
      </w:r>
      <w:r w:rsidR="00C47014">
        <w:rPr>
          <w:i/>
          <w:iCs/>
        </w:rPr>
        <w:t>,</w:t>
      </w:r>
      <w:r>
        <w:t xml:space="preserve"> [</w:t>
      </w:r>
      <w:r w:rsidRPr="00115B6E">
        <w:t>https://historicengland.org.uk/listing/the-list/</w:t>
      </w:r>
      <w:r>
        <w:t>; accessed 8 November 2024]</w:t>
      </w:r>
      <w:r w:rsidR="00527BDF">
        <w:t>.</w:t>
      </w:r>
    </w:p>
  </w:footnote>
  <w:footnote w:id="111">
    <w:p w14:paraId="4F4B4B00" w14:textId="3C789E0F" w:rsidR="00EC1EEB" w:rsidRDefault="00EC1EEB" w:rsidP="00EC1EEB">
      <w:pPr>
        <w:pStyle w:val="FootnoteText"/>
      </w:pPr>
      <w:r>
        <w:rPr>
          <w:rStyle w:val="FootnoteReference"/>
        </w:rPr>
        <w:footnoteRef/>
      </w:r>
      <w:r>
        <w:t xml:space="preserve"> I was aware that all inscribed properties would not necessarily be listed but found this a useful method for identifying areas rich in standing buildings.</w:t>
      </w:r>
      <w:r w:rsidRPr="00DD7DE9">
        <w:t xml:space="preserve"> </w:t>
      </w:r>
      <w:r>
        <w:t xml:space="preserve">Searches for each specific term were filtered by </w:t>
      </w:r>
      <w:proofErr w:type="gramStart"/>
      <w:r>
        <w:t>county</w:t>
      </w:r>
      <w:proofErr w:type="gramEnd"/>
      <w:r>
        <w:t xml:space="preserve"> and I examined both urban and rural areas. </w:t>
      </w:r>
      <w:r w:rsidR="003849FF">
        <w:t xml:space="preserve">A high turnover in </w:t>
      </w:r>
      <w:r w:rsidR="008710AE">
        <w:t xml:space="preserve">urban </w:t>
      </w:r>
      <w:r w:rsidR="003849FF">
        <w:t>property</w:t>
      </w:r>
      <w:r w:rsidR="00E44322">
        <w:t xml:space="preserve"> markets and h</w:t>
      </w:r>
      <w:r w:rsidR="001B2834">
        <w:t xml:space="preserve">igh </w:t>
      </w:r>
      <w:r w:rsidR="00E705BE">
        <w:t xml:space="preserve">levels of </w:t>
      </w:r>
      <w:r w:rsidR="007F3DDE">
        <w:t>cyclical rebuilding resulted in significantly lower numbers of surviving inscribed buildings</w:t>
      </w:r>
      <w:r w:rsidR="008710AE">
        <w:t xml:space="preserve"> </w:t>
      </w:r>
      <w:r w:rsidR="008710AE" w:rsidRPr="008710AE">
        <w:t>in towns and cities</w:t>
      </w:r>
      <w:r w:rsidR="00941EF1">
        <w:t xml:space="preserve">, </w:t>
      </w:r>
      <w:r w:rsidR="00E74EA2">
        <w:t xml:space="preserve">leading me to select two rural areas, since </w:t>
      </w:r>
      <w:r w:rsidR="00941EF1">
        <w:t xml:space="preserve">my methodology centred </w:t>
      </w:r>
      <w:r w:rsidR="00E74EA2">
        <w:t>around</w:t>
      </w:r>
      <w:r w:rsidR="00941EF1">
        <w:t xml:space="preserve"> standing buildings</w:t>
      </w:r>
      <w:r w:rsidR="00E74EA2">
        <w:t>.</w:t>
      </w:r>
    </w:p>
  </w:footnote>
  <w:footnote w:id="112">
    <w:p w14:paraId="16890DC1" w14:textId="282C3AC2" w:rsidR="00EC1EEB" w:rsidRPr="008D557E" w:rsidRDefault="00EC1EEB" w:rsidP="00EC1EEB">
      <w:pPr>
        <w:pStyle w:val="FootnoteText"/>
      </w:pPr>
      <w:r>
        <w:rPr>
          <w:rStyle w:val="FootnoteReference"/>
        </w:rPr>
        <w:footnoteRef/>
      </w:r>
      <w:r>
        <w:t xml:space="preserve"> John D. Marshall, (ed.), </w:t>
      </w:r>
      <w:r>
        <w:rPr>
          <w:i/>
          <w:iCs/>
        </w:rPr>
        <w:t xml:space="preserve">The Autobiography of William Stout of Lancaster, </w:t>
      </w:r>
      <w:r>
        <w:t>(Manchester, 1967), p.299</w:t>
      </w:r>
      <w:r w:rsidR="00527BDF">
        <w:t>.</w:t>
      </w:r>
    </w:p>
  </w:footnote>
  <w:footnote w:id="113">
    <w:p w14:paraId="22E154EB" w14:textId="43D6E225" w:rsidR="00EC1EEB" w:rsidRDefault="00EC1EEB" w:rsidP="00EC1EEB">
      <w:pPr>
        <w:pStyle w:val="FootnoteText"/>
      </w:pPr>
      <w:r>
        <w:rPr>
          <w:rStyle w:val="FootnoteReference"/>
        </w:rPr>
        <w:footnoteRef/>
      </w:r>
      <w:r>
        <w:t xml:space="preserve"> </w:t>
      </w:r>
      <w:r w:rsidRPr="00323A32">
        <w:rPr>
          <w:lang w:val="en-US"/>
        </w:rPr>
        <w:t xml:space="preserve">Garnett, </w:t>
      </w:r>
      <w:r w:rsidRPr="00323A32">
        <w:rPr>
          <w:i/>
          <w:iCs/>
          <w:lang w:val="en-US"/>
        </w:rPr>
        <w:t>Dated Buildings</w:t>
      </w:r>
      <w:r w:rsidR="00527BDF">
        <w:rPr>
          <w:i/>
          <w:iCs/>
          <w:lang w:val="en-US"/>
        </w:rPr>
        <w:t>.</w:t>
      </w:r>
    </w:p>
  </w:footnote>
  <w:footnote w:id="114">
    <w:p w14:paraId="398390DD" w14:textId="77777777" w:rsidR="00EC1EEB" w:rsidRDefault="00EC1EEB" w:rsidP="00EC1EEB">
      <w:pPr>
        <w:pStyle w:val="FootnoteText"/>
      </w:pPr>
      <w:r>
        <w:rPr>
          <w:rStyle w:val="FootnoteReference"/>
        </w:rPr>
        <w:footnoteRef/>
      </w:r>
      <w:r>
        <w:rPr>
          <w:lang w:val="en-US"/>
        </w:rPr>
        <w:t xml:space="preserve"> </w:t>
      </w:r>
      <w:r w:rsidRPr="004C30A7">
        <w:rPr>
          <w:lang w:val="en-US"/>
        </w:rPr>
        <w:t>I performed all</w:t>
      </w:r>
      <w:r w:rsidRPr="00BC23C1">
        <w:rPr>
          <w:lang w:val="en-US"/>
        </w:rPr>
        <w:t xml:space="preserve"> </w:t>
      </w:r>
      <w:r w:rsidRPr="004C30A7">
        <w:rPr>
          <w:lang w:val="en-US"/>
        </w:rPr>
        <w:t xml:space="preserve">searches </w:t>
      </w:r>
      <w:r w:rsidRPr="00BC23C1">
        <w:rPr>
          <w:lang w:val="en-US"/>
        </w:rPr>
        <w:t>f</w:t>
      </w:r>
      <w:r w:rsidRPr="004C30A7">
        <w:rPr>
          <w:lang w:val="en-US"/>
        </w:rPr>
        <w:t xml:space="preserve">or </w:t>
      </w:r>
      <w:r w:rsidRPr="00BC23C1">
        <w:rPr>
          <w:lang w:val="en-US"/>
        </w:rPr>
        <w:t xml:space="preserve">houses in </w:t>
      </w:r>
      <w:r w:rsidRPr="004C30A7">
        <w:rPr>
          <w:lang w:val="en-US"/>
        </w:rPr>
        <w:t>Bolton-le-Sands</w:t>
      </w:r>
      <w:r w:rsidRPr="00BC23C1">
        <w:rPr>
          <w:lang w:val="en-US"/>
        </w:rPr>
        <w:t xml:space="preserve"> before</w:t>
      </w:r>
      <w:r w:rsidRPr="004C30A7">
        <w:rPr>
          <w:lang w:val="en-US"/>
        </w:rPr>
        <w:t xml:space="preserve"> consulting Garnett’s </w:t>
      </w:r>
      <w:r w:rsidRPr="004C30A7">
        <w:rPr>
          <w:i/>
          <w:iCs/>
          <w:lang w:val="en-US"/>
        </w:rPr>
        <w:t>Dated Buildings</w:t>
      </w:r>
      <w:r w:rsidRPr="00BC23C1">
        <w:rPr>
          <w:i/>
          <w:iCs/>
          <w:lang w:val="en-US"/>
        </w:rPr>
        <w:t xml:space="preserve">, </w:t>
      </w:r>
      <w:r w:rsidRPr="00BC23C1">
        <w:rPr>
          <w:lang w:val="en-US"/>
        </w:rPr>
        <w:t>attempting to avoid</w:t>
      </w:r>
      <w:r w:rsidRPr="004C30A7">
        <w:rPr>
          <w:lang w:val="en-US"/>
        </w:rPr>
        <w:t xml:space="preserve"> repeating any errors</w:t>
      </w:r>
      <w:r w:rsidRPr="00BC23C1">
        <w:rPr>
          <w:lang w:val="en-US"/>
        </w:rPr>
        <w:t xml:space="preserve"> Garnett may have made</w:t>
      </w:r>
      <w:r>
        <w:rPr>
          <w:lang w:val="en-US"/>
        </w:rPr>
        <w:t>.</w:t>
      </w:r>
      <w:r w:rsidRPr="00BC23C1">
        <w:rPr>
          <w:sz w:val="24"/>
          <w:szCs w:val="24"/>
          <w:lang w:val="en-US"/>
        </w:rPr>
        <w:t xml:space="preserve"> </w:t>
      </w:r>
      <w:r w:rsidRPr="00BC23C1">
        <w:rPr>
          <w:lang w:val="en-US"/>
        </w:rPr>
        <w:t>My conclusions occasionally differed from Garnett’s and each instance of this is highlighted in what follows. Garnett also appears to have accessed additional sources that I could not retrace</w:t>
      </w:r>
      <w:r>
        <w:rPr>
          <w:lang w:val="en-US"/>
        </w:rPr>
        <w:t xml:space="preserve"> </w:t>
      </w:r>
      <w:proofErr w:type="gramStart"/>
      <w:r>
        <w:rPr>
          <w:lang w:val="en-US"/>
        </w:rPr>
        <w:t>and in these instances</w:t>
      </w:r>
      <w:r w:rsidRPr="00BC23C1">
        <w:rPr>
          <w:lang w:val="en-US"/>
        </w:rPr>
        <w:t>,</w:t>
      </w:r>
      <w:proofErr w:type="gramEnd"/>
      <w:r w:rsidRPr="00BC23C1">
        <w:rPr>
          <w:lang w:val="en-US"/>
        </w:rPr>
        <w:t xml:space="preserve"> Garnett is cited as the source </w:t>
      </w:r>
      <w:r>
        <w:rPr>
          <w:lang w:val="en-US"/>
        </w:rPr>
        <w:t>for</w:t>
      </w:r>
      <w:r w:rsidRPr="00BC23C1">
        <w:rPr>
          <w:lang w:val="en-US"/>
        </w:rPr>
        <w:t xml:space="preserve"> information on key life cycle event rather than any original primary source material.</w:t>
      </w:r>
    </w:p>
  </w:footnote>
  <w:footnote w:id="115">
    <w:p w14:paraId="075951CB" w14:textId="77777777" w:rsidR="00EC1EEB" w:rsidRDefault="00EC1EEB" w:rsidP="00EC1EEB">
      <w:pPr>
        <w:pStyle w:val="FootnoteText"/>
      </w:pPr>
      <w:r>
        <w:rPr>
          <w:rStyle w:val="FootnoteReference"/>
        </w:rPr>
        <w:footnoteRef/>
      </w:r>
      <w:r>
        <w:t xml:space="preserve"> This issue was more prevalent in Prestbury. Although Prestbury was a large parish, it had very few chapelries and it is questionable whether parishioners in townships distant from Prestbury parish church were consistently able to attend church </w:t>
      </w:r>
      <w:r>
        <w:rPr>
          <w:lang w:val="en-US"/>
        </w:rPr>
        <w:t xml:space="preserve">services. This dynamic is explored in greater depth in Chapter </w:t>
      </w:r>
      <w:proofErr w:type="gramStart"/>
      <w:r>
        <w:rPr>
          <w:lang w:val="en-US"/>
        </w:rPr>
        <w:t>Two, but</w:t>
      </w:r>
      <w:proofErr w:type="gramEnd"/>
      <w:r>
        <w:rPr>
          <w:lang w:val="en-US"/>
        </w:rPr>
        <w:t xml:space="preserve"> explain low coverage of key life cycle events in parish registers.</w:t>
      </w:r>
    </w:p>
  </w:footnote>
  <w:footnote w:id="116">
    <w:p w14:paraId="08A3949E" w14:textId="25AE6BBA" w:rsidR="00EC1EEB" w:rsidRDefault="00EC1EEB" w:rsidP="00EC1EEB">
      <w:pPr>
        <w:pStyle w:val="FootnoteText"/>
      </w:pPr>
      <w:r>
        <w:rPr>
          <w:rStyle w:val="FootnoteReference"/>
        </w:rPr>
        <w:footnoteRef/>
      </w:r>
      <w:r>
        <w:t xml:space="preserve"> Keith Wrightson, </w:t>
      </w:r>
      <w:r w:rsidRPr="004F6065">
        <w:rPr>
          <w:i/>
          <w:iCs/>
        </w:rPr>
        <w:t xml:space="preserve">English Society, 1580-1680, </w:t>
      </w:r>
      <w:r w:rsidRPr="004F6065">
        <w:t>(London, 2002)</w:t>
      </w:r>
      <w:r>
        <w:t>,</w:t>
      </w:r>
      <w:r w:rsidRPr="004F6065">
        <w:t xml:space="preserve"> </w:t>
      </w:r>
      <w:r>
        <w:t>p.27</w:t>
      </w:r>
      <w:r w:rsidR="00527BDF">
        <w:t>.</w:t>
      </w:r>
    </w:p>
  </w:footnote>
  <w:footnote w:id="117">
    <w:p w14:paraId="068929E6" w14:textId="2F678095" w:rsidR="00EC1EEB" w:rsidRPr="00DB2C92" w:rsidRDefault="00EC1EEB" w:rsidP="00EC1EEB">
      <w:pPr>
        <w:pStyle w:val="FootnoteText"/>
        <w:rPr>
          <w:i/>
          <w:iCs/>
        </w:rPr>
      </w:pPr>
      <w:r>
        <w:rPr>
          <w:rStyle w:val="FootnoteReference"/>
        </w:rPr>
        <w:footnoteRef/>
      </w:r>
      <w:r>
        <w:t xml:space="preserve"> Ibid., p.33</w:t>
      </w:r>
      <w:r w:rsidR="00527BDF">
        <w:t>.</w:t>
      </w:r>
    </w:p>
  </w:footnote>
  <w:footnote w:id="118">
    <w:p w14:paraId="57190E62" w14:textId="30BCAEF1" w:rsidR="00EC1EEB" w:rsidRPr="00CC1FAC" w:rsidRDefault="00EC1EEB" w:rsidP="00EC1EEB">
      <w:pPr>
        <w:pStyle w:val="FootnoteText"/>
      </w:pPr>
      <w:r>
        <w:rPr>
          <w:rStyle w:val="FootnoteReference"/>
        </w:rPr>
        <w:footnoteRef/>
      </w:r>
      <w:r>
        <w:t xml:space="preserve"> Gerald B. Hertz, ‘The English silk industry in the eighteenth century’, </w:t>
      </w:r>
      <w:r>
        <w:rPr>
          <w:i/>
          <w:iCs/>
        </w:rPr>
        <w:t xml:space="preserve">The English Historical Review, </w:t>
      </w:r>
      <w:r>
        <w:t xml:space="preserve">Vol. 24, No. 96, (1909), pp.710-727. Macclesfield was a chapelry within Prestbury parish until 1835, when the townships of </w:t>
      </w:r>
      <w:proofErr w:type="spellStart"/>
      <w:r>
        <w:t>Hurdsfield</w:t>
      </w:r>
      <w:proofErr w:type="spellEnd"/>
      <w:r>
        <w:t xml:space="preserve">, Kettleshulme and Macclesfield were all absorbed into the </w:t>
      </w:r>
      <w:proofErr w:type="gramStart"/>
      <w:r>
        <w:t>newly-formed</w:t>
      </w:r>
      <w:proofErr w:type="gramEnd"/>
      <w:r>
        <w:t xml:space="preserve"> parish of Macclesfield. The church of St Michael and All Angels became the parish church at this point, but had its own baptism, marriage and burial registers commencing in 1572. Samuel Lewis, </w:t>
      </w:r>
      <w:r>
        <w:rPr>
          <w:i/>
          <w:iCs/>
        </w:rPr>
        <w:t xml:space="preserve">A Topographical Dictionary of England, Volume 3, </w:t>
      </w:r>
      <w:r>
        <w:t xml:space="preserve">(London, 1845), p.202; Cheshire Record Office (hereafter CRO): P 85, Parish </w:t>
      </w:r>
      <w:proofErr w:type="gramStart"/>
      <w:r>
        <w:t>register</w:t>
      </w:r>
      <w:proofErr w:type="gramEnd"/>
      <w:r>
        <w:t xml:space="preserve"> for St Michael and All Angels’ Church, Macclesfield, 1572-1937</w:t>
      </w:r>
      <w:r w:rsidR="00527BDF">
        <w:t>.</w:t>
      </w:r>
    </w:p>
  </w:footnote>
  <w:footnote w:id="119">
    <w:p w14:paraId="7749976C" w14:textId="290C070D" w:rsidR="00EC1EEB" w:rsidRPr="00751CBA" w:rsidRDefault="00EC1EEB" w:rsidP="00EC1EEB">
      <w:pPr>
        <w:pStyle w:val="FootnoteText"/>
      </w:pPr>
      <w:r>
        <w:rPr>
          <w:rStyle w:val="FootnoteReference"/>
        </w:rPr>
        <w:footnoteRef/>
      </w:r>
      <w:r>
        <w:t xml:space="preserve"> Margaret Hunt, </w:t>
      </w:r>
      <w:r w:rsidRPr="00841F4B">
        <w:rPr>
          <w:i/>
          <w:iCs/>
        </w:rPr>
        <w:t>The Middling Sort: Commerce, Gender and the Family in England, 1680-1780</w:t>
      </w:r>
      <w:r>
        <w:rPr>
          <w:i/>
          <w:iCs/>
        </w:rPr>
        <w:t xml:space="preserve">, </w:t>
      </w:r>
      <w:r>
        <w:t xml:space="preserve">(Oakland, 1996); Henry R. French, </w:t>
      </w:r>
      <w:r w:rsidRPr="008A3668">
        <w:t>‘The search for the ‘middle sort of people’ in England, 1600-1800'</w:t>
      </w:r>
      <w:r>
        <w:t xml:space="preserve">, </w:t>
      </w:r>
      <w:r>
        <w:rPr>
          <w:i/>
          <w:iCs/>
        </w:rPr>
        <w:t xml:space="preserve">Historical Journal, </w:t>
      </w:r>
      <w:r>
        <w:t>Vol. 43, No. 1,</w:t>
      </w:r>
      <w:r>
        <w:rPr>
          <w:i/>
          <w:iCs/>
        </w:rPr>
        <w:t xml:space="preserve"> </w:t>
      </w:r>
      <w:r>
        <w:t>(2000), pp.277-293; Henry R. French,</w:t>
      </w:r>
      <w:r w:rsidRPr="008A0F40">
        <w:rPr>
          <w:i/>
          <w:iCs/>
        </w:rPr>
        <w:t xml:space="preserve"> The Middle Sort of People in Provincial England, 1600-1750</w:t>
      </w:r>
      <w:r>
        <w:rPr>
          <w:i/>
          <w:iCs/>
        </w:rPr>
        <w:t xml:space="preserve">, </w:t>
      </w:r>
      <w:r>
        <w:t xml:space="preserve">(Oxford, 2007); Jonathan Barry and Christopher Brooks (eds), </w:t>
      </w:r>
      <w:r>
        <w:rPr>
          <w:i/>
          <w:iCs/>
        </w:rPr>
        <w:t xml:space="preserve">The Middling Sort of People: Culture, Society and Politics in England 1550-1800, </w:t>
      </w:r>
      <w:r>
        <w:t>(Basingstoke, 1994)</w:t>
      </w:r>
      <w:r w:rsidR="00F928D2">
        <w:t>.</w:t>
      </w:r>
    </w:p>
  </w:footnote>
  <w:footnote w:id="120">
    <w:p w14:paraId="5D42F18F" w14:textId="4D774C3F" w:rsidR="00EC1EEB" w:rsidRDefault="00EC1EEB" w:rsidP="00EC1EEB">
      <w:pPr>
        <w:pStyle w:val="FootnoteText"/>
      </w:pPr>
      <w:r>
        <w:rPr>
          <w:rStyle w:val="FootnoteReference"/>
        </w:rPr>
        <w:footnoteRef/>
      </w:r>
      <w:r>
        <w:t xml:space="preserve"> Hunt, </w:t>
      </w:r>
      <w:r>
        <w:rPr>
          <w:i/>
          <w:iCs/>
        </w:rPr>
        <w:t xml:space="preserve">The Middling Sort, </w:t>
      </w:r>
      <w:r>
        <w:t>p.15</w:t>
      </w:r>
      <w:r w:rsidR="00F928D2">
        <w:t>.</w:t>
      </w:r>
    </w:p>
  </w:footnote>
  <w:footnote w:id="121">
    <w:p w14:paraId="6C39E75E" w14:textId="74B4F482" w:rsidR="00EC1EEB" w:rsidRDefault="00EC1EEB" w:rsidP="00EC1EEB">
      <w:pPr>
        <w:pStyle w:val="FootnoteText"/>
      </w:pPr>
      <w:r>
        <w:rPr>
          <w:rStyle w:val="FootnoteReference"/>
        </w:rPr>
        <w:footnoteRef/>
      </w:r>
      <w:r>
        <w:t xml:space="preserve"> Barry and Brooks, </w:t>
      </w:r>
      <w:r>
        <w:rPr>
          <w:i/>
          <w:iCs/>
        </w:rPr>
        <w:t>The Middling Sort</w:t>
      </w:r>
      <w:r w:rsidRPr="00516183">
        <w:rPr>
          <w:i/>
          <w:iCs/>
        </w:rPr>
        <w:t xml:space="preserve">, </w:t>
      </w:r>
      <w:r w:rsidRPr="00516183">
        <w:t>p.</w:t>
      </w:r>
      <w:r>
        <w:t>2</w:t>
      </w:r>
      <w:r w:rsidR="00F928D2">
        <w:t>.</w:t>
      </w:r>
    </w:p>
  </w:footnote>
  <w:footnote w:id="122">
    <w:p w14:paraId="046DFAFC" w14:textId="5D152772" w:rsidR="00EC1EEB" w:rsidRDefault="00EC1EEB" w:rsidP="00EC1EEB">
      <w:pPr>
        <w:pStyle w:val="FootnoteText"/>
      </w:pPr>
      <w:r>
        <w:rPr>
          <w:rStyle w:val="FootnoteReference"/>
        </w:rPr>
        <w:footnoteRef/>
      </w:r>
      <w:r>
        <w:t xml:space="preserve"> Ibid.; Hunt,</w:t>
      </w:r>
      <w:r w:rsidRPr="007C23AC">
        <w:rPr>
          <w:i/>
          <w:iCs/>
          <w:sz w:val="24"/>
        </w:rPr>
        <w:t xml:space="preserve"> </w:t>
      </w:r>
      <w:r w:rsidRPr="007C23AC">
        <w:rPr>
          <w:i/>
          <w:iCs/>
        </w:rPr>
        <w:t>The Middling Sort</w:t>
      </w:r>
      <w:r>
        <w:t>, p.15</w:t>
      </w:r>
      <w:r w:rsidR="00F928D2">
        <w:t>.</w:t>
      </w:r>
    </w:p>
  </w:footnote>
  <w:footnote w:id="123">
    <w:p w14:paraId="0A425683" w14:textId="0F9722F3" w:rsidR="00EC1EEB" w:rsidRDefault="00EC1EEB" w:rsidP="00EC1EEB">
      <w:pPr>
        <w:pStyle w:val="FootnoteText"/>
      </w:pPr>
      <w:r>
        <w:rPr>
          <w:rStyle w:val="FootnoteReference"/>
        </w:rPr>
        <w:footnoteRef/>
      </w:r>
      <w:r>
        <w:t xml:space="preserve"> Weatherill, </w:t>
      </w:r>
      <w:r>
        <w:rPr>
          <w:i/>
          <w:iCs/>
        </w:rPr>
        <w:t>Consumer Behaviour</w:t>
      </w:r>
      <w:r>
        <w:t xml:space="preserve">, pp.13-14; The website of the recent </w:t>
      </w:r>
      <w:r w:rsidRPr="002E0751">
        <w:rPr>
          <w:i/>
          <w:iCs/>
        </w:rPr>
        <w:t>Middling Culture</w:t>
      </w:r>
      <w:r>
        <w:t xml:space="preserve"> project elucidates the various categories comprising the broad group of the middling sorts in greater detail. Although primarily centring urban experiences, some definitions are still applicable in the rural context explored here. ‘Substantial yeomen’, for example, have been defined as ‘upper middling’ status, likely having had ‘at least a grammar school education’ and potentially wealthy enough to be approaching elite status and gain a coat of arms in later life. This definition applies to some of the families considered here. Most, however, were of ‘yeoman’ status, also referred to as ‘solid / accumulative middling’ status by the </w:t>
      </w:r>
      <w:r w:rsidRPr="002E0751">
        <w:rPr>
          <w:i/>
          <w:iCs/>
        </w:rPr>
        <w:t>Middling Culture</w:t>
      </w:r>
      <w:r>
        <w:t xml:space="preserve"> project team. This group were characterised by ‘some claim on property’, potentially holding ‘minor public office roles’ and often ‘actively’ seeking to ‘increase their cultural capital (through leisure activities, furnishings, household items, and social networks)’. Crucially, this group have also been interpreted as keen to ‘shore up this status for their families and children’, as seen in many of the case studies explored here. Catherine Richardson, Tara Hamling and Graeme Earl, ‘Social Statuses of Early Modern England’, </w:t>
      </w:r>
      <w:r>
        <w:rPr>
          <w:i/>
          <w:iCs/>
        </w:rPr>
        <w:t>Middling Culture: The Cultural Lives of the Middling Sort: Writing and Material Culture, 1560-1660,</w:t>
      </w:r>
      <w:r>
        <w:t xml:space="preserve"> [</w:t>
      </w:r>
      <w:r w:rsidRPr="00CE7D34">
        <w:t>https://middlingculture.com/social-statuses-of-early-modern-england/#Upper-Middling</w:t>
      </w:r>
      <w:r>
        <w:t>; accessed 1 December 2024]</w:t>
      </w:r>
      <w:r w:rsidR="00F928D2">
        <w:t>.</w:t>
      </w:r>
    </w:p>
  </w:footnote>
  <w:footnote w:id="124">
    <w:p w14:paraId="2DFDA593" w14:textId="75412239" w:rsidR="00EC1EEB" w:rsidRDefault="00EC1EEB" w:rsidP="00EC1EEB">
      <w:pPr>
        <w:pStyle w:val="FootnoteText"/>
      </w:pPr>
      <w:r>
        <w:rPr>
          <w:rStyle w:val="FootnoteReference"/>
        </w:rPr>
        <w:footnoteRef/>
      </w:r>
      <w:r>
        <w:t xml:space="preserve"> Phil Withington, ‘The invention of ‘happiness’’, in Michael Braddick and Joanna Innes (eds), </w:t>
      </w:r>
      <w:r>
        <w:rPr>
          <w:i/>
          <w:iCs/>
        </w:rPr>
        <w:t xml:space="preserve">Suffering and Happiness in England 1550-1850: Narratives and Representations, </w:t>
      </w:r>
      <w:r>
        <w:t>(Oxford, 2017), pp.23-44</w:t>
      </w:r>
      <w:r w:rsidR="00F928D2">
        <w:t>.</w:t>
      </w:r>
    </w:p>
  </w:footnote>
  <w:footnote w:id="125">
    <w:p w14:paraId="177F3011" w14:textId="5ECADE64" w:rsidR="003B4249" w:rsidRDefault="003B4249" w:rsidP="003B4249">
      <w:pPr>
        <w:pStyle w:val="FootnoteText"/>
      </w:pPr>
      <w:r w:rsidRPr="2B6AD8D2">
        <w:rPr>
          <w:rStyle w:val="FootnoteReference"/>
        </w:rPr>
        <w:footnoteRef/>
      </w:r>
      <w:r>
        <w:t xml:space="preserve"> “</w:t>
      </w:r>
      <w:proofErr w:type="gramStart"/>
      <w:r>
        <w:t>inscription</w:t>
      </w:r>
      <w:proofErr w:type="gramEnd"/>
      <w:r>
        <w:t>, (</w:t>
      </w:r>
      <w:r w:rsidRPr="00B6344D">
        <w:rPr>
          <w:i/>
          <w:iCs/>
        </w:rPr>
        <w:t>n</w:t>
      </w:r>
      <w:r>
        <w:t xml:space="preserve">.), 2.”, </w:t>
      </w:r>
      <w:r w:rsidRPr="2B6AD8D2">
        <w:rPr>
          <w:i/>
          <w:iCs/>
        </w:rPr>
        <w:t>Oxford English Dictionary Online</w:t>
      </w:r>
      <w:r w:rsidR="00CB3884">
        <w:rPr>
          <w:i/>
          <w:iCs/>
        </w:rPr>
        <w:t xml:space="preserve"> (OED)</w:t>
      </w:r>
      <w:r w:rsidRPr="2B6AD8D2">
        <w:rPr>
          <w:i/>
          <w:iCs/>
        </w:rPr>
        <w:t xml:space="preserve">, </w:t>
      </w:r>
      <w:r w:rsidRPr="2B6AD8D2">
        <w:t>(Oxford, 2020), [</w:t>
      </w:r>
      <w:r w:rsidRPr="00072CE4">
        <w:t>https://doi.org/10.1093/OED/5453391824</w:t>
      </w:r>
      <w:r>
        <w:t xml:space="preserve">; </w:t>
      </w:r>
      <w:r w:rsidRPr="2B6AD8D2">
        <w:t>accessed 30 October 2020]</w:t>
      </w:r>
      <w:r w:rsidR="00F928D2">
        <w:t>.</w:t>
      </w:r>
    </w:p>
  </w:footnote>
  <w:footnote w:id="126">
    <w:p w14:paraId="0563BC8B" w14:textId="27C27B92" w:rsidR="003B4249" w:rsidRPr="00CF0010" w:rsidRDefault="003B4249" w:rsidP="003B4249">
      <w:pPr>
        <w:pStyle w:val="FootnoteText"/>
        <w:rPr>
          <w:i/>
          <w:iCs/>
          <w:lang w:val="fr-FR"/>
        </w:rPr>
      </w:pPr>
      <w:r w:rsidRPr="53F40E0C">
        <w:rPr>
          <w:rStyle w:val="FootnoteReference"/>
        </w:rPr>
        <w:footnoteRef/>
      </w:r>
      <w:r w:rsidRPr="004E7146">
        <w:rPr>
          <w:lang w:val="fr-FR"/>
        </w:rPr>
        <w:t xml:space="preserve"> </w:t>
      </w:r>
      <w:proofErr w:type="gramStart"/>
      <w:r w:rsidRPr="004E7146">
        <w:rPr>
          <w:lang w:val="fr-FR"/>
        </w:rPr>
        <w:t>Ibid.;</w:t>
      </w:r>
      <w:proofErr w:type="gramEnd"/>
      <w:r w:rsidRPr="004E7146">
        <w:rPr>
          <w:lang w:val="fr-FR"/>
        </w:rPr>
        <w:t xml:space="preserve"> “inscription, </w:t>
      </w:r>
      <w:r>
        <w:rPr>
          <w:lang w:val="fr-FR"/>
        </w:rPr>
        <w:t>(</w:t>
      </w:r>
      <w:r w:rsidRPr="00B6344D">
        <w:rPr>
          <w:i/>
          <w:iCs/>
          <w:lang w:val="fr-FR"/>
        </w:rPr>
        <w:t>n</w:t>
      </w:r>
      <w:r w:rsidRPr="004E7146">
        <w:rPr>
          <w:lang w:val="fr-FR"/>
        </w:rPr>
        <w:t>.</w:t>
      </w:r>
      <w:r>
        <w:rPr>
          <w:lang w:val="fr-FR"/>
        </w:rPr>
        <w:t>),</w:t>
      </w:r>
      <w:r w:rsidRPr="004E7146">
        <w:rPr>
          <w:lang w:val="fr-FR"/>
        </w:rPr>
        <w:t xml:space="preserve"> 3. a.”</w:t>
      </w:r>
      <w:r>
        <w:rPr>
          <w:lang w:val="fr-FR"/>
        </w:rPr>
        <w:t xml:space="preserve">, </w:t>
      </w:r>
      <w:r>
        <w:rPr>
          <w:i/>
          <w:iCs/>
          <w:lang w:val="fr-FR"/>
        </w:rPr>
        <w:t xml:space="preserve">OED, </w:t>
      </w:r>
      <w:r w:rsidRPr="00CF0010">
        <w:t>[</w:t>
      </w:r>
      <w:proofErr w:type="gramStart"/>
      <w:r w:rsidRPr="00072CE4">
        <w:t>https://doi.org/10.1093/OED/5453391824</w:t>
      </w:r>
      <w:r w:rsidRPr="00CF0010">
        <w:t>;</w:t>
      </w:r>
      <w:proofErr w:type="gramEnd"/>
      <w:r w:rsidRPr="00CF0010">
        <w:t xml:space="preserve"> accessed 30 October 2020]</w:t>
      </w:r>
      <w:r w:rsidR="00F928D2">
        <w:t>.</w:t>
      </w:r>
    </w:p>
  </w:footnote>
  <w:footnote w:id="127">
    <w:p w14:paraId="5E44D518" w14:textId="6B0B5053" w:rsidR="003B4249" w:rsidRPr="004E7146" w:rsidRDefault="003B4249" w:rsidP="003B4249">
      <w:pPr>
        <w:pStyle w:val="FootnoteText"/>
        <w:rPr>
          <w:lang w:val="fr-FR"/>
        </w:rPr>
      </w:pPr>
      <w:r w:rsidRPr="53F40E0C">
        <w:rPr>
          <w:rStyle w:val="FootnoteReference"/>
        </w:rPr>
        <w:footnoteRef/>
      </w:r>
      <w:r w:rsidRPr="004E7146">
        <w:rPr>
          <w:lang w:val="fr-FR"/>
        </w:rPr>
        <w:t xml:space="preserve"> </w:t>
      </w:r>
      <w:r w:rsidRPr="00BD7BDD">
        <w:rPr>
          <w:lang w:val="fr-FR"/>
        </w:rPr>
        <w:t xml:space="preserve">“inscription, </w:t>
      </w:r>
      <w:r>
        <w:rPr>
          <w:lang w:val="fr-FR"/>
        </w:rPr>
        <w:t>(</w:t>
      </w:r>
      <w:r w:rsidRPr="00B6344D">
        <w:rPr>
          <w:i/>
          <w:iCs/>
          <w:lang w:val="fr-FR"/>
        </w:rPr>
        <w:t>n</w:t>
      </w:r>
      <w:r w:rsidRPr="00BD7BDD">
        <w:rPr>
          <w:lang w:val="fr-FR"/>
        </w:rPr>
        <w:t>.</w:t>
      </w:r>
      <w:r>
        <w:rPr>
          <w:lang w:val="fr-FR"/>
        </w:rPr>
        <w:t>),</w:t>
      </w:r>
      <w:r w:rsidRPr="00BD7BDD">
        <w:rPr>
          <w:lang w:val="fr-FR"/>
        </w:rPr>
        <w:t xml:space="preserve"> 2.”</w:t>
      </w:r>
      <w:r>
        <w:rPr>
          <w:lang w:val="fr-FR"/>
        </w:rPr>
        <w:t xml:space="preserve">, </w:t>
      </w:r>
      <w:r w:rsidRPr="00A2213B">
        <w:rPr>
          <w:i/>
          <w:iCs/>
          <w:lang w:val="fr-FR"/>
        </w:rPr>
        <w:t>OED,</w:t>
      </w:r>
      <w:r w:rsidRPr="00A2213B">
        <w:rPr>
          <w:lang w:val="fr-FR"/>
        </w:rPr>
        <w:t xml:space="preserve"> </w:t>
      </w:r>
      <w:r w:rsidRPr="00A2213B">
        <w:t>[</w:t>
      </w:r>
      <w:proofErr w:type="gramStart"/>
      <w:r w:rsidRPr="00072CE4">
        <w:t>https://doi.org/10.1093/OED/5453391824</w:t>
      </w:r>
      <w:r w:rsidRPr="00A2213B">
        <w:t>;</w:t>
      </w:r>
      <w:proofErr w:type="gramEnd"/>
      <w:r w:rsidRPr="00A2213B">
        <w:t xml:space="preserve"> accessed 30 October 2020</w:t>
      </w:r>
      <w:proofErr w:type="gramStart"/>
      <w:r w:rsidRPr="00A2213B">
        <w:t>]</w:t>
      </w:r>
      <w:r>
        <w:rPr>
          <w:lang w:val="fr-FR"/>
        </w:rPr>
        <w:t>;</w:t>
      </w:r>
      <w:proofErr w:type="gramEnd"/>
      <w:r>
        <w:rPr>
          <w:lang w:val="fr-FR"/>
        </w:rPr>
        <w:t xml:space="preserve"> </w:t>
      </w:r>
      <w:r w:rsidRPr="004E7146">
        <w:rPr>
          <w:lang w:val="fr-FR"/>
        </w:rPr>
        <w:t xml:space="preserve">“inscription, </w:t>
      </w:r>
      <w:r>
        <w:rPr>
          <w:lang w:val="fr-FR"/>
        </w:rPr>
        <w:t>(</w:t>
      </w:r>
      <w:r w:rsidRPr="00B6344D">
        <w:rPr>
          <w:i/>
          <w:iCs/>
          <w:lang w:val="fr-FR"/>
        </w:rPr>
        <w:t>n.</w:t>
      </w:r>
      <w:r>
        <w:rPr>
          <w:lang w:val="fr-FR"/>
        </w:rPr>
        <w:t xml:space="preserve">), </w:t>
      </w:r>
      <w:r w:rsidRPr="004E7146">
        <w:rPr>
          <w:lang w:val="fr-FR"/>
        </w:rPr>
        <w:t>4.”</w:t>
      </w:r>
      <w:r>
        <w:rPr>
          <w:lang w:val="fr-FR"/>
        </w:rPr>
        <w:t xml:space="preserve">, </w:t>
      </w:r>
      <w:r>
        <w:rPr>
          <w:i/>
          <w:iCs/>
          <w:lang w:val="fr-FR"/>
        </w:rPr>
        <w:t>OED,</w:t>
      </w:r>
      <w:r>
        <w:rPr>
          <w:lang w:val="fr-FR"/>
        </w:rPr>
        <w:t xml:space="preserve"> </w:t>
      </w:r>
      <w:r w:rsidRPr="00CF0010">
        <w:t>[</w:t>
      </w:r>
      <w:proofErr w:type="gramStart"/>
      <w:r w:rsidRPr="00072CE4">
        <w:t>https://doi.org/10.1093/OED/5453391824</w:t>
      </w:r>
      <w:r w:rsidRPr="00CF0010">
        <w:t>;</w:t>
      </w:r>
      <w:proofErr w:type="gramEnd"/>
      <w:r w:rsidRPr="00CF0010">
        <w:t xml:space="preserve"> accessed 30 October 2020]</w:t>
      </w:r>
      <w:r w:rsidR="00F928D2">
        <w:t>.</w:t>
      </w:r>
    </w:p>
  </w:footnote>
  <w:footnote w:id="128">
    <w:p w14:paraId="11AFE731" w14:textId="2C157A83" w:rsidR="003B4249" w:rsidRDefault="003B4249" w:rsidP="003B4249">
      <w:pPr>
        <w:pStyle w:val="FootnoteText"/>
      </w:pPr>
      <w:r>
        <w:rPr>
          <w:rStyle w:val="FootnoteReference"/>
        </w:rPr>
        <w:footnoteRef/>
      </w:r>
      <w:r>
        <w:t xml:space="preserve"> </w:t>
      </w:r>
      <w:r w:rsidRPr="00E174DD">
        <w:t xml:space="preserve">John Kersey, </w:t>
      </w:r>
      <w:r w:rsidRPr="00E174DD">
        <w:rPr>
          <w:i/>
        </w:rPr>
        <w:t>Dictionarium Anglo-</w:t>
      </w:r>
      <w:proofErr w:type="spellStart"/>
      <w:r w:rsidRPr="00E174DD">
        <w:rPr>
          <w:i/>
        </w:rPr>
        <w:t>Britannicum</w:t>
      </w:r>
      <w:proofErr w:type="spellEnd"/>
      <w:r w:rsidRPr="00E174DD">
        <w:rPr>
          <w:i/>
        </w:rPr>
        <w:t xml:space="preserve">: or, A General English Dictionary, </w:t>
      </w:r>
      <w:r w:rsidRPr="00E174DD">
        <w:t>(London, 1708)</w:t>
      </w:r>
      <w:r>
        <w:t>, p.IN</w:t>
      </w:r>
      <w:r w:rsidR="00F928D2">
        <w:t>.</w:t>
      </w:r>
    </w:p>
  </w:footnote>
  <w:footnote w:id="129">
    <w:p w14:paraId="244504BD" w14:textId="163EBAC9" w:rsidR="003B4249" w:rsidRDefault="003B4249" w:rsidP="003B4249">
      <w:pPr>
        <w:pStyle w:val="FootnoteText"/>
      </w:pPr>
      <w:r>
        <w:rPr>
          <w:rStyle w:val="FootnoteReference"/>
        </w:rPr>
        <w:footnoteRef/>
      </w:r>
      <w:r>
        <w:t xml:space="preserve"> Ibid</w:t>
      </w:r>
      <w:r w:rsidR="00164F5D">
        <w:t>.</w:t>
      </w:r>
    </w:p>
  </w:footnote>
  <w:footnote w:id="130">
    <w:p w14:paraId="4663AB8F" w14:textId="4F09BEE4" w:rsidR="00787A9C" w:rsidRDefault="00787A9C" w:rsidP="00787A9C">
      <w:pPr>
        <w:pStyle w:val="FootnoteText"/>
      </w:pPr>
      <w:r>
        <w:rPr>
          <w:rStyle w:val="FootnoteReference"/>
        </w:rPr>
        <w:footnoteRef/>
      </w:r>
      <w:r>
        <w:t xml:space="preserve"> Michael Stolberg, ‘Emotions and the body in early modern medicine’, </w:t>
      </w:r>
      <w:r>
        <w:rPr>
          <w:i/>
        </w:rPr>
        <w:t xml:space="preserve">Emotion Review, </w:t>
      </w:r>
      <w:r>
        <w:t>Vol. 11, No. 2, (2019), pp.113-122</w:t>
      </w:r>
      <w:r w:rsidR="00F928D2">
        <w:t>.</w:t>
      </w:r>
    </w:p>
  </w:footnote>
  <w:footnote w:id="131">
    <w:p w14:paraId="78B9558D" w14:textId="43ED1FB9" w:rsidR="00787A9C" w:rsidRDefault="00787A9C" w:rsidP="00787A9C">
      <w:pPr>
        <w:pStyle w:val="FootnoteText"/>
      </w:pPr>
      <w:r>
        <w:rPr>
          <w:rStyle w:val="FootnoteReference"/>
        </w:rPr>
        <w:footnoteRef/>
      </w:r>
      <w:r>
        <w:t xml:space="preserve"> Ibid., p.114</w:t>
      </w:r>
      <w:r w:rsidR="00F928D2">
        <w:t>.</w:t>
      </w:r>
    </w:p>
  </w:footnote>
  <w:footnote w:id="132">
    <w:p w14:paraId="791402CC" w14:textId="7AE6CF73" w:rsidR="00787A9C" w:rsidRPr="002239EE" w:rsidRDefault="00787A9C" w:rsidP="00787A9C">
      <w:pPr>
        <w:pStyle w:val="FootnoteText"/>
      </w:pPr>
      <w:r>
        <w:rPr>
          <w:rStyle w:val="FootnoteReference"/>
        </w:rPr>
        <w:footnoteRef/>
      </w:r>
      <w:r>
        <w:t xml:space="preserve"> </w:t>
      </w:r>
      <w:r w:rsidRPr="004255D1">
        <w:t xml:space="preserve">Katie Barclay and Bronwyn Reddan (eds), </w:t>
      </w:r>
      <w:r w:rsidRPr="004255D1">
        <w:rPr>
          <w:i/>
          <w:iCs/>
        </w:rPr>
        <w:t xml:space="preserve">The Feeling Heart in Medieval and Early Modern Europe: Meaning, Embodiment, and Making, </w:t>
      </w:r>
      <w:r w:rsidRPr="004255D1">
        <w:t xml:space="preserve">(Berlin, 2020), </w:t>
      </w:r>
      <w:r>
        <w:t>p.7</w:t>
      </w:r>
      <w:r w:rsidR="00F928D2">
        <w:t>.</w:t>
      </w:r>
    </w:p>
  </w:footnote>
  <w:footnote w:id="133">
    <w:p w14:paraId="0FBC40A0" w14:textId="060CAF01" w:rsidR="00787A9C" w:rsidRDefault="00787A9C" w:rsidP="00787A9C">
      <w:pPr>
        <w:pStyle w:val="FootnoteText"/>
      </w:pPr>
      <w:r>
        <w:rPr>
          <w:rStyle w:val="FootnoteReference"/>
        </w:rPr>
        <w:footnoteRef/>
      </w:r>
      <w:r>
        <w:t xml:space="preserve"> </w:t>
      </w:r>
      <w:r w:rsidRPr="000A4BB5">
        <w:t xml:space="preserve">Richard Sugg, </w:t>
      </w:r>
      <w:r w:rsidRPr="000A4BB5">
        <w:rPr>
          <w:i/>
          <w:iCs/>
        </w:rPr>
        <w:t xml:space="preserve">The Smoke of the Soul: Medicine, Physiology and Religion in Early Modern England, </w:t>
      </w:r>
      <w:r w:rsidRPr="000A4BB5">
        <w:t xml:space="preserve">(London, 2013), </w:t>
      </w:r>
      <w:r>
        <w:t>p.14; Ibid.</w:t>
      </w:r>
    </w:p>
  </w:footnote>
  <w:footnote w:id="134">
    <w:p w14:paraId="4407FEFC" w14:textId="03B1676A" w:rsidR="00787A9C" w:rsidRDefault="00787A9C" w:rsidP="00787A9C">
      <w:pPr>
        <w:pStyle w:val="FootnoteText"/>
      </w:pPr>
      <w:r>
        <w:rPr>
          <w:rStyle w:val="FootnoteReference"/>
        </w:rPr>
        <w:footnoteRef/>
      </w:r>
      <w:r>
        <w:t xml:space="preserve"> Sugg, </w:t>
      </w:r>
      <w:r w:rsidRPr="000A4BB5">
        <w:rPr>
          <w:i/>
          <w:iCs/>
        </w:rPr>
        <w:t>Smoke</w:t>
      </w:r>
      <w:r>
        <w:t xml:space="preserve">, </w:t>
      </w:r>
      <w:r w:rsidRPr="000A4BB5">
        <w:t>p</w:t>
      </w:r>
      <w:r>
        <w:t>.15, p.12</w:t>
      </w:r>
      <w:r w:rsidR="00F928D2">
        <w:t>.</w:t>
      </w:r>
    </w:p>
  </w:footnote>
  <w:footnote w:id="135">
    <w:p w14:paraId="01CDE09E" w14:textId="47D91211" w:rsidR="00787A9C" w:rsidRDefault="00787A9C" w:rsidP="00787A9C">
      <w:pPr>
        <w:pStyle w:val="FootnoteText"/>
      </w:pPr>
      <w:r>
        <w:rPr>
          <w:rStyle w:val="FootnoteReference"/>
        </w:rPr>
        <w:footnoteRef/>
      </w:r>
      <w:r>
        <w:t xml:space="preserve"> Ibid., p.1</w:t>
      </w:r>
      <w:r w:rsidR="00164F5D">
        <w:t>5</w:t>
      </w:r>
      <w:r w:rsidR="00F928D2">
        <w:t>.</w:t>
      </w:r>
    </w:p>
  </w:footnote>
  <w:footnote w:id="136">
    <w:p w14:paraId="522EC36C" w14:textId="53AAADCE" w:rsidR="00787A9C" w:rsidRDefault="00787A9C" w:rsidP="00787A9C">
      <w:pPr>
        <w:pStyle w:val="FootnoteText"/>
      </w:pPr>
      <w:r>
        <w:rPr>
          <w:rStyle w:val="FootnoteReference"/>
        </w:rPr>
        <w:footnoteRef/>
      </w:r>
      <w:r>
        <w:t xml:space="preserve"> Rosemary Sweet, ‘Antiquaries and antiquities in eighteenth-century England’, </w:t>
      </w:r>
      <w:r>
        <w:rPr>
          <w:i/>
          <w:iCs/>
        </w:rPr>
        <w:t xml:space="preserve">Eighteenth-Century Studies, </w:t>
      </w:r>
      <w:r>
        <w:t xml:space="preserve">Vol. 34, No. 2, (2001), pp.181-206, p.188, p.203; </w:t>
      </w:r>
      <w:r w:rsidRPr="008F490E">
        <w:t xml:space="preserve">Angus Vine, </w:t>
      </w:r>
      <w:r w:rsidRPr="008F490E">
        <w:rPr>
          <w:i/>
          <w:iCs/>
        </w:rPr>
        <w:t xml:space="preserve">In Defiance of Time: Antiquarian Writing in Early Modern England, </w:t>
      </w:r>
      <w:r w:rsidRPr="008F490E">
        <w:t>(Oxford, 2010), p.17</w:t>
      </w:r>
      <w:r w:rsidR="00F928D2">
        <w:t>.</w:t>
      </w:r>
    </w:p>
  </w:footnote>
  <w:footnote w:id="137">
    <w:p w14:paraId="1DC76A33" w14:textId="6D96F7BB" w:rsidR="000E18EF" w:rsidRDefault="000E18EF" w:rsidP="000E18EF">
      <w:pPr>
        <w:pStyle w:val="FootnoteText"/>
      </w:pPr>
      <w:r>
        <w:rPr>
          <w:rStyle w:val="FootnoteReference"/>
        </w:rPr>
        <w:footnoteRef/>
      </w:r>
      <w:r>
        <w:t xml:space="preserve"> </w:t>
      </w:r>
      <w:r w:rsidRPr="00294C70">
        <w:t>Scott L. </w:t>
      </w:r>
      <w:proofErr w:type="spellStart"/>
      <w:r w:rsidRPr="00294C70">
        <w:t>Newstok</w:t>
      </w:r>
      <w:proofErr w:type="spellEnd"/>
      <w:r w:rsidRPr="00294C70">
        <w:t>, </w:t>
      </w:r>
      <w:r w:rsidRPr="00294C70">
        <w:rPr>
          <w:i/>
          <w:iCs/>
        </w:rPr>
        <w:t>Quoting Death in Early Modern England: The Poetics of Epitaphs Beyond the Tomb, </w:t>
      </w:r>
      <w:r w:rsidRPr="00294C70">
        <w:t>(London, 2009), p</w:t>
      </w:r>
      <w:r>
        <w:t>.</w:t>
      </w:r>
      <w:r w:rsidRPr="00294C70">
        <w:t>26</w:t>
      </w:r>
      <w:r w:rsidR="00F928D2">
        <w:t>.</w:t>
      </w:r>
    </w:p>
  </w:footnote>
  <w:footnote w:id="138">
    <w:p w14:paraId="0C91D8E6" w14:textId="39DF718E" w:rsidR="00EC1708" w:rsidRDefault="00EC1708">
      <w:pPr>
        <w:pStyle w:val="FootnoteText"/>
      </w:pPr>
      <w:r>
        <w:rPr>
          <w:rStyle w:val="FootnoteReference"/>
        </w:rPr>
        <w:footnoteRef/>
      </w:r>
      <w:r>
        <w:t xml:space="preserve"> Ibid.</w:t>
      </w:r>
    </w:p>
  </w:footnote>
  <w:footnote w:id="139">
    <w:p w14:paraId="05722FEB" w14:textId="55DA8ED4" w:rsidR="005B409A" w:rsidRDefault="005B409A" w:rsidP="005B409A">
      <w:pPr>
        <w:pStyle w:val="FootnoteText"/>
      </w:pPr>
      <w:r w:rsidRPr="47B20FDF">
        <w:rPr>
          <w:rStyle w:val="FootnoteReference"/>
        </w:rPr>
        <w:footnoteRef/>
      </w:r>
      <w:r>
        <w:t xml:space="preserve"> John Lyly, </w:t>
      </w:r>
      <w:proofErr w:type="spellStart"/>
      <w:r w:rsidRPr="47B20FDF">
        <w:rPr>
          <w:i/>
          <w:iCs/>
        </w:rPr>
        <w:t>Gallathea</w:t>
      </w:r>
      <w:proofErr w:type="spellEnd"/>
      <w:r>
        <w:t xml:space="preserve"> </w:t>
      </w:r>
      <w:r w:rsidRPr="47B20FDF">
        <w:rPr>
          <w:i/>
          <w:iCs/>
        </w:rPr>
        <w:t xml:space="preserve">As it was </w:t>
      </w:r>
      <w:proofErr w:type="spellStart"/>
      <w:r w:rsidRPr="47B20FDF">
        <w:rPr>
          <w:i/>
          <w:iCs/>
        </w:rPr>
        <w:t>playde</w:t>
      </w:r>
      <w:proofErr w:type="spellEnd"/>
      <w:r w:rsidRPr="47B20FDF">
        <w:rPr>
          <w:i/>
          <w:iCs/>
        </w:rPr>
        <w:t xml:space="preserve"> before the </w:t>
      </w:r>
      <w:proofErr w:type="spellStart"/>
      <w:r w:rsidRPr="47B20FDF">
        <w:rPr>
          <w:i/>
          <w:iCs/>
        </w:rPr>
        <w:t>Queenes</w:t>
      </w:r>
      <w:proofErr w:type="spellEnd"/>
      <w:r w:rsidRPr="47B20FDF">
        <w:rPr>
          <w:i/>
          <w:iCs/>
        </w:rPr>
        <w:t xml:space="preserve"> </w:t>
      </w:r>
      <w:proofErr w:type="spellStart"/>
      <w:r w:rsidRPr="47B20FDF">
        <w:rPr>
          <w:i/>
          <w:iCs/>
        </w:rPr>
        <w:t>Maiestie</w:t>
      </w:r>
      <w:proofErr w:type="spellEnd"/>
      <w:r w:rsidRPr="47B20FDF">
        <w:rPr>
          <w:i/>
          <w:iCs/>
        </w:rPr>
        <w:t xml:space="preserve"> at Greene-</w:t>
      </w:r>
      <w:proofErr w:type="spellStart"/>
      <w:r w:rsidRPr="47B20FDF">
        <w:rPr>
          <w:i/>
          <w:iCs/>
        </w:rPr>
        <w:t>wiche</w:t>
      </w:r>
      <w:proofErr w:type="spellEnd"/>
      <w:r w:rsidRPr="47B20FDF">
        <w:rPr>
          <w:i/>
          <w:iCs/>
        </w:rPr>
        <w:t xml:space="preserve">, on </w:t>
      </w:r>
      <w:proofErr w:type="spellStart"/>
      <w:r w:rsidRPr="47B20FDF">
        <w:rPr>
          <w:i/>
          <w:iCs/>
        </w:rPr>
        <w:t>Newyeeres</w:t>
      </w:r>
      <w:proofErr w:type="spellEnd"/>
      <w:r w:rsidRPr="47B20FDF">
        <w:rPr>
          <w:i/>
          <w:iCs/>
        </w:rPr>
        <w:t xml:space="preserve"> day at night. By the </w:t>
      </w:r>
      <w:proofErr w:type="spellStart"/>
      <w:r w:rsidRPr="47B20FDF">
        <w:rPr>
          <w:i/>
          <w:iCs/>
        </w:rPr>
        <w:t>Chyldren</w:t>
      </w:r>
      <w:proofErr w:type="spellEnd"/>
      <w:r w:rsidRPr="47B20FDF">
        <w:rPr>
          <w:i/>
          <w:iCs/>
        </w:rPr>
        <w:t xml:space="preserve"> of Paules, </w:t>
      </w:r>
      <w:r>
        <w:t xml:space="preserve">(London, </w:t>
      </w:r>
      <w:r w:rsidRPr="0067677D">
        <w:t>1592)</w:t>
      </w:r>
      <w:r w:rsidR="0067677D">
        <w:t>, p.H</w:t>
      </w:r>
      <w:r w:rsidR="00860A62">
        <w:t>1</w:t>
      </w:r>
      <w:r w:rsidR="00F928D2">
        <w:t>.</w:t>
      </w:r>
    </w:p>
  </w:footnote>
  <w:footnote w:id="140">
    <w:p w14:paraId="08A4FD2D" w14:textId="3CA6306F" w:rsidR="0013580B" w:rsidRDefault="0013580B" w:rsidP="0013580B">
      <w:pPr>
        <w:pStyle w:val="FootnoteText"/>
      </w:pPr>
      <w:r w:rsidRPr="47B20FDF">
        <w:rPr>
          <w:rStyle w:val="FootnoteReference"/>
        </w:rPr>
        <w:footnoteRef/>
      </w:r>
      <w:r>
        <w:t xml:space="preserve"> George Gerbier </w:t>
      </w:r>
      <w:proofErr w:type="spellStart"/>
      <w:r>
        <w:t>D’Ouvilly</w:t>
      </w:r>
      <w:proofErr w:type="spellEnd"/>
      <w:r>
        <w:t xml:space="preserve">, </w:t>
      </w:r>
      <w:r w:rsidRPr="47B20FDF">
        <w:rPr>
          <w:i/>
          <w:iCs/>
        </w:rPr>
        <w:t xml:space="preserve">The false </w:t>
      </w:r>
      <w:proofErr w:type="spellStart"/>
      <w:r w:rsidRPr="47B20FDF">
        <w:rPr>
          <w:i/>
          <w:iCs/>
        </w:rPr>
        <w:t>favourit</w:t>
      </w:r>
      <w:proofErr w:type="spellEnd"/>
      <w:r w:rsidRPr="47B20FDF">
        <w:rPr>
          <w:i/>
          <w:iCs/>
        </w:rPr>
        <w:t xml:space="preserve"> </w:t>
      </w:r>
      <w:proofErr w:type="spellStart"/>
      <w:r w:rsidRPr="47B20FDF">
        <w:rPr>
          <w:i/>
          <w:iCs/>
        </w:rPr>
        <w:t>disgrac'd</w:t>
      </w:r>
      <w:proofErr w:type="spellEnd"/>
      <w:r w:rsidRPr="47B20FDF">
        <w:rPr>
          <w:i/>
          <w:iCs/>
        </w:rPr>
        <w:t xml:space="preserve">. </w:t>
      </w:r>
      <w:proofErr w:type="gramStart"/>
      <w:r w:rsidRPr="47B20FDF">
        <w:rPr>
          <w:i/>
          <w:iCs/>
        </w:rPr>
        <w:t>and,</w:t>
      </w:r>
      <w:proofErr w:type="gramEnd"/>
      <w:r w:rsidRPr="47B20FDF">
        <w:rPr>
          <w:i/>
          <w:iCs/>
        </w:rPr>
        <w:t xml:space="preserve"> The reward of loyalty. A </w:t>
      </w:r>
      <w:proofErr w:type="gramStart"/>
      <w:r w:rsidRPr="47B20FDF">
        <w:rPr>
          <w:i/>
          <w:iCs/>
        </w:rPr>
        <w:t>tragi-comedy</w:t>
      </w:r>
      <w:proofErr w:type="gramEnd"/>
      <w:r w:rsidRPr="47B20FDF">
        <w:rPr>
          <w:i/>
          <w:iCs/>
        </w:rPr>
        <w:t>, never acted,</w:t>
      </w:r>
      <w:r>
        <w:t xml:space="preserve"> (London, 1657), p.59</w:t>
      </w:r>
      <w:r w:rsidR="00F928D2">
        <w:t>.</w:t>
      </w:r>
    </w:p>
  </w:footnote>
  <w:footnote w:id="141">
    <w:p w14:paraId="3C9160AB" w14:textId="4E9CEEDC" w:rsidR="0013580B" w:rsidRPr="00E106FC" w:rsidRDefault="0013580B" w:rsidP="0013580B">
      <w:pPr>
        <w:pStyle w:val="FootnoteText"/>
      </w:pPr>
      <w:r>
        <w:rPr>
          <w:rStyle w:val="FootnoteReference"/>
        </w:rPr>
        <w:footnoteRef/>
      </w:r>
      <w:r>
        <w:t xml:space="preserve"> Luca </w:t>
      </w:r>
      <w:proofErr w:type="spellStart"/>
      <w:r>
        <w:t>Assarino</w:t>
      </w:r>
      <w:proofErr w:type="spellEnd"/>
      <w:r>
        <w:t xml:space="preserve">, </w:t>
      </w:r>
      <w:proofErr w:type="gramStart"/>
      <w:r>
        <w:rPr>
          <w:i/>
        </w:rPr>
        <w:t>The</w:t>
      </w:r>
      <w:proofErr w:type="gramEnd"/>
      <w:r>
        <w:rPr>
          <w:i/>
        </w:rPr>
        <w:t xml:space="preserve"> unfortunate queen a new romance, written in Italian by Luke </w:t>
      </w:r>
      <w:proofErr w:type="spellStart"/>
      <w:r>
        <w:rPr>
          <w:i/>
        </w:rPr>
        <w:t>Assarino</w:t>
      </w:r>
      <w:proofErr w:type="spellEnd"/>
      <w:r>
        <w:rPr>
          <w:i/>
        </w:rPr>
        <w:t xml:space="preserve"> and now </w:t>
      </w:r>
      <w:proofErr w:type="spellStart"/>
      <w:r>
        <w:rPr>
          <w:i/>
        </w:rPr>
        <w:t>Englished</w:t>
      </w:r>
      <w:proofErr w:type="spellEnd"/>
      <w:r>
        <w:rPr>
          <w:i/>
        </w:rPr>
        <w:t xml:space="preserve"> by J.B., </w:t>
      </w:r>
      <w:r>
        <w:t>(London, 1651), p.71</w:t>
      </w:r>
      <w:r w:rsidR="00F928D2">
        <w:t>.</w:t>
      </w:r>
    </w:p>
  </w:footnote>
  <w:footnote w:id="142">
    <w:p w14:paraId="3036583D" w14:textId="3E54AAE7" w:rsidR="00632A1F" w:rsidRDefault="00632A1F" w:rsidP="00632A1F">
      <w:pPr>
        <w:pStyle w:val="FootnoteText"/>
      </w:pPr>
      <w:r>
        <w:rPr>
          <w:rStyle w:val="FootnoteReference"/>
        </w:rPr>
        <w:footnoteRef/>
      </w:r>
      <w:r>
        <w:t xml:space="preserve"> </w:t>
      </w:r>
      <w:r w:rsidRPr="00E844FB">
        <w:t xml:space="preserve">Alexandre de la </w:t>
      </w:r>
      <w:proofErr w:type="spellStart"/>
      <w:r w:rsidRPr="00E844FB">
        <w:t>Roberdi</w:t>
      </w:r>
      <w:r>
        <w:t>èr</w:t>
      </w:r>
      <w:r w:rsidRPr="00E844FB">
        <w:t>e</w:t>
      </w:r>
      <w:proofErr w:type="spellEnd"/>
      <w:r w:rsidRPr="00E844FB">
        <w:t xml:space="preserve">, </w:t>
      </w:r>
      <w:proofErr w:type="gramStart"/>
      <w:r w:rsidRPr="00E844FB">
        <w:rPr>
          <w:i/>
        </w:rPr>
        <w:t>Love</w:t>
      </w:r>
      <w:proofErr w:type="gramEnd"/>
      <w:r w:rsidRPr="00E844FB">
        <w:rPr>
          <w:i/>
        </w:rPr>
        <w:t xml:space="preserve"> victorious, or, </w:t>
      </w:r>
      <w:proofErr w:type="gramStart"/>
      <w:r w:rsidRPr="00E844FB">
        <w:rPr>
          <w:i/>
        </w:rPr>
        <w:t>The</w:t>
      </w:r>
      <w:proofErr w:type="gramEnd"/>
      <w:r w:rsidRPr="00E844FB">
        <w:rPr>
          <w:i/>
        </w:rPr>
        <w:t xml:space="preserve"> adventures of </w:t>
      </w:r>
      <w:proofErr w:type="spellStart"/>
      <w:r w:rsidRPr="00E844FB">
        <w:rPr>
          <w:i/>
        </w:rPr>
        <w:t>Oronces</w:t>
      </w:r>
      <w:proofErr w:type="spellEnd"/>
      <w:r w:rsidRPr="00E844FB">
        <w:rPr>
          <w:i/>
        </w:rPr>
        <w:t xml:space="preserve"> and Eugenia a novel / written in French by the Sieur de la </w:t>
      </w:r>
      <w:proofErr w:type="spellStart"/>
      <w:proofErr w:type="gramStart"/>
      <w:r w:rsidRPr="00E844FB">
        <w:rPr>
          <w:i/>
        </w:rPr>
        <w:t>Roberdiere</w:t>
      </w:r>
      <w:proofErr w:type="spellEnd"/>
      <w:r w:rsidRPr="00E844FB">
        <w:rPr>
          <w:i/>
        </w:rPr>
        <w:t xml:space="preserve"> ;</w:t>
      </w:r>
      <w:proofErr w:type="gramEnd"/>
      <w:r w:rsidRPr="00E844FB">
        <w:rPr>
          <w:i/>
        </w:rPr>
        <w:t xml:space="preserve"> translated by J.E.</w:t>
      </w:r>
      <w:r w:rsidR="00D35B78">
        <w:rPr>
          <w:i/>
        </w:rPr>
        <w:t>,</w:t>
      </w:r>
      <w:r w:rsidRPr="00E844FB">
        <w:t xml:space="preserve"> (London, 1684</w:t>
      </w:r>
      <w:r>
        <w:t>), p.27</w:t>
      </w:r>
      <w:r w:rsidR="00714FA5">
        <w:t>.</w:t>
      </w:r>
    </w:p>
  </w:footnote>
  <w:footnote w:id="143">
    <w:p w14:paraId="2FE3E704" w14:textId="70A1DFE9" w:rsidR="00632A1F" w:rsidRDefault="00632A1F" w:rsidP="00632A1F">
      <w:pPr>
        <w:pStyle w:val="FootnoteText"/>
      </w:pPr>
      <w:r>
        <w:rPr>
          <w:rStyle w:val="FootnoteReference"/>
        </w:rPr>
        <w:footnoteRef/>
      </w:r>
      <w:r>
        <w:t xml:space="preserve"> </w:t>
      </w:r>
      <w:r w:rsidRPr="003479CF">
        <w:t>William Elder</w:t>
      </w:r>
      <w:r>
        <w:t>,</w:t>
      </w:r>
      <w:r w:rsidRPr="003479CF">
        <w:t xml:space="preserve"> </w:t>
      </w:r>
      <w:r w:rsidRPr="003479CF">
        <w:rPr>
          <w:i/>
          <w:iCs/>
        </w:rPr>
        <w:t xml:space="preserve">Pearls of eloquence, or, </w:t>
      </w:r>
      <w:proofErr w:type="gramStart"/>
      <w:r w:rsidRPr="003479CF">
        <w:rPr>
          <w:i/>
          <w:iCs/>
        </w:rPr>
        <w:t>The</w:t>
      </w:r>
      <w:proofErr w:type="gramEnd"/>
      <w:r w:rsidRPr="003479CF">
        <w:rPr>
          <w:i/>
          <w:iCs/>
        </w:rPr>
        <w:t xml:space="preserve"> school of complements Wherein ladies, gentlewomen, and </w:t>
      </w:r>
      <w:proofErr w:type="spellStart"/>
      <w:r w:rsidRPr="003479CF">
        <w:rPr>
          <w:i/>
          <w:iCs/>
        </w:rPr>
        <w:t>schollars</w:t>
      </w:r>
      <w:proofErr w:type="spellEnd"/>
      <w:r w:rsidRPr="003479CF">
        <w:rPr>
          <w:i/>
          <w:iCs/>
        </w:rPr>
        <w:t>, may accommodate their courtly practice with gentile ceremonies, complemental, amorous, and high expressions of speaking, or writing of letters</w:t>
      </w:r>
      <w:r>
        <w:rPr>
          <w:i/>
          <w:iCs/>
        </w:rPr>
        <w:t xml:space="preserve">, </w:t>
      </w:r>
      <w:r w:rsidRPr="003479CF">
        <w:t>(London, 1656)</w:t>
      </w:r>
      <w:r>
        <w:t>, p.41</w:t>
      </w:r>
      <w:r w:rsidR="00F928D2">
        <w:t>.</w:t>
      </w:r>
    </w:p>
  </w:footnote>
  <w:footnote w:id="144">
    <w:p w14:paraId="55224989" w14:textId="75845445" w:rsidR="00632A1F" w:rsidRDefault="00632A1F" w:rsidP="00632A1F">
      <w:pPr>
        <w:pStyle w:val="FootnoteText"/>
      </w:pPr>
      <w:r>
        <w:rPr>
          <w:rStyle w:val="FootnoteReference"/>
        </w:rPr>
        <w:footnoteRef/>
      </w:r>
      <w:r>
        <w:t xml:space="preserve"> June Schlueter, ‘Drawing in a theatre: Peacham, de Witt, and the table-book’, </w:t>
      </w:r>
      <w:r>
        <w:rPr>
          <w:i/>
          <w:iCs/>
        </w:rPr>
        <w:t xml:space="preserve">Theatre Notebook, </w:t>
      </w:r>
      <w:r>
        <w:t>Vol. 68, No. 2, (2014), pp.69-86, p.70</w:t>
      </w:r>
      <w:r w:rsidR="00F928D2">
        <w:t>.</w:t>
      </w:r>
    </w:p>
  </w:footnote>
  <w:footnote w:id="145">
    <w:p w14:paraId="1F6BF8BE" w14:textId="512D3DA7" w:rsidR="00632A1F" w:rsidRPr="00CF55D0" w:rsidRDefault="00632A1F" w:rsidP="00632A1F">
      <w:pPr>
        <w:pStyle w:val="FootnoteText"/>
      </w:pPr>
      <w:r>
        <w:rPr>
          <w:rStyle w:val="FootnoteReference"/>
        </w:rPr>
        <w:footnoteRef/>
      </w:r>
      <w:r>
        <w:t xml:space="preserve"> Peter </w:t>
      </w:r>
      <w:proofErr w:type="spellStart"/>
      <w:r>
        <w:t>Stallybrass</w:t>
      </w:r>
      <w:proofErr w:type="spellEnd"/>
      <w:r>
        <w:t xml:space="preserve">, Roger Chartier, Mowery J Franklin and Heather Wolfe, ‘Hamlet’s tables and technologies of writing in Renaissance England’, </w:t>
      </w:r>
      <w:r>
        <w:rPr>
          <w:i/>
          <w:iCs/>
        </w:rPr>
        <w:t xml:space="preserve">Shakespeare Quarterly, </w:t>
      </w:r>
      <w:r>
        <w:t>Vol. 55, No. 4, (2014), pp.379-419, pp.411-412</w:t>
      </w:r>
      <w:r w:rsidR="00714FA5">
        <w:t>.</w:t>
      </w:r>
    </w:p>
  </w:footnote>
  <w:footnote w:id="146">
    <w:p w14:paraId="0C32610D" w14:textId="4FA3126C" w:rsidR="0041127E" w:rsidRDefault="0041127E" w:rsidP="0041127E">
      <w:pPr>
        <w:pStyle w:val="FootnoteText"/>
      </w:pPr>
      <w:r>
        <w:rPr>
          <w:rStyle w:val="FootnoteReference"/>
        </w:rPr>
        <w:footnoteRef/>
      </w:r>
      <w:r>
        <w:t xml:space="preserve"> Anonymous, </w:t>
      </w:r>
      <w:r w:rsidRPr="00D17B11">
        <w:rPr>
          <w:i/>
        </w:rPr>
        <w:t xml:space="preserve">The Life of that incomparable princess, Mary, our late sovereign lady, of ever blessed memory who departed this life, at her royal </w:t>
      </w:r>
      <w:proofErr w:type="spellStart"/>
      <w:r w:rsidRPr="00D17B11">
        <w:rPr>
          <w:i/>
        </w:rPr>
        <w:t>pallace</w:t>
      </w:r>
      <w:proofErr w:type="spellEnd"/>
      <w:r w:rsidRPr="00D17B11">
        <w:rPr>
          <w:i/>
        </w:rPr>
        <w:t xml:space="preserve"> at Kensington, the 28th of </w:t>
      </w:r>
      <w:proofErr w:type="gramStart"/>
      <w:r w:rsidRPr="00D17B11">
        <w:rPr>
          <w:i/>
        </w:rPr>
        <w:t>December,</w:t>
      </w:r>
      <w:proofErr w:type="gramEnd"/>
      <w:r w:rsidRPr="00D17B11">
        <w:rPr>
          <w:i/>
        </w:rPr>
        <w:t xml:space="preserve"> 1694</w:t>
      </w:r>
      <w:r>
        <w:t>, (London, 1695), p.36</w:t>
      </w:r>
      <w:r w:rsidR="00714FA5">
        <w:t>.</w:t>
      </w:r>
    </w:p>
  </w:footnote>
  <w:footnote w:id="147">
    <w:p w14:paraId="03C1E2E7" w14:textId="3E06A282" w:rsidR="0041127E" w:rsidRPr="00A00F99" w:rsidRDefault="0041127E" w:rsidP="0041127E">
      <w:pPr>
        <w:pStyle w:val="FootnoteText"/>
      </w:pPr>
      <w:r>
        <w:rPr>
          <w:rStyle w:val="FootnoteReference"/>
        </w:rPr>
        <w:footnoteRef/>
      </w:r>
      <w:r>
        <w:t xml:space="preserve"> “</w:t>
      </w:r>
      <w:proofErr w:type="gramStart"/>
      <w:r>
        <w:t>tablet</w:t>
      </w:r>
      <w:proofErr w:type="gramEnd"/>
      <w:r>
        <w:t xml:space="preserve">, n. 2. c.”, </w:t>
      </w:r>
      <w:r>
        <w:rPr>
          <w:i/>
        </w:rPr>
        <w:t xml:space="preserve">OED, </w:t>
      </w:r>
      <w:r>
        <w:t>[</w:t>
      </w:r>
      <w:r w:rsidRPr="00A00F99">
        <w:t>https://www-oed-</w:t>
      </w:r>
      <w:r>
        <w:t>c</w:t>
      </w:r>
      <w:r w:rsidRPr="00A00F99">
        <w:t>om.sheffield.idm.oclc.org/view/Entry/196808?rskey=fALfhI&amp;result=1&amp;isAdvanced=false#eid</w:t>
      </w:r>
      <w:r>
        <w:t xml:space="preserve">; accessed 13 November 2020]; Joan Evans, </w:t>
      </w:r>
      <w:r>
        <w:rPr>
          <w:i/>
        </w:rPr>
        <w:t xml:space="preserve">A History of Jewellery, 1100-1870, </w:t>
      </w:r>
      <w:r>
        <w:t>(New York, 2003), p.75</w:t>
      </w:r>
      <w:r w:rsidR="00714FA5">
        <w:t>.</w:t>
      </w:r>
    </w:p>
  </w:footnote>
  <w:footnote w:id="148">
    <w:p w14:paraId="402A6DB8" w14:textId="61438AE2" w:rsidR="0077539D" w:rsidRDefault="0077539D" w:rsidP="0077539D">
      <w:pPr>
        <w:pStyle w:val="FootnoteText"/>
      </w:pPr>
      <w:r>
        <w:rPr>
          <w:rStyle w:val="FootnoteReference"/>
        </w:rPr>
        <w:footnoteRef/>
      </w:r>
      <w:r>
        <w:t xml:space="preserve"> Jean Seznec, </w:t>
      </w:r>
      <w:r w:rsidRPr="005A5C8E">
        <w:rPr>
          <w:i/>
          <w:iCs/>
        </w:rPr>
        <w:t>The Survival of the Pagan Gods: The Mythological Tradition and Its Place in Renaissanc</w:t>
      </w:r>
      <w:r>
        <w:rPr>
          <w:i/>
          <w:iCs/>
        </w:rPr>
        <w:t>e</w:t>
      </w:r>
      <w:r w:rsidRPr="005A5C8E">
        <w:rPr>
          <w:i/>
          <w:iCs/>
        </w:rPr>
        <w:t xml:space="preserve"> Humanism and Art</w:t>
      </w:r>
      <w:r w:rsidRPr="005A5C8E">
        <w:t>, (Princeton, 1972)</w:t>
      </w:r>
      <w:r>
        <w:t>, p.42</w:t>
      </w:r>
      <w:r w:rsidR="00714FA5">
        <w:t>.</w:t>
      </w:r>
    </w:p>
  </w:footnote>
  <w:footnote w:id="149">
    <w:p w14:paraId="36BFEF5B" w14:textId="29A7E866" w:rsidR="0077539D" w:rsidRPr="00621F8D" w:rsidRDefault="0077539D" w:rsidP="0077539D">
      <w:pPr>
        <w:pStyle w:val="FootnoteText"/>
        <w:rPr>
          <w:rFonts w:cs="Calibri"/>
          <w:color w:val="000000"/>
          <w:shd w:val="clear" w:color="auto" w:fill="FFFFFF"/>
        </w:rPr>
      </w:pPr>
      <w:r>
        <w:rPr>
          <w:rStyle w:val="FootnoteReference"/>
        </w:rPr>
        <w:footnoteRef/>
      </w:r>
      <w:r>
        <w:t xml:space="preserve"> Don </w:t>
      </w:r>
      <w:proofErr w:type="spellStart"/>
      <w:r>
        <w:t>Skemer</w:t>
      </w:r>
      <w:proofErr w:type="spellEnd"/>
      <w:r>
        <w:t xml:space="preserve">, </w:t>
      </w:r>
      <w:r w:rsidRPr="00520407">
        <w:rPr>
          <w:rStyle w:val="normaltextrun"/>
          <w:rFonts w:cs="Calibri"/>
          <w:i/>
          <w:iCs/>
          <w:color w:val="000000"/>
          <w:shd w:val="clear" w:color="auto" w:fill="FFFFFF"/>
        </w:rPr>
        <w:t>Binding Words:</w:t>
      </w:r>
      <w:r w:rsidRPr="00520407">
        <w:rPr>
          <w:rStyle w:val="normaltextrun"/>
          <w:rFonts w:cs="Calibri"/>
          <w:color w:val="000000"/>
          <w:shd w:val="clear" w:color="auto" w:fill="FFFFFF"/>
        </w:rPr>
        <w:t> </w:t>
      </w:r>
      <w:r w:rsidRPr="00520407">
        <w:rPr>
          <w:rStyle w:val="normaltextrun"/>
          <w:rFonts w:cs="Calibri"/>
          <w:i/>
          <w:iCs/>
          <w:color w:val="000000"/>
          <w:shd w:val="clear" w:color="auto" w:fill="FFFFFF"/>
        </w:rPr>
        <w:t>Textual Amulets in the Middle Ages, </w:t>
      </w:r>
      <w:r w:rsidRPr="00520407">
        <w:rPr>
          <w:rStyle w:val="normaltextrun"/>
          <w:rFonts w:cs="Calibri"/>
          <w:color w:val="000000"/>
          <w:shd w:val="clear" w:color="auto" w:fill="FFFFFF"/>
        </w:rPr>
        <w:t>(Pennsylvania, 2006)</w:t>
      </w:r>
      <w:r>
        <w:rPr>
          <w:rStyle w:val="normaltextrun"/>
          <w:rFonts w:cs="Calibri"/>
          <w:color w:val="000000"/>
          <w:shd w:val="clear" w:color="auto" w:fill="FFFFFF"/>
        </w:rPr>
        <w:t>, p.25</w:t>
      </w:r>
      <w:r w:rsidR="00714FA5">
        <w:rPr>
          <w:rStyle w:val="normaltextrun"/>
          <w:rFonts w:cs="Calibri"/>
          <w:color w:val="000000"/>
          <w:shd w:val="clear" w:color="auto" w:fill="FFFFFF"/>
        </w:rPr>
        <w:t>.</w:t>
      </w:r>
    </w:p>
  </w:footnote>
  <w:footnote w:id="150">
    <w:p w14:paraId="7C4E42C8" w14:textId="722C5438" w:rsidR="0077539D" w:rsidRPr="008726B6" w:rsidRDefault="0077539D" w:rsidP="0077539D">
      <w:pPr>
        <w:pStyle w:val="FootnoteText"/>
        <w:rPr>
          <w:b/>
          <w:bCs/>
        </w:rPr>
      </w:pPr>
      <w:r>
        <w:rPr>
          <w:rStyle w:val="FootnoteReference"/>
        </w:rPr>
        <w:footnoteRef/>
      </w:r>
      <w:r>
        <w:t xml:space="preserve"> Roy Kotansky, ‘Incantations and prayers for salvation on inscribed Greek amulets’, in Christopher A. Farone and Dirk Obbink (eds), </w:t>
      </w:r>
      <w:proofErr w:type="spellStart"/>
      <w:r>
        <w:rPr>
          <w:i/>
          <w:iCs/>
        </w:rPr>
        <w:t>Magika</w:t>
      </w:r>
      <w:proofErr w:type="spellEnd"/>
      <w:r>
        <w:rPr>
          <w:i/>
          <w:iCs/>
        </w:rPr>
        <w:t xml:space="preserve"> </w:t>
      </w:r>
      <w:proofErr w:type="spellStart"/>
      <w:r>
        <w:rPr>
          <w:i/>
          <w:iCs/>
        </w:rPr>
        <w:t>Hiera</w:t>
      </w:r>
      <w:proofErr w:type="spellEnd"/>
      <w:r>
        <w:rPr>
          <w:i/>
          <w:iCs/>
        </w:rPr>
        <w:t xml:space="preserve">: Ancient Greek Magic and Religion, </w:t>
      </w:r>
      <w:r>
        <w:t xml:space="preserve">(Oxford, 1991), pp.107-137, p.114; </w:t>
      </w:r>
      <w:r w:rsidR="008726B6" w:rsidRPr="008726B6">
        <w:t xml:space="preserve">Margaret Healy, ‘Wearing powerful words and objects: healing prosthetics’, </w:t>
      </w:r>
      <w:r w:rsidR="008726B6" w:rsidRPr="008726B6">
        <w:rPr>
          <w:i/>
          <w:iCs/>
        </w:rPr>
        <w:t xml:space="preserve">Textual Practice, </w:t>
      </w:r>
      <w:r w:rsidR="008726B6" w:rsidRPr="008726B6">
        <w:t>Vol. 30, No. 7, (2016), pp.1233-1251,</w:t>
      </w:r>
      <w:r w:rsidR="008726B6">
        <w:rPr>
          <w:b/>
          <w:bCs/>
        </w:rPr>
        <w:t xml:space="preserve"> </w:t>
      </w:r>
      <w:r>
        <w:t>p.1238</w:t>
      </w:r>
      <w:r w:rsidR="00714FA5">
        <w:t>.</w:t>
      </w:r>
    </w:p>
  </w:footnote>
  <w:footnote w:id="151">
    <w:p w14:paraId="6164F2DB" w14:textId="73467CBD" w:rsidR="0077539D" w:rsidRPr="009F72D6" w:rsidRDefault="0077539D" w:rsidP="0077539D">
      <w:pPr>
        <w:pStyle w:val="FootnoteText"/>
      </w:pPr>
      <w:r>
        <w:rPr>
          <w:rStyle w:val="FootnoteReference"/>
        </w:rPr>
        <w:footnoteRef/>
      </w:r>
      <w:r w:rsidRPr="009F72D6">
        <w:t xml:space="preserve"> </w:t>
      </w:r>
      <w:proofErr w:type="spellStart"/>
      <w:r w:rsidRPr="009F72D6">
        <w:t>Skemer</w:t>
      </w:r>
      <w:proofErr w:type="spellEnd"/>
      <w:r w:rsidRPr="009F72D6">
        <w:t xml:space="preserve">, </w:t>
      </w:r>
      <w:r w:rsidRPr="009F72D6">
        <w:rPr>
          <w:i/>
          <w:iCs/>
        </w:rPr>
        <w:t xml:space="preserve">Binding Words, </w:t>
      </w:r>
      <w:r w:rsidRPr="009F72D6">
        <w:t>p.21</w:t>
      </w:r>
      <w:r w:rsidR="00714FA5">
        <w:t>.</w:t>
      </w:r>
    </w:p>
  </w:footnote>
  <w:footnote w:id="152">
    <w:p w14:paraId="78C5B3AA" w14:textId="3A694345" w:rsidR="0077539D" w:rsidRPr="009F72D6" w:rsidRDefault="0077539D" w:rsidP="0077539D">
      <w:pPr>
        <w:pStyle w:val="FootnoteText"/>
      </w:pPr>
      <w:r>
        <w:rPr>
          <w:rStyle w:val="FootnoteReference"/>
        </w:rPr>
        <w:footnoteRef/>
      </w:r>
      <w:r w:rsidRPr="009F72D6">
        <w:t xml:space="preserve"> Ibid., p.22; p.73</w:t>
      </w:r>
      <w:r w:rsidR="00714FA5">
        <w:t>.</w:t>
      </w:r>
    </w:p>
  </w:footnote>
  <w:footnote w:id="153">
    <w:p w14:paraId="4916DA4B" w14:textId="1F9536EF" w:rsidR="003962B1" w:rsidRDefault="003962B1">
      <w:pPr>
        <w:pStyle w:val="FootnoteText"/>
      </w:pPr>
      <w:r>
        <w:rPr>
          <w:rStyle w:val="FootnoteReference"/>
        </w:rPr>
        <w:footnoteRef/>
      </w:r>
      <w:r>
        <w:t xml:space="preserve"> </w:t>
      </w:r>
      <w:r w:rsidRPr="005768E4">
        <w:t>Jennifer Allen Rosecrans, ‘Wearing the universe: symbolic markings in early modern England’, in Jane Caplan (ed.), </w:t>
      </w:r>
      <w:r w:rsidRPr="005768E4">
        <w:rPr>
          <w:i/>
          <w:iCs/>
        </w:rPr>
        <w:t>Written on the Body: The Tattoo in European and American History, </w:t>
      </w:r>
      <w:r w:rsidRPr="005768E4">
        <w:t>(London, 2000), pp.46-60, p.56</w:t>
      </w:r>
      <w:r w:rsidR="00714FA5">
        <w:t>.</w:t>
      </w:r>
    </w:p>
  </w:footnote>
  <w:footnote w:id="154">
    <w:p w14:paraId="538A877A" w14:textId="60A1C4E1" w:rsidR="005B43C4" w:rsidRDefault="005B43C4" w:rsidP="005B43C4">
      <w:pPr>
        <w:pStyle w:val="FootnoteText"/>
      </w:pPr>
      <w:r>
        <w:rPr>
          <w:rStyle w:val="FootnoteReference"/>
        </w:rPr>
        <w:footnoteRef/>
      </w:r>
      <w:r w:rsidR="005768E4">
        <w:t xml:space="preserve"> </w:t>
      </w:r>
      <w:r w:rsidR="003962B1">
        <w:t>Ibid.</w:t>
      </w:r>
    </w:p>
  </w:footnote>
  <w:footnote w:id="155">
    <w:p w14:paraId="047C43F1" w14:textId="7733EFD1" w:rsidR="00AB3EBB" w:rsidRPr="0051627C" w:rsidRDefault="00AB3EBB" w:rsidP="00AB3EBB">
      <w:pPr>
        <w:pStyle w:val="FootnoteText"/>
      </w:pPr>
      <w:r>
        <w:rPr>
          <w:rStyle w:val="FootnoteReference"/>
        </w:rPr>
        <w:footnoteRef/>
      </w:r>
      <w:r>
        <w:t xml:space="preserve"> Francis Bacon, </w:t>
      </w:r>
      <w:r>
        <w:rPr>
          <w:i/>
        </w:rPr>
        <w:t xml:space="preserve">Sylva </w:t>
      </w:r>
      <w:proofErr w:type="spellStart"/>
      <w:r>
        <w:rPr>
          <w:i/>
        </w:rPr>
        <w:t>Sylvarum</w:t>
      </w:r>
      <w:proofErr w:type="spellEnd"/>
      <w:r>
        <w:rPr>
          <w:i/>
        </w:rPr>
        <w:t xml:space="preserve">, </w:t>
      </w:r>
      <w:r>
        <w:t>(London, 1626), p.902</w:t>
      </w:r>
      <w:r w:rsidR="00714FA5">
        <w:t>.</w:t>
      </w:r>
    </w:p>
  </w:footnote>
  <w:footnote w:id="156">
    <w:p w14:paraId="2E472841" w14:textId="1E841E76" w:rsidR="004D5369" w:rsidRDefault="004D5369" w:rsidP="004D5369">
      <w:pPr>
        <w:pStyle w:val="FootnoteText"/>
      </w:pPr>
      <w:r>
        <w:rPr>
          <w:rStyle w:val="FootnoteReference"/>
        </w:rPr>
        <w:footnoteRef/>
      </w:r>
      <w:r>
        <w:t xml:space="preserve"> </w:t>
      </w:r>
      <w:r w:rsidRPr="007A03AC">
        <w:rPr>
          <w:rStyle w:val="normaltextrun"/>
          <w:rFonts w:cs="Calibri"/>
          <w:color w:val="000000"/>
          <w:shd w:val="clear" w:color="auto" w:fill="FFFFFF"/>
        </w:rPr>
        <w:t>David Cressy, ‘Books as totems in seventeenth-century England and New England’, </w:t>
      </w:r>
      <w:r w:rsidRPr="007A03AC">
        <w:rPr>
          <w:rStyle w:val="normaltextrun"/>
          <w:rFonts w:cs="Calibri"/>
          <w:i/>
          <w:iCs/>
          <w:color w:val="000000"/>
          <w:shd w:val="clear" w:color="auto" w:fill="FFFFFF"/>
        </w:rPr>
        <w:t>The Journal of Library History, </w:t>
      </w:r>
      <w:r w:rsidRPr="007A03AC">
        <w:rPr>
          <w:rStyle w:val="normaltextrun"/>
          <w:rFonts w:cs="Calibri"/>
          <w:color w:val="000000"/>
          <w:shd w:val="clear" w:color="auto" w:fill="FFFFFF"/>
        </w:rPr>
        <w:t>Vol. 21, No. 1, (1986), pp.92-106</w:t>
      </w:r>
      <w:r>
        <w:rPr>
          <w:rStyle w:val="normaltextrun"/>
          <w:rFonts w:cs="Calibri"/>
          <w:color w:val="000000"/>
          <w:shd w:val="clear" w:color="auto" w:fill="FFFFFF"/>
        </w:rPr>
        <w:t>; Healy, ‘Wearing powerful words’, p.1238</w:t>
      </w:r>
      <w:r w:rsidR="00714FA5">
        <w:rPr>
          <w:rStyle w:val="normaltextrun"/>
          <w:rFonts w:cs="Calibri"/>
          <w:color w:val="000000"/>
          <w:shd w:val="clear" w:color="auto" w:fill="FFFFFF"/>
        </w:rPr>
        <w:t>.</w:t>
      </w:r>
    </w:p>
  </w:footnote>
  <w:footnote w:id="157">
    <w:p w14:paraId="7AE005D3" w14:textId="4D916052" w:rsidR="00527046" w:rsidRDefault="00527046" w:rsidP="00527046">
      <w:pPr>
        <w:pStyle w:val="FootnoteText"/>
      </w:pPr>
      <w:r>
        <w:rPr>
          <w:rStyle w:val="FootnoteReference"/>
        </w:rPr>
        <w:footnoteRef/>
      </w:r>
      <w:r>
        <w:t xml:space="preserve"> John Henry, ‘The fragmentation of Renaissance occultism and the decline of magic’, </w:t>
      </w:r>
      <w:r>
        <w:rPr>
          <w:i/>
          <w:iCs/>
        </w:rPr>
        <w:t xml:space="preserve">History of Science, </w:t>
      </w:r>
      <w:r>
        <w:t>Vol. 46, No. 151, (2008), pp.1-48, p.9</w:t>
      </w:r>
      <w:r w:rsidR="00714FA5">
        <w:t>.</w:t>
      </w:r>
    </w:p>
  </w:footnote>
  <w:footnote w:id="158">
    <w:p w14:paraId="7F4C630A" w14:textId="00062548" w:rsidR="00527046" w:rsidRDefault="00527046">
      <w:pPr>
        <w:pStyle w:val="FootnoteText"/>
      </w:pPr>
      <w:r>
        <w:rPr>
          <w:rStyle w:val="FootnoteReference"/>
        </w:rPr>
        <w:footnoteRef/>
      </w:r>
      <w:r>
        <w:t xml:space="preserve"> Ibid.</w:t>
      </w:r>
    </w:p>
  </w:footnote>
  <w:footnote w:id="159">
    <w:p w14:paraId="30806C59" w14:textId="5D290041" w:rsidR="00B1300C" w:rsidRDefault="00B1300C" w:rsidP="00B1300C">
      <w:pPr>
        <w:pStyle w:val="FootnoteText"/>
      </w:pPr>
      <w:r>
        <w:rPr>
          <w:rStyle w:val="FootnoteReference"/>
        </w:rPr>
        <w:footnoteRef/>
      </w:r>
      <w:r>
        <w:t xml:space="preserve"> </w:t>
      </w:r>
      <w:r w:rsidRPr="00603FDB">
        <w:t>Ibid., p.24</w:t>
      </w:r>
      <w:r w:rsidR="00714FA5">
        <w:t>.</w:t>
      </w:r>
    </w:p>
  </w:footnote>
  <w:footnote w:id="160">
    <w:p w14:paraId="49C95398" w14:textId="08FBAEFC" w:rsidR="00B1300C" w:rsidRDefault="00B1300C" w:rsidP="00B1300C">
      <w:pPr>
        <w:pStyle w:val="FootnoteText"/>
      </w:pPr>
      <w:r>
        <w:rPr>
          <w:rStyle w:val="FootnoteReference"/>
        </w:rPr>
        <w:footnoteRef/>
      </w:r>
      <w:r>
        <w:t xml:space="preserve"> Ibid., p.24</w:t>
      </w:r>
      <w:r w:rsidR="00714FA5">
        <w:t>.</w:t>
      </w:r>
    </w:p>
  </w:footnote>
  <w:footnote w:id="161">
    <w:p w14:paraId="4B98D013" w14:textId="3A74A634" w:rsidR="00972F29" w:rsidRDefault="00972F29">
      <w:pPr>
        <w:pStyle w:val="FootnoteText"/>
      </w:pPr>
      <w:r>
        <w:rPr>
          <w:rStyle w:val="FootnoteReference"/>
        </w:rPr>
        <w:footnoteRef/>
      </w:r>
      <w:r>
        <w:t xml:space="preserve"> </w:t>
      </w:r>
      <w:r w:rsidRPr="00972F29">
        <w:t>Owen Davies, ‘French charmers and their healing charms’, in Jonathan Roper (ed.), </w:t>
      </w:r>
      <w:r w:rsidRPr="00972F29">
        <w:rPr>
          <w:i/>
          <w:iCs/>
        </w:rPr>
        <w:t>Charms and Charming in Europe, </w:t>
      </w:r>
      <w:r w:rsidRPr="00972F29">
        <w:t>(Basingstoke, 2004), pp.91-112, p.108</w:t>
      </w:r>
      <w:r w:rsidR="00714FA5">
        <w:t>.</w:t>
      </w:r>
    </w:p>
  </w:footnote>
  <w:footnote w:id="162">
    <w:p w14:paraId="40734B49" w14:textId="2818FC9F" w:rsidR="000759F8" w:rsidRDefault="000759F8">
      <w:pPr>
        <w:pStyle w:val="FootnoteText"/>
      </w:pPr>
      <w:r>
        <w:rPr>
          <w:rStyle w:val="FootnoteReference"/>
        </w:rPr>
        <w:footnoteRef/>
      </w:r>
      <w:r>
        <w:t xml:space="preserve"> </w:t>
      </w:r>
      <w:r w:rsidR="00B1429A">
        <w:t xml:space="preserve">Ariel </w:t>
      </w:r>
      <w:proofErr w:type="spellStart"/>
      <w:r w:rsidR="00B1429A">
        <w:t>Hessayon</w:t>
      </w:r>
      <w:proofErr w:type="spellEnd"/>
      <w:r w:rsidR="00B1429A">
        <w:t xml:space="preserve">, ‘Og King of Bashan, Enoch and the books of Enoch: extra-canonical texts and interpretations of Genesis 6:1-4’, in </w:t>
      </w:r>
      <w:r>
        <w:t xml:space="preserve">Ariel </w:t>
      </w:r>
      <w:proofErr w:type="spellStart"/>
      <w:r>
        <w:t>Hessayon</w:t>
      </w:r>
      <w:proofErr w:type="spellEnd"/>
      <w:r>
        <w:t xml:space="preserve"> and Nicholas Keene (eds), </w:t>
      </w:r>
      <w:r>
        <w:rPr>
          <w:i/>
          <w:iCs/>
        </w:rPr>
        <w:t xml:space="preserve">Scripture and Scholarship in Early Modern England, </w:t>
      </w:r>
      <w:r>
        <w:t xml:space="preserve">(Aldershot, </w:t>
      </w:r>
      <w:r w:rsidR="00B1429A">
        <w:t>2006), pp.5-40, p.</w:t>
      </w:r>
      <w:r>
        <w:t>20</w:t>
      </w:r>
      <w:r w:rsidR="00714FA5">
        <w:t>.</w:t>
      </w:r>
    </w:p>
  </w:footnote>
  <w:footnote w:id="163">
    <w:p w14:paraId="221BF5F4" w14:textId="61A03088" w:rsidR="007650BC" w:rsidRDefault="007650BC" w:rsidP="007650BC">
      <w:pPr>
        <w:pStyle w:val="FootnoteText"/>
      </w:pPr>
      <w:r>
        <w:rPr>
          <w:rStyle w:val="FootnoteReference"/>
        </w:rPr>
        <w:footnoteRef/>
      </w:r>
      <w:r>
        <w:t xml:space="preserve"> </w:t>
      </w:r>
      <w:r w:rsidR="00972F29">
        <w:t>Davies, ‘French charmers’, p.108</w:t>
      </w:r>
      <w:r w:rsidR="00714FA5">
        <w:t>.</w:t>
      </w:r>
    </w:p>
  </w:footnote>
  <w:footnote w:id="164">
    <w:p w14:paraId="25B76197" w14:textId="5972CA44" w:rsidR="0077539D" w:rsidRDefault="0077539D" w:rsidP="0077539D">
      <w:pPr>
        <w:pStyle w:val="FootnoteText"/>
      </w:pPr>
      <w:r>
        <w:rPr>
          <w:rStyle w:val="FootnoteReference"/>
        </w:rPr>
        <w:footnoteRef/>
      </w:r>
      <w:r>
        <w:t xml:space="preserve"> </w:t>
      </w:r>
      <w:r w:rsidR="005768E4" w:rsidRPr="005768E4">
        <w:t>Rosecrans, ‘Wearing the universe’, p.56</w:t>
      </w:r>
      <w:r w:rsidR="00714FA5">
        <w:t>.</w:t>
      </w:r>
    </w:p>
  </w:footnote>
  <w:footnote w:id="165">
    <w:p w14:paraId="0727B06E" w14:textId="23C66C05" w:rsidR="0077539D" w:rsidRDefault="0077539D" w:rsidP="0077539D">
      <w:pPr>
        <w:pStyle w:val="FootnoteText"/>
      </w:pPr>
      <w:r>
        <w:rPr>
          <w:rStyle w:val="FootnoteReference"/>
        </w:rPr>
        <w:footnoteRef/>
      </w:r>
      <w:r w:rsidRPr="00F22D3D">
        <w:t xml:space="preserve"> </w:t>
      </w:r>
      <w:r w:rsidRPr="00F22D3D">
        <w:rPr>
          <w:rStyle w:val="normaltextrun"/>
          <w:rFonts w:cs="Calibri"/>
          <w:color w:val="000000"/>
          <w:shd w:val="clear" w:color="auto" w:fill="FFFFFF"/>
        </w:rPr>
        <w:t>Martha R. Baldwin, ‘Toads and plague: amulet therapy in seventeenth-century medicine’, </w:t>
      </w:r>
      <w:r w:rsidRPr="00F22D3D">
        <w:rPr>
          <w:rStyle w:val="normaltextrun"/>
          <w:rFonts w:cs="Calibri"/>
          <w:i/>
          <w:iCs/>
          <w:color w:val="000000"/>
          <w:shd w:val="clear" w:color="auto" w:fill="FFFFFF"/>
        </w:rPr>
        <w:t>Bulletin of the History of Medicine, </w:t>
      </w:r>
      <w:r w:rsidRPr="00F22D3D">
        <w:rPr>
          <w:rStyle w:val="normaltextrun"/>
          <w:rFonts w:cs="Calibri"/>
          <w:color w:val="000000"/>
          <w:shd w:val="clear" w:color="auto" w:fill="FFFFFF"/>
        </w:rPr>
        <w:t>Vol. 67, No. 2, (1993), pp.227-247</w:t>
      </w:r>
      <w:r>
        <w:rPr>
          <w:rStyle w:val="normaltextrun"/>
          <w:rFonts w:cs="Calibri"/>
          <w:color w:val="000000"/>
          <w:shd w:val="clear" w:color="auto" w:fill="FFFFFF"/>
        </w:rPr>
        <w:t>, pp.231-239</w:t>
      </w:r>
      <w:r w:rsidR="00714FA5">
        <w:rPr>
          <w:rStyle w:val="normaltextrun"/>
          <w:rFonts w:cs="Calibri"/>
          <w:color w:val="000000"/>
          <w:shd w:val="clear" w:color="auto" w:fill="FFFFFF"/>
        </w:rPr>
        <w:t>.</w:t>
      </w:r>
    </w:p>
  </w:footnote>
  <w:footnote w:id="166">
    <w:p w14:paraId="18A825E2" w14:textId="0E2AC314" w:rsidR="0077539D" w:rsidRPr="00CB068A" w:rsidRDefault="0077539D" w:rsidP="0077539D">
      <w:pPr>
        <w:pStyle w:val="FootnoteText"/>
      </w:pPr>
      <w:r>
        <w:rPr>
          <w:rStyle w:val="FootnoteReference"/>
        </w:rPr>
        <w:footnoteRef/>
      </w:r>
      <w:r>
        <w:t xml:space="preserve"> Daniel Defoe, </w:t>
      </w:r>
      <w:r>
        <w:rPr>
          <w:i/>
          <w:iCs/>
        </w:rPr>
        <w:t xml:space="preserve">A Journal of the Plague Year, </w:t>
      </w:r>
      <w:r>
        <w:t>(London, 1722)</w:t>
      </w:r>
      <w:r w:rsidR="00765A71">
        <w:t>, p.40</w:t>
      </w:r>
      <w:r w:rsidR="00714FA5">
        <w:t>.</w:t>
      </w:r>
    </w:p>
  </w:footnote>
  <w:footnote w:id="167">
    <w:p w14:paraId="05C2123E" w14:textId="198A7FC7" w:rsidR="00033E2C" w:rsidRDefault="00033E2C">
      <w:pPr>
        <w:pStyle w:val="FootnoteText"/>
      </w:pPr>
      <w:r>
        <w:rPr>
          <w:rStyle w:val="FootnoteReference"/>
        </w:rPr>
        <w:footnoteRef/>
      </w:r>
      <w:r>
        <w:t xml:space="preserve"> </w:t>
      </w:r>
      <w:r w:rsidRPr="00033E2C">
        <w:t xml:space="preserve">Alexandre-Louis Varet, </w:t>
      </w:r>
      <w:proofErr w:type="gramStart"/>
      <w:r w:rsidRPr="00033E2C">
        <w:rPr>
          <w:i/>
        </w:rPr>
        <w:t>The</w:t>
      </w:r>
      <w:proofErr w:type="gramEnd"/>
      <w:r w:rsidRPr="00033E2C">
        <w:rPr>
          <w:i/>
        </w:rPr>
        <w:t xml:space="preserve"> </w:t>
      </w:r>
      <w:proofErr w:type="spellStart"/>
      <w:r w:rsidRPr="00033E2C">
        <w:rPr>
          <w:i/>
        </w:rPr>
        <w:t>nunns</w:t>
      </w:r>
      <w:proofErr w:type="spellEnd"/>
      <w:r w:rsidRPr="00033E2C">
        <w:rPr>
          <w:i/>
        </w:rPr>
        <w:t xml:space="preserve"> complaint against the fryers being the charge given into the court of France, by the </w:t>
      </w:r>
      <w:proofErr w:type="spellStart"/>
      <w:r w:rsidRPr="00033E2C">
        <w:rPr>
          <w:i/>
        </w:rPr>
        <w:t>nunns</w:t>
      </w:r>
      <w:proofErr w:type="spellEnd"/>
      <w:r w:rsidRPr="00033E2C">
        <w:rPr>
          <w:i/>
        </w:rPr>
        <w:t xml:space="preserve"> of St. Katherine near Provins, against the Fathers Cordeliers their </w:t>
      </w:r>
      <w:proofErr w:type="spellStart"/>
      <w:r w:rsidRPr="00033E2C">
        <w:rPr>
          <w:i/>
        </w:rPr>
        <w:t>confessours</w:t>
      </w:r>
      <w:proofErr w:type="spellEnd"/>
      <w:r w:rsidRPr="00033E2C">
        <w:rPr>
          <w:i/>
        </w:rPr>
        <w:t xml:space="preserve"> / several times printed in French, and now faithfully done into English</w:t>
      </w:r>
      <w:r w:rsidRPr="00033E2C">
        <w:t>, (London, 1676)</w:t>
      </w:r>
      <w:r w:rsidR="00714FA5">
        <w:t>.</w:t>
      </w:r>
    </w:p>
  </w:footnote>
  <w:footnote w:id="168">
    <w:p w14:paraId="01427E6A" w14:textId="7154C0E5" w:rsidR="00056A03" w:rsidRPr="002B4625" w:rsidRDefault="00056A03" w:rsidP="00056A03">
      <w:pPr>
        <w:pStyle w:val="FootnoteText"/>
        <w:rPr>
          <w:iCs/>
        </w:rPr>
      </w:pPr>
      <w:r>
        <w:rPr>
          <w:rStyle w:val="FootnoteReference"/>
        </w:rPr>
        <w:footnoteRef/>
      </w:r>
      <w:r>
        <w:t xml:space="preserve">  </w:t>
      </w:r>
      <w:r w:rsidR="002B4625">
        <w:t xml:space="preserve">Ibid., </w:t>
      </w:r>
      <w:r>
        <w:t>p.57</w:t>
      </w:r>
      <w:r w:rsidR="00714FA5">
        <w:t>.</w:t>
      </w:r>
    </w:p>
  </w:footnote>
  <w:footnote w:id="169">
    <w:p w14:paraId="6EF84A39" w14:textId="2D0A50BD" w:rsidR="00056A03" w:rsidRDefault="00056A03" w:rsidP="00056A03">
      <w:pPr>
        <w:pStyle w:val="FootnoteText"/>
      </w:pPr>
      <w:r>
        <w:rPr>
          <w:rStyle w:val="FootnoteReference"/>
        </w:rPr>
        <w:footnoteRef/>
      </w:r>
      <w:r>
        <w:t xml:space="preserve"> Sa</w:t>
      </w:r>
      <w:r w:rsidRPr="007873DE">
        <w:t>muel Gardiner</w:t>
      </w:r>
      <w:r w:rsidRPr="007873DE">
        <w:rPr>
          <w:i/>
        </w:rPr>
        <w:t xml:space="preserve">, </w:t>
      </w:r>
      <w:proofErr w:type="gramStart"/>
      <w:r w:rsidRPr="007873DE">
        <w:rPr>
          <w:i/>
        </w:rPr>
        <w:t>The</w:t>
      </w:r>
      <w:proofErr w:type="gramEnd"/>
      <w:r w:rsidRPr="007873DE">
        <w:rPr>
          <w:i/>
        </w:rPr>
        <w:t xml:space="preserve"> </w:t>
      </w:r>
      <w:proofErr w:type="spellStart"/>
      <w:r w:rsidRPr="007873DE">
        <w:rPr>
          <w:i/>
        </w:rPr>
        <w:t>portraitur</w:t>
      </w:r>
      <w:proofErr w:type="spellEnd"/>
      <w:r w:rsidRPr="007873DE">
        <w:rPr>
          <w:i/>
        </w:rPr>
        <w:t xml:space="preserve"> of the prodigal </w:t>
      </w:r>
      <w:proofErr w:type="spellStart"/>
      <w:r w:rsidRPr="007873DE">
        <w:rPr>
          <w:i/>
        </w:rPr>
        <w:t>sonne</w:t>
      </w:r>
      <w:proofErr w:type="spellEnd"/>
      <w:r w:rsidRPr="007873DE">
        <w:rPr>
          <w:i/>
        </w:rPr>
        <w:t xml:space="preserve"> </w:t>
      </w:r>
      <w:proofErr w:type="spellStart"/>
      <w:r w:rsidRPr="007873DE">
        <w:rPr>
          <w:i/>
        </w:rPr>
        <w:t>liuelie</w:t>
      </w:r>
      <w:proofErr w:type="spellEnd"/>
      <w:r w:rsidRPr="007873DE">
        <w:rPr>
          <w:i/>
        </w:rPr>
        <w:t xml:space="preserve"> set forth in a three-fold discourse</w:t>
      </w:r>
      <w:r>
        <w:t>,</w:t>
      </w:r>
      <w:r w:rsidRPr="007873DE">
        <w:t xml:space="preserve"> (London, 1599</w:t>
      </w:r>
      <w:r>
        <w:t>), p.236</w:t>
      </w:r>
      <w:r w:rsidR="00714FA5">
        <w:t>.</w:t>
      </w:r>
    </w:p>
  </w:footnote>
  <w:footnote w:id="170">
    <w:p w14:paraId="464462DF" w14:textId="4A72B158" w:rsidR="009F60FD" w:rsidRDefault="009F60FD" w:rsidP="009F60FD">
      <w:pPr>
        <w:pStyle w:val="FootnoteText"/>
      </w:pPr>
      <w:r>
        <w:rPr>
          <w:rStyle w:val="FootnoteReference"/>
        </w:rPr>
        <w:footnoteRef/>
      </w:r>
      <w:r>
        <w:t xml:space="preserve"> ‘</w:t>
      </w:r>
      <w:proofErr w:type="gramStart"/>
      <w:r w:rsidRPr="0068524E">
        <w:t>poesy</w:t>
      </w:r>
      <w:proofErr w:type="gramEnd"/>
      <w:r w:rsidRPr="0068524E">
        <w:t xml:space="preserve"> (</w:t>
      </w:r>
      <w:r w:rsidRPr="0068524E">
        <w:rPr>
          <w:i/>
          <w:iCs/>
        </w:rPr>
        <w:t>n.</w:t>
      </w:r>
      <w:r w:rsidRPr="0068524E">
        <w:t>), 3</w:t>
      </w:r>
      <w:r w:rsidR="00B6344D">
        <w:t>.</w:t>
      </w:r>
      <w:r>
        <w:t xml:space="preserve">’, </w:t>
      </w:r>
      <w:r w:rsidRPr="0068524E">
        <w:rPr>
          <w:i/>
          <w:iCs/>
        </w:rPr>
        <w:t>Oxford English Dictionary</w:t>
      </w:r>
      <w:r w:rsidRPr="0068524E">
        <w:t>,</w:t>
      </w:r>
      <w:r>
        <w:t xml:space="preserve"> </w:t>
      </w:r>
      <w:r w:rsidR="00E12DDD">
        <w:t xml:space="preserve">(Oxford, </w:t>
      </w:r>
      <w:r w:rsidRPr="00E12DDD">
        <w:t>2023),</w:t>
      </w:r>
      <w:r>
        <w:t xml:space="preserve"> [</w:t>
      </w:r>
      <w:r w:rsidRPr="0068524E">
        <w:t>https://doi.org/10.1093/OED/4034319762</w:t>
      </w:r>
      <w:r>
        <w:t>; accessed 1 August 2024]</w:t>
      </w:r>
      <w:r w:rsidR="00714FA5">
        <w:t>.</w:t>
      </w:r>
    </w:p>
  </w:footnote>
  <w:footnote w:id="171">
    <w:p w14:paraId="4891D542" w14:textId="7FC83F58" w:rsidR="009F60FD" w:rsidRDefault="009F60FD" w:rsidP="009F60FD">
      <w:pPr>
        <w:pStyle w:val="FootnoteText"/>
      </w:pPr>
      <w:r>
        <w:rPr>
          <w:rStyle w:val="FootnoteReference"/>
        </w:rPr>
        <w:footnoteRef/>
      </w:r>
      <w:r>
        <w:t xml:space="preserve"> Anonymous, </w:t>
      </w:r>
      <w:proofErr w:type="gramStart"/>
      <w:r w:rsidRPr="00CE72C4">
        <w:rPr>
          <w:i/>
          <w:iCs/>
        </w:rPr>
        <w:t>Cupids</w:t>
      </w:r>
      <w:proofErr w:type="gramEnd"/>
      <w:r w:rsidRPr="00CE72C4">
        <w:rPr>
          <w:i/>
          <w:iCs/>
        </w:rPr>
        <w:t xml:space="preserve"> posies, for bracelets, </w:t>
      </w:r>
      <w:proofErr w:type="spellStart"/>
      <w:r w:rsidRPr="00CE72C4">
        <w:rPr>
          <w:i/>
          <w:iCs/>
        </w:rPr>
        <w:t>handkercers</w:t>
      </w:r>
      <w:proofErr w:type="spellEnd"/>
      <w:r w:rsidRPr="00CE72C4">
        <w:rPr>
          <w:i/>
          <w:iCs/>
        </w:rPr>
        <w:t>, and rings, with </w:t>
      </w:r>
      <w:proofErr w:type="spellStart"/>
      <w:r w:rsidRPr="00CE72C4">
        <w:rPr>
          <w:i/>
          <w:iCs/>
        </w:rPr>
        <w:t>scarfes</w:t>
      </w:r>
      <w:proofErr w:type="spellEnd"/>
      <w:r w:rsidRPr="00CE72C4">
        <w:rPr>
          <w:i/>
          <w:iCs/>
        </w:rPr>
        <w:t>, gloves and other things. Written by Cupid on a day, when Venus gave me leave to play, verbum sat </w:t>
      </w:r>
      <w:proofErr w:type="spellStart"/>
      <w:r w:rsidRPr="00CE72C4">
        <w:rPr>
          <w:i/>
          <w:iCs/>
        </w:rPr>
        <w:t>amanti</w:t>
      </w:r>
      <w:proofErr w:type="spellEnd"/>
      <w:r w:rsidRPr="00CE72C4">
        <w:rPr>
          <w:i/>
          <w:iCs/>
        </w:rPr>
        <w:t>. The lover </w:t>
      </w:r>
      <w:proofErr w:type="spellStart"/>
      <w:r w:rsidRPr="00CE72C4">
        <w:rPr>
          <w:i/>
          <w:iCs/>
        </w:rPr>
        <w:t>sheweth</w:t>
      </w:r>
      <w:proofErr w:type="spellEnd"/>
      <w:r w:rsidRPr="00CE72C4">
        <w:rPr>
          <w:i/>
          <w:iCs/>
        </w:rPr>
        <w:t> his intent, by gifts that are with posies sent.</w:t>
      </w:r>
      <w:r w:rsidR="00AA4310">
        <w:rPr>
          <w:i/>
          <w:iCs/>
        </w:rPr>
        <w:t>,</w:t>
      </w:r>
      <w:r w:rsidRPr="00CE72C4">
        <w:rPr>
          <w:i/>
          <w:iCs/>
        </w:rPr>
        <w:t> </w:t>
      </w:r>
      <w:r w:rsidRPr="00CE72C4">
        <w:t xml:space="preserve">(London, </w:t>
      </w:r>
      <w:r w:rsidRPr="0089506B">
        <w:t>1674)</w:t>
      </w:r>
      <w:r w:rsidR="00714FA5">
        <w:t>.</w:t>
      </w:r>
    </w:p>
  </w:footnote>
  <w:footnote w:id="172">
    <w:p w14:paraId="1DAF336C" w14:textId="77777777" w:rsidR="009F60FD" w:rsidRDefault="009F60FD" w:rsidP="009F60FD">
      <w:pPr>
        <w:pStyle w:val="FootnoteText"/>
      </w:pPr>
      <w:r>
        <w:rPr>
          <w:rStyle w:val="FootnoteReference"/>
        </w:rPr>
        <w:footnoteRef/>
      </w:r>
      <w:r>
        <w:t xml:space="preserve"> Ibid.</w:t>
      </w:r>
    </w:p>
  </w:footnote>
  <w:footnote w:id="173">
    <w:p w14:paraId="65548608" w14:textId="00AA4539" w:rsidR="009F60FD" w:rsidRDefault="009F60FD" w:rsidP="009F60FD">
      <w:pPr>
        <w:pStyle w:val="FootnoteText"/>
      </w:pPr>
      <w:r>
        <w:rPr>
          <w:rStyle w:val="FootnoteReference"/>
        </w:rPr>
        <w:footnoteRef/>
      </w:r>
      <w:r>
        <w:t xml:space="preserve"> John Lyly, </w:t>
      </w:r>
      <w:r w:rsidRPr="00E65225">
        <w:rPr>
          <w:i/>
        </w:rPr>
        <w:t xml:space="preserve">A </w:t>
      </w:r>
      <w:proofErr w:type="spellStart"/>
      <w:r w:rsidRPr="00E65225">
        <w:rPr>
          <w:i/>
        </w:rPr>
        <w:t>moste</w:t>
      </w:r>
      <w:proofErr w:type="spellEnd"/>
      <w:r w:rsidRPr="00E65225">
        <w:rPr>
          <w:i/>
        </w:rPr>
        <w:t xml:space="preserve"> excellent </w:t>
      </w:r>
      <w:proofErr w:type="spellStart"/>
      <w:r w:rsidRPr="00E65225">
        <w:rPr>
          <w:i/>
        </w:rPr>
        <w:t>comedie</w:t>
      </w:r>
      <w:proofErr w:type="spellEnd"/>
      <w:r w:rsidRPr="00E65225">
        <w:rPr>
          <w:i/>
        </w:rPr>
        <w:t xml:space="preserve"> of Alexander, Campaspe, and Diogenes played </w:t>
      </w:r>
      <w:proofErr w:type="spellStart"/>
      <w:r w:rsidRPr="00E65225">
        <w:rPr>
          <w:i/>
        </w:rPr>
        <w:t>beefore</w:t>
      </w:r>
      <w:proofErr w:type="spellEnd"/>
      <w:r w:rsidRPr="00E65225">
        <w:rPr>
          <w:i/>
        </w:rPr>
        <w:t xml:space="preserve"> the </w:t>
      </w:r>
      <w:proofErr w:type="spellStart"/>
      <w:r w:rsidRPr="00E65225">
        <w:rPr>
          <w:i/>
        </w:rPr>
        <w:t>Queenes</w:t>
      </w:r>
      <w:proofErr w:type="spellEnd"/>
      <w:r w:rsidRPr="00E65225">
        <w:rPr>
          <w:i/>
        </w:rPr>
        <w:t xml:space="preserve"> </w:t>
      </w:r>
      <w:proofErr w:type="spellStart"/>
      <w:r w:rsidRPr="00E65225">
        <w:rPr>
          <w:i/>
        </w:rPr>
        <w:t>Maiestie</w:t>
      </w:r>
      <w:proofErr w:type="spellEnd"/>
      <w:r w:rsidRPr="00E65225">
        <w:rPr>
          <w:i/>
        </w:rPr>
        <w:t xml:space="preserve"> on </w:t>
      </w:r>
      <w:proofErr w:type="spellStart"/>
      <w:r w:rsidRPr="00E65225">
        <w:rPr>
          <w:i/>
        </w:rPr>
        <w:t>twelfe</w:t>
      </w:r>
      <w:proofErr w:type="spellEnd"/>
      <w:r w:rsidRPr="00E65225">
        <w:rPr>
          <w:i/>
        </w:rPr>
        <w:t xml:space="preserve"> day at night, by her </w:t>
      </w:r>
      <w:proofErr w:type="spellStart"/>
      <w:r w:rsidRPr="00E65225">
        <w:rPr>
          <w:i/>
        </w:rPr>
        <w:t>Maiesties</w:t>
      </w:r>
      <w:proofErr w:type="spellEnd"/>
      <w:r w:rsidRPr="00E65225">
        <w:rPr>
          <w:i/>
        </w:rPr>
        <w:t xml:space="preserve"> children, and the children of Poules</w:t>
      </w:r>
      <w:r>
        <w:t>,</w:t>
      </w:r>
      <w:r w:rsidRPr="00E65225">
        <w:t xml:space="preserve"> (London</w:t>
      </w:r>
      <w:r w:rsidRPr="00860A62">
        <w:t>, 1584)</w:t>
      </w:r>
      <w:r w:rsidR="00860A62">
        <w:t>, p.E2</w:t>
      </w:r>
      <w:r w:rsidR="00714FA5">
        <w:t>.</w:t>
      </w:r>
    </w:p>
  </w:footnote>
  <w:footnote w:id="174">
    <w:p w14:paraId="76A6CBE7" w14:textId="40330742" w:rsidR="009F60FD" w:rsidRPr="00C26C89" w:rsidRDefault="009F60FD" w:rsidP="009F60FD">
      <w:pPr>
        <w:pStyle w:val="FootnoteText"/>
      </w:pPr>
      <w:r>
        <w:rPr>
          <w:rStyle w:val="FootnoteReference"/>
        </w:rPr>
        <w:footnoteRef/>
      </w:r>
      <w:r>
        <w:t xml:space="preserve"> Juliet Fleming, </w:t>
      </w:r>
      <w:r>
        <w:rPr>
          <w:i/>
          <w:iCs/>
        </w:rPr>
        <w:t xml:space="preserve">Graffiti and the Writing Arts of Early Modern England, </w:t>
      </w:r>
      <w:r>
        <w:t>(London, 2001), p.141</w:t>
      </w:r>
      <w:r w:rsidR="00714FA5">
        <w:t>.</w:t>
      </w:r>
    </w:p>
  </w:footnote>
  <w:footnote w:id="175">
    <w:p w14:paraId="77E94571" w14:textId="1F2E51CF" w:rsidR="008768EC" w:rsidRDefault="008768EC">
      <w:pPr>
        <w:pStyle w:val="FootnoteText"/>
      </w:pPr>
      <w:r>
        <w:rPr>
          <w:rStyle w:val="FootnoteReference"/>
        </w:rPr>
        <w:footnoteRef/>
      </w:r>
      <w:r>
        <w:t xml:space="preserve"> </w:t>
      </w:r>
      <w:r w:rsidRPr="008768EC">
        <w:t xml:space="preserve">David </w:t>
      </w:r>
      <w:proofErr w:type="spellStart"/>
      <w:r w:rsidRPr="008768EC">
        <w:t>Tomíĉek</w:t>
      </w:r>
      <w:proofErr w:type="spellEnd"/>
      <w:r w:rsidRPr="008768EC">
        <w:t xml:space="preserve">, ‘Magic and ritual in late-medieval and </w:t>
      </w:r>
      <w:proofErr w:type="gramStart"/>
      <w:r w:rsidRPr="008768EC">
        <w:t>early-modern</w:t>
      </w:r>
      <w:proofErr w:type="gramEnd"/>
      <w:r w:rsidRPr="008768EC">
        <w:t xml:space="preserve"> popular medicine’, in Albrecht Classen (ed.), </w:t>
      </w:r>
      <w:r w:rsidRPr="008768EC">
        <w:rPr>
          <w:i/>
          <w:iCs/>
        </w:rPr>
        <w:t xml:space="preserve">Magic and Magicians in the Middle Ages and the Early Modern Time, </w:t>
      </w:r>
      <w:r w:rsidRPr="008768EC">
        <w:t>(Berlin, 2017), pp.591-608, p.598</w:t>
      </w:r>
      <w:r w:rsidR="00714FA5">
        <w:t>.</w:t>
      </w:r>
    </w:p>
  </w:footnote>
  <w:footnote w:id="176">
    <w:p w14:paraId="4B19E8E0" w14:textId="4039232D" w:rsidR="009F60FD" w:rsidRDefault="009F60FD" w:rsidP="009F60FD">
      <w:pPr>
        <w:pStyle w:val="FootnoteText"/>
      </w:pPr>
      <w:r>
        <w:rPr>
          <w:rStyle w:val="FootnoteReference"/>
        </w:rPr>
        <w:footnoteRef/>
      </w:r>
      <w:r>
        <w:t xml:space="preserve"> </w:t>
      </w:r>
      <w:r w:rsidR="008768EC">
        <w:t>Ibid.</w:t>
      </w:r>
    </w:p>
  </w:footnote>
  <w:footnote w:id="177">
    <w:p w14:paraId="3C07B7B6" w14:textId="4F052B38" w:rsidR="0068641D" w:rsidRDefault="0068641D">
      <w:pPr>
        <w:pStyle w:val="FootnoteText"/>
      </w:pPr>
      <w:r>
        <w:rPr>
          <w:rStyle w:val="FootnoteReference"/>
        </w:rPr>
        <w:footnoteRef/>
      </w:r>
      <w:r>
        <w:t xml:space="preserve"> </w:t>
      </w:r>
      <w:r w:rsidRPr="0068641D">
        <w:t xml:space="preserve">Thomas Taylor, </w:t>
      </w:r>
      <w:r w:rsidRPr="0068641D">
        <w:rPr>
          <w:i/>
        </w:rPr>
        <w:t xml:space="preserve">Moses and Aaron, or, the types and shadows of our Saviour in the Old Testament opened and explained, </w:t>
      </w:r>
      <w:r w:rsidRPr="0068641D">
        <w:t>(London, 1653)</w:t>
      </w:r>
      <w:r w:rsidR="00714FA5">
        <w:t>.</w:t>
      </w:r>
    </w:p>
  </w:footnote>
  <w:footnote w:id="178">
    <w:p w14:paraId="34D1F5A3" w14:textId="1457F174" w:rsidR="003C22D6" w:rsidRDefault="003C22D6">
      <w:pPr>
        <w:pStyle w:val="FootnoteText"/>
      </w:pPr>
      <w:r>
        <w:rPr>
          <w:rStyle w:val="FootnoteReference"/>
        </w:rPr>
        <w:footnoteRef/>
      </w:r>
      <w:r>
        <w:t xml:space="preserve"> Ibid., p.103</w:t>
      </w:r>
      <w:r w:rsidR="00714FA5">
        <w:t>.</w:t>
      </w:r>
    </w:p>
  </w:footnote>
  <w:footnote w:id="179">
    <w:p w14:paraId="0F1F8EE5" w14:textId="1898E059" w:rsidR="009F60FD" w:rsidRPr="00EB61E5" w:rsidRDefault="009F60FD" w:rsidP="009F60FD">
      <w:pPr>
        <w:pStyle w:val="FootnoteText"/>
      </w:pPr>
      <w:r>
        <w:rPr>
          <w:rStyle w:val="FootnoteReference"/>
        </w:rPr>
        <w:footnoteRef/>
      </w:r>
      <w:r>
        <w:t xml:space="preserve"> </w:t>
      </w:r>
      <w:r w:rsidR="00EB61E5">
        <w:t>Ibid.</w:t>
      </w:r>
    </w:p>
  </w:footnote>
  <w:footnote w:id="180">
    <w:p w14:paraId="48B9AF7F" w14:textId="0CD6B2BB" w:rsidR="009F60FD" w:rsidRPr="006F2877" w:rsidRDefault="009F60FD" w:rsidP="009F60FD">
      <w:pPr>
        <w:pStyle w:val="FootnoteText"/>
      </w:pPr>
      <w:r>
        <w:rPr>
          <w:rStyle w:val="FootnoteReference"/>
        </w:rPr>
        <w:footnoteRef/>
      </w:r>
      <w:r>
        <w:t xml:space="preserve"> </w:t>
      </w:r>
      <w:proofErr w:type="gramStart"/>
      <w:r>
        <w:rPr>
          <w:i/>
          <w:iCs/>
        </w:rPr>
        <w:t>Cupids</w:t>
      </w:r>
      <w:proofErr w:type="gramEnd"/>
      <w:r>
        <w:rPr>
          <w:i/>
          <w:iCs/>
        </w:rPr>
        <w:t xml:space="preserve"> posie</w:t>
      </w:r>
      <w:r w:rsidR="006F2877">
        <w:rPr>
          <w:i/>
          <w:iCs/>
        </w:rPr>
        <w:t xml:space="preserve">s, </w:t>
      </w:r>
      <w:r w:rsidR="006F2877">
        <w:t>pos</w:t>
      </w:r>
      <w:r w:rsidR="002C7FB6">
        <w:t>y</w:t>
      </w:r>
      <w:r w:rsidR="006F2877">
        <w:t xml:space="preserve"> </w:t>
      </w:r>
      <w:r w:rsidR="00AB3403">
        <w:t>no. 15</w:t>
      </w:r>
      <w:r w:rsidR="002C7FB6">
        <w:t>, posy no.</w:t>
      </w:r>
      <w:r w:rsidR="00AB3403">
        <w:t xml:space="preserve"> </w:t>
      </w:r>
      <w:r w:rsidR="006F2877">
        <w:t>42</w:t>
      </w:r>
      <w:r w:rsidR="00714FA5">
        <w:t>.</w:t>
      </w:r>
    </w:p>
  </w:footnote>
  <w:footnote w:id="181">
    <w:p w14:paraId="168E7FD8" w14:textId="23935D44" w:rsidR="009F60FD" w:rsidRDefault="009F60FD" w:rsidP="009F60FD">
      <w:pPr>
        <w:pStyle w:val="FootnoteText"/>
      </w:pPr>
      <w:r>
        <w:rPr>
          <w:rStyle w:val="FootnoteReference"/>
        </w:rPr>
        <w:footnoteRef/>
      </w:r>
      <w:r>
        <w:t xml:space="preserve"> Isaiah 49:16, </w:t>
      </w:r>
      <w:r w:rsidR="000345BD" w:rsidRPr="000345BD">
        <w:rPr>
          <w:i/>
        </w:rPr>
        <w:t xml:space="preserve">King James VI Bible, </w:t>
      </w:r>
      <w:r>
        <w:t>[</w:t>
      </w:r>
      <w:r w:rsidRPr="00C73288">
        <w:t>https://www.kingjamesbibleonline.org/Isaiah-Chapter-49/#16</w:t>
      </w:r>
      <w:r>
        <w:t>; accessed 9 February 2021]</w:t>
      </w:r>
      <w:r w:rsidR="00714FA5">
        <w:t>.</w:t>
      </w:r>
    </w:p>
  </w:footnote>
  <w:footnote w:id="182">
    <w:p w14:paraId="73CB39BD" w14:textId="52C2BA50" w:rsidR="009F60FD" w:rsidRPr="0096727C" w:rsidRDefault="009F60FD" w:rsidP="009F60FD">
      <w:pPr>
        <w:pStyle w:val="FootnoteText"/>
      </w:pPr>
      <w:r>
        <w:rPr>
          <w:rStyle w:val="FootnoteReference"/>
        </w:rPr>
        <w:footnoteRef/>
      </w:r>
      <w:r>
        <w:t xml:space="preserve"> Stephen Charnock, </w:t>
      </w:r>
      <w:r>
        <w:rPr>
          <w:i/>
        </w:rPr>
        <w:t xml:space="preserve">A supplement to the several discourses upon various divine subjects, </w:t>
      </w:r>
      <w:r>
        <w:t>(London, 1683)</w:t>
      </w:r>
      <w:r w:rsidR="00714FA5">
        <w:t>.</w:t>
      </w:r>
    </w:p>
  </w:footnote>
  <w:footnote w:id="183">
    <w:p w14:paraId="5672F14F" w14:textId="7AD18405" w:rsidR="009F60FD" w:rsidRPr="0096727C" w:rsidRDefault="009F60FD" w:rsidP="009F60FD">
      <w:pPr>
        <w:pStyle w:val="FootnoteText"/>
      </w:pPr>
      <w:r>
        <w:rPr>
          <w:rStyle w:val="FootnoteReference"/>
        </w:rPr>
        <w:footnoteRef/>
      </w:r>
      <w:r>
        <w:t xml:space="preserve"> Thomas Brooks, </w:t>
      </w:r>
      <w:r>
        <w:rPr>
          <w:i/>
        </w:rPr>
        <w:t xml:space="preserve">The silent soul, with sovereign antidotes against the most miserable </w:t>
      </w:r>
      <w:proofErr w:type="spellStart"/>
      <w:r>
        <w:rPr>
          <w:i/>
        </w:rPr>
        <w:t>exigents</w:t>
      </w:r>
      <w:proofErr w:type="spellEnd"/>
      <w:r>
        <w:rPr>
          <w:i/>
        </w:rPr>
        <w:t xml:space="preserve">, </w:t>
      </w:r>
      <w:r>
        <w:t>(London, 1660), p.282</w:t>
      </w:r>
      <w:r w:rsidR="00714FA5">
        <w:t>.</w:t>
      </w:r>
    </w:p>
  </w:footnote>
  <w:footnote w:id="184">
    <w:p w14:paraId="12A04209" w14:textId="7ABB3447" w:rsidR="009F60FD" w:rsidRPr="007849FD" w:rsidRDefault="009F60FD" w:rsidP="009F60FD">
      <w:pPr>
        <w:pStyle w:val="FootnoteText"/>
      </w:pPr>
      <w:r>
        <w:rPr>
          <w:rStyle w:val="FootnoteReference"/>
        </w:rPr>
        <w:footnoteRef/>
      </w:r>
      <w:r>
        <w:t xml:space="preserve"> Joseph Caryl, </w:t>
      </w:r>
      <w:proofErr w:type="gramStart"/>
      <w:r>
        <w:rPr>
          <w:i/>
        </w:rPr>
        <w:t>An</w:t>
      </w:r>
      <w:proofErr w:type="gramEnd"/>
      <w:r>
        <w:rPr>
          <w:i/>
        </w:rPr>
        <w:t xml:space="preserve"> exposition with </w:t>
      </w:r>
      <w:proofErr w:type="spellStart"/>
      <w:r>
        <w:rPr>
          <w:i/>
        </w:rPr>
        <w:t>practicall</w:t>
      </w:r>
      <w:proofErr w:type="spellEnd"/>
      <w:r>
        <w:rPr>
          <w:i/>
        </w:rPr>
        <w:t xml:space="preserve"> observations continued upon the eighth, ninth and tenth chapters of the book of Job being the </w:t>
      </w:r>
      <w:proofErr w:type="spellStart"/>
      <w:r>
        <w:rPr>
          <w:i/>
        </w:rPr>
        <w:t>summe</w:t>
      </w:r>
      <w:proofErr w:type="spellEnd"/>
      <w:r>
        <w:rPr>
          <w:i/>
        </w:rPr>
        <w:t xml:space="preserve"> of </w:t>
      </w:r>
      <w:proofErr w:type="gramStart"/>
      <w:r>
        <w:rPr>
          <w:i/>
        </w:rPr>
        <w:t>thirty two</w:t>
      </w:r>
      <w:proofErr w:type="gramEnd"/>
      <w:r>
        <w:rPr>
          <w:i/>
        </w:rPr>
        <w:t xml:space="preserve"> lectures, delivered at Magnus </w:t>
      </w:r>
      <w:proofErr w:type="spellStart"/>
      <w:r>
        <w:rPr>
          <w:i/>
        </w:rPr>
        <w:t>neer</w:t>
      </w:r>
      <w:proofErr w:type="spellEnd"/>
      <w:r>
        <w:rPr>
          <w:i/>
        </w:rPr>
        <w:t xml:space="preserve"> the bridge, London, </w:t>
      </w:r>
      <w:r>
        <w:t>(London, 1647), pp.80-81</w:t>
      </w:r>
      <w:r w:rsidR="00714FA5">
        <w:t>.</w:t>
      </w:r>
    </w:p>
  </w:footnote>
  <w:footnote w:id="185">
    <w:p w14:paraId="2912210C" w14:textId="676DCF6B" w:rsidR="009F60FD" w:rsidRDefault="009F60FD" w:rsidP="009F60FD">
      <w:pPr>
        <w:pStyle w:val="FootnoteText"/>
      </w:pPr>
      <w:r>
        <w:rPr>
          <w:rStyle w:val="FootnoteReference"/>
        </w:rPr>
        <w:footnoteRef/>
      </w:r>
      <w:r>
        <w:t xml:space="preserve"> </w:t>
      </w:r>
      <w:r w:rsidR="003B6363">
        <w:t xml:space="preserve">Brooks, </w:t>
      </w:r>
      <w:r w:rsidR="003B6363">
        <w:rPr>
          <w:i/>
          <w:iCs/>
        </w:rPr>
        <w:t xml:space="preserve">The silent soul, </w:t>
      </w:r>
      <w:r w:rsidR="003B6363">
        <w:t>p.282</w:t>
      </w:r>
      <w:r w:rsidR="00714FA5">
        <w:t>.</w:t>
      </w:r>
    </w:p>
  </w:footnote>
  <w:footnote w:id="186">
    <w:p w14:paraId="378A91AB" w14:textId="13726AB4" w:rsidR="00E54257" w:rsidRDefault="00E54257">
      <w:pPr>
        <w:pStyle w:val="FootnoteText"/>
      </w:pPr>
      <w:r>
        <w:rPr>
          <w:rStyle w:val="FootnoteReference"/>
        </w:rPr>
        <w:footnoteRef/>
      </w:r>
      <w:r>
        <w:t xml:space="preserve"> </w:t>
      </w:r>
      <w:r w:rsidRPr="00E54257">
        <w:t xml:space="preserve">William Lower, </w:t>
      </w:r>
      <w:r w:rsidRPr="00E54257">
        <w:rPr>
          <w:i/>
        </w:rPr>
        <w:t xml:space="preserve">Three new </w:t>
      </w:r>
      <w:proofErr w:type="spellStart"/>
      <w:r w:rsidRPr="00E54257">
        <w:rPr>
          <w:i/>
        </w:rPr>
        <w:t>playes</w:t>
      </w:r>
      <w:proofErr w:type="spellEnd"/>
      <w:r w:rsidRPr="00E54257">
        <w:rPr>
          <w:i/>
        </w:rPr>
        <w:t xml:space="preserve">, Viz. </w:t>
      </w:r>
      <w:r w:rsidRPr="00E54257">
        <w:rPr>
          <w:i/>
          <w:lang w:val="it-IT"/>
        </w:rPr>
        <w:t xml:space="preserve">The noble ingratitude. A pastoral-tragi-comedy. </w:t>
      </w:r>
      <w:r w:rsidRPr="00E54257">
        <w:rPr>
          <w:i/>
        </w:rPr>
        <w:t xml:space="preserve">The enchanted lovers. A pastoral. The amorous </w:t>
      </w:r>
      <w:proofErr w:type="spellStart"/>
      <w:r w:rsidRPr="00E54257">
        <w:rPr>
          <w:i/>
        </w:rPr>
        <w:t>fantasme</w:t>
      </w:r>
      <w:proofErr w:type="spellEnd"/>
      <w:r w:rsidRPr="00E54257">
        <w:rPr>
          <w:i/>
        </w:rPr>
        <w:t xml:space="preserve">. A </w:t>
      </w:r>
      <w:proofErr w:type="gramStart"/>
      <w:r w:rsidRPr="00E54257">
        <w:rPr>
          <w:i/>
        </w:rPr>
        <w:t>tragi-comedy</w:t>
      </w:r>
      <w:proofErr w:type="gramEnd"/>
      <w:r w:rsidRPr="00E54257">
        <w:rPr>
          <w:i/>
        </w:rPr>
        <w:t xml:space="preserve">., </w:t>
      </w:r>
      <w:r w:rsidRPr="00E54257">
        <w:t>(London, 1661), p.18</w:t>
      </w:r>
      <w:r w:rsidR="00714FA5">
        <w:t>.</w:t>
      </w:r>
    </w:p>
  </w:footnote>
  <w:footnote w:id="187">
    <w:p w14:paraId="5A030B76" w14:textId="0383225F" w:rsidR="000A2FA8" w:rsidRDefault="000A2FA8">
      <w:pPr>
        <w:pStyle w:val="FootnoteText"/>
      </w:pPr>
      <w:r>
        <w:rPr>
          <w:rStyle w:val="FootnoteReference"/>
        </w:rPr>
        <w:footnoteRef/>
      </w:r>
      <w:r>
        <w:t xml:space="preserve"> Ibid.</w:t>
      </w:r>
    </w:p>
  </w:footnote>
  <w:footnote w:id="188">
    <w:p w14:paraId="41DB8C80" w14:textId="2A7D67E3" w:rsidR="00885C1A" w:rsidRPr="005F6DD5" w:rsidRDefault="00885C1A" w:rsidP="00885C1A">
      <w:pPr>
        <w:pStyle w:val="FootnoteText"/>
      </w:pPr>
      <w:r>
        <w:rPr>
          <w:rStyle w:val="FootnoteReference"/>
        </w:rPr>
        <w:footnoteRef/>
      </w:r>
      <w:r>
        <w:t xml:space="preserve"> </w:t>
      </w:r>
      <w:r w:rsidRPr="002842E4">
        <w:t>Ibid.</w:t>
      </w:r>
    </w:p>
  </w:footnote>
  <w:footnote w:id="189">
    <w:p w14:paraId="1EA9F427" w14:textId="2774347D" w:rsidR="00E55095" w:rsidRDefault="00E55095">
      <w:pPr>
        <w:pStyle w:val="FootnoteText"/>
      </w:pPr>
      <w:r>
        <w:rPr>
          <w:rStyle w:val="FootnoteReference"/>
        </w:rPr>
        <w:footnoteRef/>
      </w:r>
      <w:r>
        <w:t xml:space="preserve"> </w:t>
      </w:r>
      <w:r w:rsidRPr="00E55095">
        <w:t xml:space="preserve">George Wither, </w:t>
      </w:r>
      <w:r w:rsidRPr="00E55095">
        <w:rPr>
          <w:i/>
          <w:iCs/>
        </w:rPr>
        <w:t xml:space="preserve">Fidelia, </w:t>
      </w:r>
      <w:r w:rsidRPr="00E55095">
        <w:t>(London, 1619)</w:t>
      </w:r>
      <w:r w:rsidR="00714FA5">
        <w:t>.</w:t>
      </w:r>
    </w:p>
  </w:footnote>
  <w:footnote w:id="190">
    <w:p w14:paraId="790833FD" w14:textId="300E629F" w:rsidR="00E9112A" w:rsidRDefault="00E9112A">
      <w:pPr>
        <w:pStyle w:val="FootnoteText"/>
      </w:pPr>
      <w:r>
        <w:rPr>
          <w:rStyle w:val="FootnoteReference"/>
        </w:rPr>
        <w:footnoteRef/>
      </w:r>
      <w:r>
        <w:t xml:space="preserve"> </w:t>
      </w:r>
      <w:r w:rsidRPr="00E9112A">
        <w:t>Ibid.</w:t>
      </w:r>
      <w:r w:rsidR="002C7FB6">
        <w:t>, p.</w:t>
      </w:r>
      <w:r w:rsidR="0029554C">
        <w:t>B3</w:t>
      </w:r>
      <w:r w:rsidR="00714FA5">
        <w:t>.</w:t>
      </w:r>
    </w:p>
  </w:footnote>
  <w:footnote w:id="191">
    <w:p w14:paraId="4ABF571D" w14:textId="09A75079" w:rsidR="00C11D78" w:rsidRPr="005E1A1A" w:rsidRDefault="00C11D78" w:rsidP="00C11D78">
      <w:pPr>
        <w:pStyle w:val="FootnoteText"/>
      </w:pPr>
      <w:r>
        <w:rPr>
          <w:rStyle w:val="FootnoteReference"/>
        </w:rPr>
        <w:footnoteRef/>
      </w:r>
      <w:r>
        <w:t xml:space="preserve"> </w:t>
      </w:r>
      <w:r w:rsidR="00E55095">
        <w:t>Ibid.</w:t>
      </w:r>
    </w:p>
  </w:footnote>
  <w:footnote w:id="192">
    <w:p w14:paraId="297DC416" w14:textId="32EA44FB" w:rsidR="007858B6" w:rsidRPr="0054760F" w:rsidRDefault="007858B6" w:rsidP="007858B6">
      <w:pPr>
        <w:pStyle w:val="FootnoteText"/>
      </w:pPr>
      <w:r>
        <w:rPr>
          <w:rStyle w:val="FootnoteReference"/>
        </w:rPr>
        <w:footnoteRef/>
      </w:r>
      <w:r>
        <w:t xml:space="preserve"> Barclay and Reddan, </w:t>
      </w:r>
      <w:r>
        <w:rPr>
          <w:i/>
          <w:iCs/>
        </w:rPr>
        <w:t xml:space="preserve">Feeling Heart, </w:t>
      </w:r>
      <w:r>
        <w:t>p.7</w:t>
      </w:r>
      <w:r w:rsidR="00714FA5">
        <w:t>.</w:t>
      </w:r>
    </w:p>
  </w:footnote>
  <w:footnote w:id="193">
    <w:p w14:paraId="58D83D95" w14:textId="60651524" w:rsidR="007858B6" w:rsidRPr="00BA2582" w:rsidRDefault="007858B6" w:rsidP="007858B6">
      <w:pPr>
        <w:pStyle w:val="FootnoteText"/>
      </w:pPr>
      <w:r w:rsidRPr="5012D69D">
        <w:rPr>
          <w:rStyle w:val="FootnoteReference"/>
        </w:rPr>
        <w:footnoteRef/>
      </w:r>
      <w:r>
        <w:t xml:space="preserve"> Thomas </w:t>
      </w:r>
      <w:proofErr w:type="spellStart"/>
      <w:r>
        <w:t>Tillam</w:t>
      </w:r>
      <w:proofErr w:type="spellEnd"/>
      <w:r>
        <w:t xml:space="preserve">, </w:t>
      </w:r>
      <w:r w:rsidRPr="00BA2582">
        <w:rPr>
          <w:i/>
        </w:rPr>
        <w:t xml:space="preserve">The seventh-day Sabbath sought out and celebrated, or, The saints last design upon the man of sin with their advance of Gods first institution to its primitive perfection ... : with the Christians glorious conquest over that mark of the beast, and recovery of the long-slighted seventh day to its antient glory, wherein Mr. </w:t>
      </w:r>
      <w:proofErr w:type="spellStart"/>
      <w:r w:rsidRPr="00BA2582">
        <w:rPr>
          <w:i/>
        </w:rPr>
        <w:t>Aspinwal</w:t>
      </w:r>
      <w:proofErr w:type="spellEnd"/>
      <w:r w:rsidRPr="00BA2582">
        <w:rPr>
          <w:i/>
        </w:rPr>
        <w:t xml:space="preserve"> may receive full answer to his late piece against the Sabbath</w:t>
      </w:r>
      <w:r>
        <w:rPr>
          <w:i/>
        </w:rPr>
        <w:t xml:space="preserve">, </w:t>
      </w:r>
      <w:r>
        <w:t xml:space="preserve">(London, </w:t>
      </w:r>
      <w:r w:rsidRPr="00BE2402">
        <w:t>1657)</w:t>
      </w:r>
      <w:r w:rsidR="00BE2402">
        <w:t>, p.B1</w:t>
      </w:r>
      <w:r w:rsidR="00714FA5">
        <w:t>.</w:t>
      </w:r>
    </w:p>
  </w:footnote>
  <w:footnote w:id="194">
    <w:p w14:paraId="7ABF62CE" w14:textId="20E8FC9E" w:rsidR="007858B6" w:rsidRDefault="007858B6" w:rsidP="007858B6">
      <w:pPr>
        <w:pStyle w:val="FootnoteText"/>
      </w:pPr>
      <w:r w:rsidRPr="5012D69D">
        <w:rPr>
          <w:rStyle w:val="FootnoteReference"/>
        </w:rPr>
        <w:footnoteRef/>
      </w:r>
      <w:r>
        <w:t xml:space="preserve"> William Fenner, </w:t>
      </w:r>
      <w:proofErr w:type="gramStart"/>
      <w:r w:rsidRPr="00BA2582">
        <w:rPr>
          <w:i/>
        </w:rPr>
        <w:t>The</w:t>
      </w:r>
      <w:proofErr w:type="gramEnd"/>
      <w:r w:rsidRPr="00BA2582">
        <w:rPr>
          <w:i/>
        </w:rPr>
        <w:t xml:space="preserve"> riches of grace a treatise shewing the value and excellency of a gracious spirit by comparing it with the nature and spirits of wicked and ungodly men, which desire not the </w:t>
      </w:r>
      <w:proofErr w:type="spellStart"/>
      <w:r w:rsidRPr="00BA2582">
        <w:rPr>
          <w:i/>
        </w:rPr>
        <w:t>wayes</w:t>
      </w:r>
      <w:proofErr w:type="spellEnd"/>
      <w:r w:rsidRPr="00BA2582">
        <w:rPr>
          <w:i/>
        </w:rPr>
        <w:t xml:space="preserve"> of the Lord Jesus</w:t>
      </w:r>
      <w:r>
        <w:t>, (London, 1641), p.76</w:t>
      </w:r>
      <w:r w:rsidR="00714FA5">
        <w:t>.</w:t>
      </w:r>
    </w:p>
  </w:footnote>
  <w:footnote w:id="195">
    <w:p w14:paraId="1B3E6556" w14:textId="252FFA83" w:rsidR="007858B6" w:rsidRDefault="007858B6" w:rsidP="007858B6">
      <w:pPr>
        <w:pStyle w:val="FootnoteText"/>
      </w:pPr>
      <w:r>
        <w:rPr>
          <w:rStyle w:val="FootnoteReference"/>
        </w:rPr>
        <w:footnoteRef/>
      </w:r>
      <w:r>
        <w:t xml:space="preserve"> Thomas Watson, </w:t>
      </w:r>
      <w:proofErr w:type="spellStart"/>
      <w:r>
        <w:rPr>
          <w:i/>
        </w:rPr>
        <w:t>Autarkeia</w:t>
      </w:r>
      <w:proofErr w:type="spellEnd"/>
      <w:r>
        <w:rPr>
          <w:i/>
        </w:rPr>
        <w:t xml:space="preserve">, or, The art of divine contentment, </w:t>
      </w:r>
      <w:r>
        <w:t>(London, 1654), p.12</w:t>
      </w:r>
      <w:r w:rsidR="00714FA5">
        <w:t>.</w:t>
      </w:r>
    </w:p>
  </w:footnote>
  <w:footnote w:id="196">
    <w:p w14:paraId="43C24851" w14:textId="3CAA4783" w:rsidR="007858B6" w:rsidRPr="006C67E0" w:rsidRDefault="007858B6" w:rsidP="007858B6">
      <w:pPr>
        <w:pStyle w:val="FootnoteText"/>
      </w:pPr>
      <w:r w:rsidRPr="5012D69D">
        <w:rPr>
          <w:rStyle w:val="FootnoteReference"/>
        </w:rPr>
        <w:footnoteRef/>
      </w:r>
      <w:r>
        <w:t xml:space="preserve"> Thomas Allestree, </w:t>
      </w:r>
      <w:r w:rsidRPr="006C67E0">
        <w:rPr>
          <w:i/>
        </w:rPr>
        <w:t xml:space="preserve">A funeral handkerchief in two </w:t>
      </w:r>
      <w:proofErr w:type="gramStart"/>
      <w:r w:rsidRPr="006C67E0">
        <w:rPr>
          <w:i/>
        </w:rPr>
        <w:t>parts :</w:t>
      </w:r>
      <w:proofErr w:type="gramEnd"/>
      <w:r w:rsidRPr="006C67E0">
        <w:rPr>
          <w:i/>
        </w:rPr>
        <w:t xml:space="preserve"> I. Part. Containing arguments to comfort us at death of friends, II. Part. Containing several uses which we ought to make of such </w:t>
      </w:r>
      <w:proofErr w:type="gramStart"/>
      <w:r w:rsidRPr="006C67E0">
        <w:rPr>
          <w:i/>
        </w:rPr>
        <w:t>losses :</w:t>
      </w:r>
      <w:proofErr w:type="gramEnd"/>
      <w:r w:rsidRPr="006C67E0">
        <w:rPr>
          <w:i/>
        </w:rPr>
        <w:t xml:space="preserve"> to which is added, </w:t>
      </w:r>
      <w:proofErr w:type="gramStart"/>
      <w:r w:rsidRPr="006C67E0">
        <w:rPr>
          <w:i/>
        </w:rPr>
        <w:t>Three</w:t>
      </w:r>
      <w:proofErr w:type="gramEnd"/>
      <w:r w:rsidRPr="006C67E0">
        <w:rPr>
          <w:i/>
        </w:rPr>
        <w:t xml:space="preserve"> sermons preached at Coventry, in December last, 1670</w:t>
      </w:r>
      <w:r>
        <w:rPr>
          <w:i/>
        </w:rPr>
        <w:t xml:space="preserve">, </w:t>
      </w:r>
      <w:r>
        <w:t>(London, 1671), p.270</w:t>
      </w:r>
      <w:r w:rsidR="00714FA5">
        <w:t>.</w:t>
      </w:r>
    </w:p>
  </w:footnote>
  <w:footnote w:id="197">
    <w:p w14:paraId="0F5D2E7C" w14:textId="6B8630D9" w:rsidR="007858B6" w:rsidRPr="006C67E0" w:rsidRDefault="007858B6" w:rsidP="007858B6">
      <w:pPr>
        <w:pStyle w:val="FootnoteText"/>
      </w:pPr>
      <w:r>
        <w:rPr>
          <w:rStyle w:val="FootnoteReference"/>
        </w:rPr>
        <w:footnoteRef/>
      </w:r>
      <w:r>
        <w:t xml:space="preserve"> Francis Howgill, </w:t>
      </w:r>
      <w:proofErr w:type="gramStart"/>
      <w:r>
        <w:rPr>
          <w:i/>
        </w:rPr>
        <w:t>This</w:t>
      </w:r>
      <w:proofErr w:type="gramEnd"/>
      <w:r>
        <w:rPr>
          <w:i/>
        </w:rPr>
        <w:t xml:space="preserve"> is </w:t>
      </w:r>
      <w:proofErr w:type="spellStart"/>
      <w:r>
        <w:rPr>
          <w:i/>
        </w:rPr>
        <w:t>onely</w:t>
      </w:r>
      <w:proofErr w:type="spellEnd"/>
      <w:r>
        <w:rPr>
          <w:i/>
        </w:rPr>
        <w:t xml:space="preserve"> to </w:t>
      </w:r>
      <w:proofErr w:type="spellStart"/>
      <w:r>
        <w:rPr>
          <w:i/>
        </w:rPr>
        <w:t>goe</w:t>
      </w:r>
      <w:proofErr w:type="spellEnd"/>
      <w:r>
        <w:rPr>
          <w:i/>
        </w:rPr>
        <w:t xml:space="preserve"> amongst friends, </w:t>
      </w:r>
      <w:r>
        <w:t>(London, 1656), p.12</w:t>
      </w:r>
      <w:r w:rsidR="00714FA5">
        <w:t>.</w:t>
      </w:r>
    </w:p>
  </w:footnote>
  <w:footnote w:id="198">
    <w:p w14:paraId="03009CA9" w14:textId="071BEEE2" w:rsidR="00BC34E8" w:rsidRDefault="00BC34E8">
      <w:pPr>
        <w:pStyle w:val="FootnoteText"/>
      </w:pPr>
      <w:r>
        <w:rPr>
          <w:rStyle w:val="FootnoteReference"/>
        </w:rPr>
        <w:footnoteRef/>
      </w:r>
      <w:r>
        <w:t xml:space="preserve"> </w:t>
      </w:r>
      <w:r w:rsidRPr="00BC34E8">
        <w:t xml:space="preserve">Thomas Doolittle, </w:t>
      </w:r>
      <w:r w:rsidRPr="00BC34E8">
        <w:rPr>
          <w:i/>
        </w:rPr>
        <w:t xml:space="preserve">Earthquakes explained and practically improved occasioned by the late earthquake on Sept. 8, </w:t>
      </w:r>
      <w:proofErr w:type="gramStart"/>
      <w:r w:rsidRPr="00BC34E8">
        <w:rPr>
          <w:i/>
        </w:rPr>
        <w:t>1692</w:t>
      </w:r>
      <w:proofErr w:type="gramEnd"/>
      <w:r w:rsidRPr="00BC34E8">
        <w:rPr>
          <w:i/>
        </w:rPr>
        <w:t xml:space="preserve"> in London, many other parts in England, and beyond sea, </w:t>
      </w:r>
      <w:r w:rsidRPr="00BC34E8">
        <w:t>(London, 1693)</w:t>
      </w:r>
      <w:r w:rsidR="00714FA5">
        <w:t>.</w:t>
      </w:r>
    </w:p>
  </w:footnote>
  <w:footnote w:id="199">
    <w:p w14:paraId="04CD0379" w14:textId="160CE0E2" w:rsidR="007858B6" w:rsidRPr="003F2FD3" w:rsidRDefault="007858B6" w:rsidP="007858B6">
      <w:pPr>
        <w:pStyle w:val="FootnoteText"/>
      </w:pPr>
      <w:r>
        <w:rPr>
          <w:rStyle w:val="FootnoteReference"/>
        </w:rPr>
        <w:footnoteRef/>
      </w:r>
      <w:r>
        <w:t xml:space="preserve"> </w:t>
      </w:r>
      <w:r w:rsidR="00BC34E8">
        <w:t>Ibid.,</w:t>
      </w:r>
      <w:r w:rsidR="00E106EB">
        <w:t xml:space="preserve"> p.A3</w:t>
      </w:r>
      <w:r w:rsidR="00714FA5">
        <w:t>.</w:t>
      </w:r>
    </w:p>
  </w:footnote>
  <w:footnote w:id="200">
    <w:p w14:paraId="480AE3D1" w14:textId="55A81118" w:rsidR="007858B6" w:rsidRDefault="007858B6" w:rsidP="007858B6">
      <w:pPr>
        <w:pStyle w:val="FootnoteText"/>
      </w:pPr>
      <w:r>
        <w:rPr>
          <w:rStyle w:val="FootnoteReference"/>
        </w:rPr>
        <w:footnoteRef/>
      </w:r>
      <w:r>
        <w:t xml:space="preserve"> Ibid., p.118</w:t>
      </w:r>
      <w:r w:rsidR="00714FA5">
        <w:t>.</w:t>
      </w:r>
    </w:p>
  </w:footnote>
  <w:footnote w:id="201">
    <w:p w14:paraId="64D29EDE" w14:textId="07E2F5FE" w:rsidR="007858B6" w:rsidRDefault="007858B6" w:rsidP="007858B6">
      <w:pPr>
        <w:pStyle w:val="FootnoteText"/>
      </w:pPr>
      <w:r>
        <w:rPr>
          <w:rStyle w:val="FootnoteReference"/>
        </w:rPr>
        <w:footnoteRef/>
      </w:r>
      <w:r>
        <w:t xml:space="preserve"> Ibid.</w:t>
      </w:r>
    </w:p>
  </w:footnote>
  <w:footnote w:id="202">
    <w:p w14:paraId="7F259199" w14:textId="2BA49A04" w:rsidR="007858B6" w:rsidRDefault="007858B6" w:rsidP="007858B6">
      <w:pPr>
        <w:pStyle w:val="FootnoteText"/>
      </w:pPr>
      <w:r>
        <w:rPr>
          <w:rStyle w:val="FootnoteReference"/>
        </w:rPr>
        <w:footnoteRef/>
      </w:r>
      <w:r>
        <w:t xml:space="preserve"> Fleming, </w:t>
      </w:r>
      <w:r>
        <w:rPr>
          <w:i/>
        </w:rPr>
        <w:t xml:space="preserve">Graffiti, </w:t>
      </w:r>
      <w:r>
        <w:t>p.64</w:t>
      </w:r>
      <w:r w:rsidR="00714FA5">
        <w:t>.</w:t>
      </w:r>
    </w:p>
  </w:footnote>
  <w:footnote w:id="203">
    <w:p w14:paraId="5F4F8A73" w14:textId="64B54C30" w:rsidR="007858B6" w:rsidRDefault="007858B6" w:rsidP="007858B6">
      <w:pPr>
        <w:pStyle w:val="FootnoteText"/>
      </w:pPr>
      <w:r>
        <w:rPr>
          <w:rStyle w:val="FootnoteReference"/>
        </w:rPr>
        <w:footnoteRef/>
      </w:r>
      <w:r>
        <w:rPr>
          <w:i/>
        </w:rPr>
        <w:t xml:space="preserve"> </w:t>
      </w:r>
      <w:r>
        <w:t xml:space="preserve">Deuteronomy 6:4-9, </w:t>
      </w:r>
      <w:r w:rsidR="007374CE">
        <w:rPr>
          <w:i/>
        </w:rPr>
        <w:t>King James VI Bible,</w:t>
      </w:r>
      <w:r w:rsidR="007374CE">
        <w:t xml:space="preserve"> </w:t>
      </w:r>
      <w:r>
        <w:t>[</w:t>
      </w:r>
      <w:r w:rsidRPr="00C73288">
        <w:t>https://www</w:t>
      </w:r>
      <w:r>
        <w:t>.kingjamesbibleonline.org/Deuteronomy-Chapter-6; accessed 5</w:t>
      </w:r>
      <w:r w:rsidRPr="0033226F">
        <w:rPr>
          <w:vertAlign w:val="superscript"/>
        </w:rPr>
        <w:t>th</w:t>
      </w:r>
      <w:r>
        <w:t xml:space="preserve"> March 2021]</w:t>
      </w:r>
      <w:r w:rsidR="00714FA5">
        <w:t>.</w:t>
      </w:r>
    </w:p>
  </w:footnote>
  <w:footnote w:id="204">
    <w:p w14:paraId="097F3EF7" w14:textId="1A38CB3F" w:rsidR="001B6FE7" w:rsidRDefault="001B6FE7">
      <w:pPr>
        <w:pStyle w:val="FootnoteText"/>
      </w:pPr>
      <w:r>
        <w:rPr>
          <w:rStyle w:val="FootnoteReference"/>
        </w:rPr>
        <w:footnoteRef/>
      </w:r>
      <w:r>
        <w:t xml:space="preserve"> </w:t>
      </w:r>
      <w:r w:rsidRPr="001B6FE7">
        <w:t xml:space="preserve">Jean Calvin, </w:t>
      </w:r>
      <w:r w:rsidRPr="001B6FE7">
        <w:rPr>
          <w:i/>
        </w:rPr>
        <w:t xml:space="preserve">Sermons on Deuteronomy, translated by Arthur Golding, </w:t>
      </w:r>
      <w:r w:rsidRPr="001B6FE7">
        <w:t>(London, 1587), p.473</w:t>
      </w:r>
      <w:r w:rsidR="001130FE">
        <w:t>,</w:t>
      </w:r>
      <w:r w:rsidRPr="001B6FE7">
        <w:t xml:space="preserve"> cited in Fleming, </w:t>
      </w:r>
      <w:r w:rsidRPr="001B6FE7">
        <w:rPr>
          <w:i/>
        </w:rPr>
        <w:t xml:space="preserve">Graffiti, </w:t>
      </w:r>
      <w:r w:rsidRPr="001B6FE7">
        <w:t>p.66</w:t>
      </w:r>
      <w:r w:rsidR="00714FA5">
        <w:t>.</w:t>
      </w:r>
    </w:p>
  </w:footnote>
  <w:footnote w:id="205">
    <w:p w14:paraId="719F2D65" w14:textId="3468093C" w:rsidR="007858B6" w:rsidRPr="0033226F" w:rsidRDefault="007858B6" w:rsidP="007858B6">
      <w:pPr>
        <w:pStyle w:val="FootnoteText"/>
      </w:pPr>
      <w:r>
        <w:rPr>
          <w:rStyle w:val="FootnoteReference"/>
        </w:rPr>
        <w:footnoteRef/>
      </w:r>
      <w:r>
        <w:t xml:space="preserve"> </w:t>
      </w:r>
      <w:r w:rsidR="001B6FE7">
        <w:t>Ibid.</w:t>
      </w:r>
    </w:p>
  </w:footnote>
  <w:footnote w:id="206">
    <w:p w14:paraId="029D6738" w14:textId="0FD9E264" w:rsidR="007858B6" w:rsidRPr="00AC4BCE" w:rsidRDefault="007858B6" w:rsidP="007858B6">
      <w:pPr>
        <w:pStyle w:val="FootnoteText"/>
      </w:pPr>
      <w:r>
        <w:rPr>
          <w:rStyle w:val="FootnoteReference"/>
        </w:rPr>
        <w:footnoteRef/>
      </w:r>
      <w:r>
        <w:t xml:space="preserve"> Anonymous, </w:t>
      </w:r>
      <w:r w:rsidRPr="00AC4BCE">
        <w:rPr>
          <w:i/>
        </w:rPr>
        <w:t xml:space="preserve">The </w:t>
      </w:r>
      <w:proofErr w:type="spellStart"/>
      <w:r w:rsidRPr="00AC4BCE">
        <w:rPr>
          <w:i/>
        </w:rPr>
        <w:t>Auncient</w:t>
      </w:r>
      <w:proofErr w:type="spellEnd"/>
      <w:r w:rsidRPr="00AC4BCE">
        <w:rPr>
          <w:i/>
        </w:rPr>
        <w:t xml:space="preserve"> History of the Septuagint. Newly done into English by I. Done</w:t>
      </w:r>
      <w:r>
        <w:rPr>
          <w:i/>
        </w:rPr>
        <w:t>,</w:t>
      </w:r>
      <w:r w:rsidRPr="00AC4BCE">
        <w:t xml:space="preserve"> (London, 1633)</w:t>
      </w:r>
      <w:r>
        <w:t>, p.103</w:t>
      </w:r>
      <w:r w:rsidR="00714FA5">
        <w:t>.</w:t>
      </w:r>
    </w:p>
  </w:footnote>
  <w:footnote w:id="207">
    <w:p w14:paraId="6B8D75A1" w14:textId="6BBF5EC3" w:rsidR="007858B6" w:rsidRDefault="007858B6" w:rsidP="007858B6">
      <w:pPr>
        <w:pStyle w:val="FootnoteText"/>
      </w:pPr>
      <w:r>
        <w:rPr>
          <w:rStyle w:val="FootnoteReference"/>
        </w:rPr>
        <w:footnoteRef/>
      </w:r>
      <w:r>
        <w:t xml:space="preserve"> Ibid.</w:t>
      </w:r>
    </w:p>
  </w:footnote>
  <w:footnote w:id="208">
    <w:p w14:paraId="2CE69ABA" w14:textId="34CEDA24" w:rsidR="007858B6" w:rsidRDefault="007858B6" w:rsidP="007858B6">
      <w:pPr>
        <w:pStyle w:val="FootnoteText"/>
      </w:pPr>
      <w:r>
        <w:rPr>
          <w:rStyle w:val="FootnoteReference"/>
        </w:rPr>
        <w:footnoteRef/>
      </w:r>
      <w:r>
        <w:t xml:space="preserve"> Andrew Hiscock, </w:t>
      </w:r>
      <w:r>
        <w:rPr>
          <w:i/>
          <w:iCs/>
        </w:rPr>
        <w:t xml:space="preserve">Reading Memory in Early Modern Literature, </w:t>
      </w:r>
      <w:r>
        <w:t>(Cambridge, 2011), pp.181-182</w:t>
      </w:r>
      <w:r w:rsidR="00714FA5">
        <w:t>.</w:t>
      </w:r>
    </w:p>
  </w:footnote>
  <w:footnote w:id="209">
    <w:p w14:paraId="25CA9814" w14:textId="7E935950" w:rsidR="007858B6" w:rsidRPr="00762808" w:rsidRDefault="007858B6" w:rsidP="007858B6">
      <w:pPr>
        <w:pStyle w:val="FootnoteText"/>
      </w:pPr>
      <w:r>
        <w:rPr>
          <w:rStyle w:val="FootnoteReference"/>
        </w:rPr>
        <w:footnoteRef/>
      </w:r>
      <w:r>
        <w:t xml:space="preserve"> ‘</w:t>
      </w:r>
      <w:proofErr w:type="gramStart"/>
      <w:r>
        <w:t>deface</w:t>
      </w:r>
      <w:proofErr w:type="gramEnd"/>
      <w:r>
        <w:t xml:space="preserve"> (v.), sense 3.a’, June 2024’</w:t>
      </w:r>
      <w:r w:rsidR="00837A33">
        <w:t>,</w:t>
      </w:r>
      <w:r>
        <w:t xml:space="preserve"> </w:t>
      </w:r>
      <w:r w:rsidR="00837A33">
        <w:rPr>
          <w:i/>
          <w:iCs/>
        </w:rPr>
        <w:t>OED,</w:t>
      </w:r>
      <w:r>
        <w:rPr>
          <w:i/>
          <w:iCs/>
        </w:rPr>
        <w:t xml:space="preserve"> </w:t>
      </w:r>
      <w:r>
        <w:t>(</w:t>
      </w:r>
      <w:r w:rsidRPr="004520D8">
        <w:t>https://doi.org/10.1093/OED/9309856774</w:t>
      </w:r>
      <w:r>
        <w:t xml:space="preserve">; accessed 1 July 2024]; ‘deface (v.), sense 3.b’, </w:t>
      </w:r>
      <w:r w:rsidRPr="00837A33">
        <w:rPr>
          <w:i/>
          <w:iCs/>
        </w:rPr>
        <w:t xml:space="preserve">OED, </w:t>
      </w:r>
      <w:r w:rsidRPr="00837A33">
        <w:t>[</w:t>
      </w:r>
      <w:r w:rsidRPr="00627C83">
        <w:t>https://doi.org/10.1093/OED/6186697007</w:t>
      </w:r>
      <w:r>
        <w:t>; accessed 1 July 2024]</w:t>
      </w:r>
      <w:r w:rsidR="00714FA5">
        <w:t>.</w:t>
      </w:r>
    </w:p>
  </w:footnote>
  <w:footnote w:id="210">
    <w:p w14:paraId="68390E2E" w14:textId="75D641C7" w:rsidR="007858B6" w:rsidRDefault="007858B6" w:rsidP="007858B6">
      <w:pPr>
        <w:pStyle w:val="FootnoteText"/>
      </w:pPr>
      <w:r>
        <w:rPr>
          <w:rStyle w:val="FootnoteReference"/>
        </w:rPr>
        <w:footnoteRef/>
      </w:r>
      <w:r w:rsidR="007374CE">
        <w:rPr>
          <w:i/>
        </w:rPr>
        <w:t xml:space="preserve"> </w:t>
      </w:r>
      <w:r>
        <w:t xml:space="preserve">Exodus 12:7; Exodus 12:12-13, </w:t>
      </w:r>
      <w:r w:rsidR="007374CE" w:rsidRPr="007374CE">
        <w:rPr>
          <w:i/>
        </w:rPr>
        <w:t>King James VI Bible</w:t>
      </w:r>
      <w:r w:rsidR="007374CE">
        <w:rPr>
          <w:i/>
        </w:rPr>
        <w:t>,</w:t>
      </w:r>
      <w:r w:rsidR="007374CE" w:rsidRPr="007374CE">
        <w:t xml:space="preserve"> </w:t>
      </w:r>
      <w:r>
        <w:t>[</w:t>
      </w:r>
      <w:r w:rsidRPr="00C73288">
        <w:t>https://www</w:t>
      </w:r>
      <w:r>
        <w:t>.kingjamesbibleonline.org/Exodus-Chapter-12; accessed 26</w:t>
      </w:r>
      <w:r w:rsidRPr="0033226F">
        <w:rPr>
          <w:vertAlign w:val="superscript"/>
        </w:rPr>
        <w:t>th</w:t>
      </w:r>
      <w:r>
        <w:t xml:space="preserve"> August 2021]</w:t>
      </w:r>
      <w:r w:rsidR="00714FA5">
        <w:t>.</w:t>
      </w:r>
    </w:p>
  </w:footnote>
  <w:footnote w:id="211">
    <w:p w14:paraId="63BC5533" w14:textId="6FEA50F6" w:rsidR="00DC0035" w:rsidRDefault="00DC0035">
      <w:pPr>
        <w:pStyle w:val="FootnoteText"/>
      </w:pPr>
      <w:r>
        <w:rPr>
          <w:rStyle w:val="FootnoteReference"/>
        </w:rPr>
        <w:footnoteRef/>
      </w:r>
      <w:r>
        <w:t xml:space="preserve"> </w:t>
      </w:r>
      <w:r w:rsidRPr="00DC0035">
        <w:t xml:space="preserve">T. O., </w:t>
      </w:r>
      <w:r w:rsidRPr="00DC0035">
        <w:rPr>
          <w:i/>
          <w:iCs/>
        </w:rPr>
        <w:t>Christ's voice to sinners: or, Christ waiting at the door of the sinner's heart for entrance</w:t>
      </w:r>
      <w:r w:rsidRPr="00DC0035">
        <w:t>, (London, 1680)</w:t>
      </w:r>
      <w:r w:rsidR="00714FA5">
        <w:t>.</w:t>
      </w:r>
    </w:p>
  </w:footnote>
  <w:footnote w:id="212">
    <w:p w14:paraId="46E91B3C" w14:textId="3369E27D" w:rsidR="007C73F7" w:rsidRDefault="007C73F7">
      <w:pPr>
        <w:pStyle w:val="FootnoteText"/>
      </w:pPr>
      <w:r>
        <w:rPr>
          <w:rStyle w:val="FootnoteReference"/>
        </w:rPr>
        <w:footnoteRef/>
      </w:r>
      <w:r>
        <w:t xml:space="preserve"> Ibid., p.7</w:t>
      </w:r>
    </w:p>
  </w:footnote>
  <w:footnote w:id="213">
    <w:p w14:paraId="6FE1EF86" w14:textId="5453756D" w:rsidR="007858B6" w:rsidRPr="000F48B4" w:rsidRDefault="007858B6" w:rsidP="007858B6">
      <w:pPr>
        <w:pStyle w:val="FootnoteText"/>
      </w:pPr>
      <w:r>
        <w:rPr>
          <w:rStyle w:val="FootnoteReference"/>
        </w:rPr>
        <w:footnoteRef/>
      </w:r>
      <w:r>
        <w:t xml:space="preserve"> </w:t>
      </w:r>
      <w:r w:rsidR="00DC0035">
        <w:t>I</w:t>
      </w:r>
      <w:r w:rsidR="007C73F7">
        <w:t>bid.</w:t>
      </w:r>
    </w:p>
  </w:footnote>
  <w:footnote w:id="214">
    <w:p w14:paraId="49AEC856" w14:textId="0B30D2C0" w:rsidR="007858B6" w:rsidRPr="002E787E" w:rsidRDefault="007858B6" w:rsidP="007858B6">
      <w:pPr>
        <w:pStyle w:val="FootnoteText"/>
      </w:pPr>
      <w:r>
        <w:rPr>
          <w:rStyle w:val="FootnoteReference"/>
        </w:rPr>
        <w:footnoteRef/>
      </w:r>
      <w:r>
        <w:t xml:space="preserve"> Barclay and Reddan, </w:t>
      </w:r>
      <w:r>
        <w:rPr>
          <w:i/>
          <w:iCs/>
        </w:rPr>
        <w:t xml:space="preserve">Feeling Heart, </w:t>
      </w:r>
      <w:r>
        <w:t>p.7</w:t>
      </w:r>
      <w:r w:rsidR="00714FA5">
        <w:t>.</w:t>
      </w:r>
    </w:p>
  </w:footnote>
  <w:footnote w:id="215">
    <w:p w14:paraId="5148715E" w14:textId="6B11BA15" w:rsidR="007858B6" w:rsidRPr="00AC499C" w:rsidRDefault="007858B6" w:rsidP="007858B6">
      <w:pPr>
        <w:pStyle w:val="FootnoteText"/>
        <w:rPr>
          <w:lang w:val="es-ES_tradnl"/>
        </w:rPr>
      </w:pPr>
      <w:r>
        <w:rPr>
          <w:rStyle w:val="FootnoteReference"/>
        </w:rPr>
        <w:footnoteRef/>
      </w:r>
      <w:r>
        <w:t xml:space="preserve"> </w:t>
      </w:r>
      <w:r w:rsidRPr="00363AF5">
        <w:rPr>
          <w:lang w:val="es-ES_tradnl"/>
        </w:rPr>
        <w:t>T. O.</w:t>
      </w:r>
      <w:r w:rsidR="007935FC" w:rsidRPr="00363AF5">
        <w:rPr>
          <w:lang w:val="es-ES_tradnl"/>
        </w:rPr>
        <w:t xml:space="preserve">, </w:t>
      </w:r>
      <w:proofErr w:type="spellStart"/>
      <w:r w:rsidR="00363AF5" w:rsidRPr="00363AF5">
        <w:rPr>
          <w:i/>
          <w:iCs/>
          <w:lang w:val="es-ES_tradnl"/>
        </w:rPr>
        <w:t>Christ’s</w:t>
      </w:r>
      <w:proofErr w:type="spellEnd"/>
      <w:r w:rsidR="00363AF5" w:rsidRPr="00363AF5">
        <w:rPr>
          <w:i/>
          <w:iCs/>
          <w:lang w:val="es-ES_tradnl"/>
        </w:rPr>
        <w:t xml:space="preserve"> </w:t>
      </w:r>
      <w:proofErr w:type="spellStart"/>
      <w:r w:rsidR="00363AF5" w:rsidRPr="00363AF5">
        <w:rPr>
          <w:i/>
          <w:iCs/>
          <w:lang w:val="es-ES_tradnl"/>
        </w:rPr>
        <w:t>voice</w:t>
      </w:r>
      <w:proofErr w:type="spellEnd"/>
      <w:r w:rsidR="00363AF5" w:rsidRPr="00363AF5">
        <w:rPr>
          <w:i/>
          <w:iCs/>
          <w:lang w:val="es-ES_tradnl"/>
        </w:rPr>
        <w:t>,</w:t>
      </w:r>
      <w:r w:rsidRPr="00363AF5">
        <w:rPr>
          <w:lang w:val="es-ES_tradnl"/>
        </w:rPr>
        <w:t xml:space="preserve"> p.18</w:t>
      </w:r>
      <w:r w:rsidR="00714FA5">
        <w:rPr>
          <w:lang w:val="es-ES_tradnl"/>
        </w:rPr>
        <w:t>.</w:t>
      </w:r>
    </w:p>
  </w:footnote>
  <w:footnote w:id="216">
    <w:p w14:paraId="63321317" w14:textId="221CA986" w:rsidR="007858B6" w:rsidRPr="009D0C73" w:rsidRDefault="007858B6" w:rsidP="007858B6">
      <w:pPr>
        <w:pStyle w:val="FootnoteText"/>
      </w:pPr>
      <w:r>
        <w:rPr>
          <w:rStyle w:val="FootnoteReference"/>
        </w:rPr>
        <w:footnoteRef/>
      </w:r>
      <w:r w:rsidRPr="009D0C73">
        <w:t xml:space="preserve"> Ibid., p.20</w:t>
      </w:r>
      <w:r w:rsidR="00714FA5">
        <w:t>.</w:t>
      </w:r>
    </w:p>
  </w:footnote>
  <w:footnote w:id="217">
    <w:p w14:paraId="39D636A4" w14:textId="6B5FF3B6" w:rsidR="00F87A5C" w:rsidRDefault="00F87A5C">
      <w:pPr>
        <w:pStyle w:val="FootnoteText"/>
      </w:pPr>
      <w:r>
        <w:rPr>
          <w:rStyle w:val="FootnoteReference"/>
        </w:rPr>
        <w:footnoteRef/>
      </w:r>
      <w:r>
        <w:t xml:space="preserve"> Ibid.</w:t>
      </w:r>
    </w:p>
  </w:footnote>
  <w:footnote w:id="218">
    <w:p w14:paraId="1313416F" w14:textId="40A030C1" w:rsidR="007858B6" w:rsidRDefault="007858B6" w:rsidP="007858B6">
      <w:pPr>
        <w:pStyle w:val="FootnoteText"/>
      </w:pPr>
      <w:r>
        <w:rPr>
          <w:rStyle w:val="FootnoteReference"/>
        </w:rPr>
        <w:footnoteRef/>
      </w:r>
      <w:r>
        <w:t xml:space="preserve"> </w:t>
      </w:r>
      <w:r w:rsidRPr="006E616E">
        <w:t xml:space="preserve">Henry Smith, </w:t>
      </w:r>
      <w:proofErr w:type="spellStart"/>
      <w:r w:rsidRPr="006E616E">
        <w:rPr>
          <w:i/>
          <w:iCs/>
        </w:rPr>
        <w:t>Iacobs</w:t>
      </w:r>
      <w:proofErr w:type="spellEnd"/>
      <w:r w:rsidRPr="006E616E">
        <w:rPr>
          <w:i/>
          <w:iCs/>
        </w:rPr>
        <w:t xml:space="preserve"> ladder, or The </w:t>
      </w:r>
      <w:proofErr w:type="gramStart"/>
      <w:r w:rsidRPr="006E616E">
        <w:rPr>
          <w:i/>
          <w:iCs/>
        </w:rPr>
        <w:t>high way</w:t>
      </w:r>
      <w:proofErr w:type="gramEnd"/>
      <w:r w:rsidRPr="006E616E">
        <w:rPr>
          <w:i/>
          <w:iCs/>
        </w:rPr>
        <w:t xml:space="preserve"> to </w:t>
      </w:r>
      <w:proofErr w:type="spellStart"/>
      <w:r w:rsidRPr="006E616E">
        <w:rPr>
          <w:i/>
          <w:iCs/>
        </w:rPr>
        <w:t>heauen</w:t>
      </w:r>
      <w:proofErr w:type="spellEnd"/>
      <w:r w:rsidRPr="006E616E">
        <w:rPr>
          <w:i/>
          <w:iCs/>
        </w:rPr>
        <w:t xml:space="preserve"> Being the last sermon that Master Henry Smith made. And now published, not (as many forged things </w:t>
      </w:r>
      <w:proofErr w:type="spellStart"/>
      <w:r w:rsidRPr="006E616E">
        <w:rPr>
          <w:i/>
          <w:iCs/>
        </w:rPr>
        <w:t>haue</w:t>
      </w:r>
      <w:proofErr w:type="spellEnd"/>
      <w:r w:rsidRPr="006E616E">
        <w:rPr>
          <w:i/>
          <w:iCs/>
        </w:rPr>
        <w:t xml:space="preserve"> </w:t>
      </w:r>
      <w:proofErr w:type="spellStart"/>
      <w:r w:rsidRPr="006E616E">
        <w:rPr>
          <w:i/>
          <w:iCs/>
        </w:rPr>
        <w:t>beene</w:t>
      </w:r>
      <w:proofErr w:type="spellEnd"/>
      <w:r w:rsidRPr="006E616E">
        <w:rPr>
          <w:i/>
          <w:iCs/>
        </w:rPr>
        <w:t xml:space="preserve"> in his name) to </w:t>
      </w:r>
      <w:proofErr w:type="spellStart"/>
      <w:r w:rsidRPr="006E616E">
        <w:rPr>
          <w:i/>
          <w:iCs/>
        </w:rPr>
        <w:t>deceiue</w:t>
      </w:r>
      <w:proofErr w:type="spellEnd"/>
      <w:r w:rsidRPr="006E616E">
        <w:rPr>
          <w:i/>
          <w:iCs/>
        </w:rPr>
        <w:t xml:space="preserve"> the Christian reader, but to instruct and prepare him with </w:t>
      </w:r>
      <w:proofErr w:type="spellStart"/>
      <w:r w:rsidRPr="006E616E">
        <w:rPr>
          <w:i/>
          <w:iCs/>
        </w:rPr>
        <w:t>oyle</w:t>
      </w:r>
      <w:proofErr w:type="spellEnd"/>
      <w:r w:rsidRPr="006E616E">
        <w:rPr>
          <w:i/>
          <w:iCs/>
        </w:rPr>
        <w:t xml:space="preserve"> in his </w:t>
      </w:r>
      <w:proofErr w:type="spellStart"/>
      <w:r w:rsidRPr="006E616E">
        <w:rPr>
          <w:i/>
          <w:iCs/>
        </w:rPr>
        <w:t>lampe</w:t>
      </w:r>
      <w:proofErr w:type="spellEnd"/>
      <w:r w:rsidRPr="006E616E">
        <w:rPr>
          <w:i/>
          <w:iCs/>
        </w:rPr>
        <w:t xml:space="preserve">, </w:t>
      </w:r>
      <w:proofErr w:type="spellStart"/>
      <w:r w:rsidRPr="006E616E">
        <w:rPr>
          <w:i/>
          <w:iCs/>
        </w:rPr>
        <w:t>ioyfully</w:t>
      </w:r>
      <w:proofErr w:type="spellEnd"/>
      <w:r w:rsidRPr="006E616E">
        <w:rPr>
          <w:i/>
          <w:iCs/>
        </w:rPr>
        <w:t xml:space="preserve"> to </w:t>
      </w:r>
      <w:proofErr w:type="spellStart"/>
      <w:r w:rsidRPr="006E616E">
        <w:rPr>
          <w:i/>
          <w:iCs/>
        </w:rPr>
        <w:t>meete</w:t>
      </w:r>
      <w:proofErr w:type="spellEnd"/>
      <w:r w:rsidRPr="006E616E">
        <w:rPr>
          <w:i/>
          <w:iCs/>
        </w:rPr>
        <w:t xml:space="preserve"> the Lord Iesus in his second </w:t>
      </w:r>
      <w:proofErr w:type="spellStart"/>
      <w:r w:rsidRPr="006E616E">
        <w:rPr>
          <w:i/>
          <w:iCs/>
        </w:rPr>
        <w:t>comming</w:t>
      </w:r>
      <w:proofErr w:type="spellEnd"/>
      <w:r w:rsidRPr="006E616E">
        <w:t xml:space="preserve">, (London, </w:t>
      </w:r>
      <w:r w:rsidRPr="00124160">
        <w:t>1595)</w:t>
      </w:r>
      <w:r w:rsidR="00124160">
        <w:t>, p.D4</w:t>
      </w:r>
      <w:r w:rsidR="00714FA5">
        <w:t>.</w:t>
      </w:r>
    </w:p>
  </w:footnote>
  <w:footnote w:id="219">
    <w:p w14:paraId="64C1FE43" w14:textId="5C7B22FE" w:rsidR="007858B6" w:rsidRDefault="007858B6" w:rsidP="007858B6">
      <w:pPr>
        <w:pStyle w:val="FootnoteText"/>
      </w:pPr>
      <w:r>
        <w:rPr>
          <w:rStyle w:val="FootnoteReference"/>
        </w:rPr>
        <w:footnoteRef/>
      </w:r>
      <w:r>
        <w:t xml:space="preserve"> John Wall, </w:t>
      </w:r>
      <w:r w:rsidRPr="006C2CB7">
        <w:rPr>
          <w:i/>
          <w:iCs/>
        </w:rPr>
        <w:t>Christian reconcilement or God at peace with man in Christ, delivered in a sermon at St Mary's in Oxford</w:t>
      </w:r>
      <w:r>
        <w:rPr>
          <w:i/>
          <w:iCs/>
        </w:rPr>
        <w:t>,</w:t>
      </w:r>
      <w:r w:rsidRPr="006C2CB7">
        <w:t xml:space="preserve"> (Oxford, 1658)</w:t>
      </w:r>
      <w:r>
        <w:t xml:space="preserve">, </w:t>
      </w:r>
      <w:r w:rsidR="00456338">
        <w:t>p.15</w:t>
      </w:r>
      <w:r w:rsidR="00714FA5">
        <w:t>.</w:t>
      </w:r>
    </w:p>
  </w:footnote>
  <w:footnote w:id="220">
    <w:p w14:paraId="0144405D" w14:textId="7AFA6407" w:rsidR="007858B6" w:rsidRDefault="007858B6" w:rsidP="007858B6">
      <w:pPr>
        <w:pStyle w:val="FootnoteText"/>
      </w:pPr>
      <w:r>
        <w:rPr>
          <w:rStyle w:val="FootnoteReference"/>
        </w:rPr>
        <w:footnoteRef/>
      </w:r>
      <w:r>
        <w:t xml:space="preserve"> </w:t>
      </w:r>
      <w:r w:rsidRPr="0012448B">
        <w:t>John Hinckley</w:t>
      </w:r>
      <w:r w:rsidRPr="0012448B">
        <w:rPr>
          <w:i/>
          <w:iCs/>
        </w:rPr>
        <w:t xml:space="preserve">, </w:t>
      </w:r>
      <w:proofErr w:type="spellStart"/>
      <w:r w:rsidRPr="0012448B">
        <w:rPr>
          <w:i/>
          <w:iCs/>
        </w:rPr>
        <w:t>Pithanelogia</w:t>
      </w:r>
      <w:proofErr w:type="spellEnd"/>
      <w:r w:rsidRPr="0012448B">
        <w:rPr>
          <w:i/>
          <w:iCs/>
        </w:rPr>
        <w:t xml:space="preserve">, </w:t>
      </w:r>
      <w:proofErr w:type="gramStart"/>
      <w:r w:rsidRPr="0012448B">
        <w:rPr>
          <w:i/>
          <w:iCs/>
        </w:rPr>
        <w:t>or,</w:t>
      </w:r>
      <w:proofErr w:type="gramEnd"/>
      <w:r w:rsidRPr="0012448B">
        <w:rPr>
          <w:i/>
          <w:iCs/>
        </w:rPr>
        <w:t xml:space="preserve"> A </w:t>
      </w:r>
      <w:proofErr w:type="spellStart"/>
      <w:r w:rsidRPr="0012448B">
        <w:rPr>
          <w:i/>
          <w:iCs/>
        </w:rPr>
        <w:t>perswasive</w:t>
      </w:r>
      <w:proofErr w:type="spellEnd"/>
      <w:r w:rsidRPr="0012448B">
        <w:rPr>
          <w:i/>
          <w:iCs/>
        </w:rPr>
        <w:t xml:space="preserve"> to conformity by way of a letter to the dissenting brethren / by a country minister</w:t>
      </w:r>
      <w:r w:rsidRPr="0012448B">
        <w:t>. (London, 1670), pp.66-67</w:t>
      </w:r>
      <w:r w:rsidR="00714FA5">
        <w:t>.</w:t>
      </w:r>
    </w:p>
  </w:footnote>
  <w:footnote w:id="221">
    <w:p w14:paraId="5D4F3FB3" w14:textId="72DC671D" w:rsidR="007B1EC6" w:rsidRDefault="007B1EC6">
      <w:pPr>
        <w:pStyle w:val="FootnoteText"/>
      </w:pPr>
      <w:r>
        <w:rPr>
          <w:rStyle w:val="FootnoteReference"/>
        </w:rPr>
        <w:footnoteRef/>
      </w:r>
      <w:r>
        <w:t xml:space="preserve"> </w:t>
      </w:r>
      <w:r w:rsidR="0039255B">
        <w:t xml:space="preserve">Daniel </w:t>
      </w:r>
      <w:proofErr w:type="spellStart"/>
      <w:r w:rsidR="0039255B">
        <w:t>J</w:t>
      </w:r>
      <w:r w:rsidR="0039255B">
        <w:rPr>
          <w:rFonts w:cs="Calibri"/>
        </w:rPr>
        <w:t>ü</w:t>
      </w:r>
      <w:r w:rsidR="0039255B">
        <w:t>tte</w:t>
      </w:r>
      <w:proofErr w:type="spellEnd"/>
      <w:r w:rsidR="0039255B">
        <w:t xml:space="preserve">, ‘Living stones: the house as actor in early modern Europe’, </w:t>
      </w:r>
      <w:r w:rsidR="0039255B">
        <w:rPr>
          <w:i/>
          <w:iCs/>
        </w:rPr>
        <w:t xml:space="preserve">Journal of Urban History, </w:t>
      </w:r>
      <w:r w:rsidR="0039255B">
        <w:t>Vol. 42, No. 4, (2016), pp.659-687</w:t>
      </w:r>
      <w:r w:rsidR="00714FA5">
        <w:t>.</w:t>
      </w:r>
    </w:p>
  </w:footnote>
  <w:footnote w:id="222">
    <w:p w14:paraId="3265D21A" w14:textId="3008C452" w:rsidR="007858B6" w:rsidRPr="00F10081" w:rsidRDefault="007858B6" w:rsidP="007858B6">
      <w:pPr>
        <w:pStyle w:val="FootnoteText"/>
      </w:pPr>
      <w:r>
        <w:rPr>
          <w:rStyle w:val="FootnoteReference"/>
        </w:rPr>
        <w:footnoteRef/>
      </w:r>
      <w:r w:rsidR="00A10A14">
        <w:t xml:space="preserve"> </w:t>
      </w:r>
      <w:r w:rsidR="0090340A">
        <w:t>Ibid.</w:t>
      </w:r>
      <w:r>
        <w:t>, p.663, p.668, p.666</w:t>
      </w:r>
      <w:r w:rsidR="00A10A14">
        <w:t xml:space="preserve"> – </w:t>
      </w:r>
      <w:proofErr w:type="spellStart"/>
      <w:r w:rsidR="002267EC" w:rsidRPr="002267EC">
        <w:t>Jütte</w:t>
      </w:r>
      <w:proofErr w:type="spellEnd"/>
      <w:r w:rsidR="002267EC">
        <w:t xml:space="preserve"> demonstrates how s</w:t>
      </w:r>
      <w:r w:rsidR="00A10A14">
        <w:t>hutters (</w:t>
      </w:r>
      <w:proofErr w:type="spellStart"/>
      <w:r w:rsidR="00A10A14">
        <w:rPr>
          <w:i/>
          <w:iCs/>
        </w:rPr>
        <w:t>Fensterladen</w:t>
      </w:r>
      <w:proofErr w:type="spellEnd"/>
      <w:r w:rsidR="00A10A14">
        <w:t>) were etymologically connected to the word for eyelid (</w:t>
      </w:r>
      <w:r w:rsidR="00A10A14">
        <w:rPr>
          <w:i/>
          <w:iCs/>
        </w:rPr>
        <w:t>Lid</w:t>
      </w:r>
      <w:r w:rsidR="00A10A14">
        <w:t>) in German</w:t>
      </w:r>
      <w:r w:rsidR="006B34AE">
        <w:t xml:space="preserve">. Eyelids themselves were also known as </w:t>
      </w:r>
      <w:proofErr w:type="spellStart"/>
      <w:r w:rsidR="006B34AE">
        <w:rPr>
          <w:i/>
          <w:iCs/>
        </w:rPr>
        <w:t>Augenladen</w:t>
      </w:r>
      <w:proofErr w:type="spellEnd"/>
      <w:r w:rsidR="006B34AE">
        <w:t xml:space="preserve">, meaning ‘eye-shutters’, while an English synonym, ‘blinds’, reveals similar ocular associations. </w:t>
      </w:r>
      <w:r w:rsidR="00ED2EC0">
        <w:t xml:space="preserve">Walls coverings were </w:t>
      </w:r>
      <w:r w:rsidR="00596FE9">
        <w:t xml:space="preserve">referred to as </w:t>
      </w:r>
      <w:r w:rsidR="00596FE9">
        <w:rPr>
          <w:i/>
          <w:iCs/>
        </w:rPr>
        <w:t xml:space="preserve">chemise </w:t>
      </w:r>
      <w:r w:rsidR="00596FE9">
        <w:t xml:space="preserve">(shirt) in French and </w:t>
      </w:r>
      <w:proofErr w:type="spellStart"/>
      <w:r w:rsidR="00596FE9">
        <w:rPr>
          <w:i/>
          <w:iCs/>
        </w:rPr>
        <w:t>T</w:t>
      </w:r>
      <w:r w:rsidR="00596FE9" w:rsidRPr="00596FE9">
        <w:rPr>
          <w:i/>
          <w:iCs/>
        </w:rPr>
        <w:t>ü</w:t>
      </w:r>
      <w:r w:rsidR="00596FE9">
        <w:rPr>
          <w:i/>
          <w:iCs/>
        </w:rPr>
        <w:t>nche</w:t>
      </w:r>
      <w:proofErr w:type="spellEnd"/>
      <w:r w:rsidR="00596FE9">
        <w:rPr>
          <w:i/>
          <w:iCs/>
        </w:rPr>
        <w:t xml:space="preserve"> </w:t>
      </w:r>
      <w:r w:rsidR="00596FE9">
        <w:t>in German, from the Latin for tunic</w:t>
      </w:r>
      <w:r w:rsidR="00BE1122">
        <w:t xml:space="preserve">.  Likewise, German architectural treatises referenced wall covering as </w:t>
      </w:r>
      <w:r w:rsidR="00F10081">
        <w:t xml:space="preserve">the </w:t>
      </w:r>
      <w:proofErr w:type="spellStart"/>
      <w:r w:rsidR="00F10081">
        <w:rPr>
          <w:i/>
          <w:iCs/>
        </w:rPr>
        <w:t>Bekleidung</w:t>
      </w:r>
      <w:proofErr w:type="spellEnd"/>
      <w:r w:rsidR="00F10081">
        <w:rPr>
          <w:i/>
          <w:iCs/>
        </w:rPr>
        <w:t xml:space="preserve"> </w:t>
      </w:r>
      <w:r w:rsidR="00F10081">
        <w:t>or ‘clothing’ or the house, while uncovered walls were described as naked (</w:t>
      </w:r>
      <w:r w:rsidR="00F10081">
        <w:rPr>
          <w:i/>
          <w:iCs/>
        </w:rPr>
        <w:t xml:space="preserve">le </w:t>
      </w:r>
      <w:proofErr w:type="spellStart"/>
      <w:r w:rsidR="00F10081">
        <w:rPr>
          <w:i/>
          <w:iCs/>
        </w:rPr>
        <w:t>nud</w:t>
      </w:r>
      <w:proofErr w:type="spellEnd"/>
      <w:r w:rsidR="00F10081">
        <w:rPr>
          <w:i/>
          <w:iCs/>
        </w:rPr>
        <w:t xml:space="preserve"> du </w:t>
      </w:r>
      <w:proofErr w:type="spellStart"/>
      <w:r w:rsidR="00F10081">
        <w:rPr>
          <w:i/>
          <w:iCs/>
        </w:rPr>
        <w:t>mur</w:t>
      </w:r>
      <w:proofErr w:type="spellEnd"/>
      <w:r w:rsidR="00F10081">
        <w:t>) in French.</w:t>
      </w:r>
    </w:p>
  </w:footnote>
  <w:footnote w:id="223">
    <w:p w14:paraId="073A10A2" w14:textId="0C6CA612" w:rsidR="007858B6" w:rsidRPr="00EE6E93" w:rsidRDefault="007858B6" w:rsidP="007858B6">
      <w:pPr>
        <w:pStyle w:val="FootnoteText"/>
      </w:pPr>
      <w:r>
        <w:rPr>
          <w:rStyle w:val="FootnoteReference"/>
        </w:rPr>
        <w:footnoteRef/>
      </w:r>
      <w:r>
        <w:t xml:space="preserve"> Pierre Dionis, </w:t>
      </w:r>
      <w:proofErr w:type="spellStart"/>
      <w:r>
        <w:rPr>
          <w:i/>
          <w:iCs/>
        </w:rPr>
        <w:t>L’anatomie</w:t>
      </w:r>
      <w:proofErr w:type="spellEnd"/>
      <w:r>
        <w:rPr>
          <w:i/>
          <w:iCs/>
        </w:rPr>
        <w:t xml:space="preserve"> de </w:t>
      </w:r>
      <w:proofErr w:type="spellStart"/>
      <w:r>
        <w:rPr>
          <w:i/>
          <w:iCs/>
        </w:rPr>
        <w:t>l’homme</w:t>
      </w:r>
      <w:proofErr w:type="spellEnd"/>
      <w:r>
        <w:rPr>
          <w:i/>
          <w:iCs/>
        </w:rPr>
        <w:t xml:space="preserve">, </w:t>
      </w:r>
      <w:r>
        <w:t xml:space="preserve">(Paris, 1694), p.153; Anita Guerrini, ‘The ghastly kitchen’, </w:t>
      </w:r>
      <w:r>
        <w:rPr>
          <w:i/>
          <w:iCs/>
        </w:rPr>
        <w:t xml:space="preserve">History of Science, </w:t>
      </w:r>
      <w:r>
        <w:t>Vol. 54, No. 1, (2016), pp.71-97, p.80</w:t>
      </w:r>
      <w:r w:rsidR="00714FA5">
        <w:t>.</w:t>
      </w:r>
    </w:p>
  </w:footnote>
  <w:footnote w:id="224">
    <w:p w14:paraId="599CC605" w14:textId="3F2BAE9F" w:rsidR="007858B6" w:rsidRPr="005D245B" w:rsidRDefault="007858B6" w:rsidP="007858B6">
      <w:pPr>
        <w:pStyle w:val="FootnoteText"/>
      </w:pPr>
      <w:r>
        <w:rPr>
          <w:rStyle w:val="FootnoteReference"/>
        </w:rPr>
        <w:footnoteRef/>
      </w:r>
      <w:r>
        <w:t xml:space="preserve"> 2 Corinthians 5:1, 1 Corinthians 3:16, 1 Peter 2:5, all cited in </w:t>
      </w:r>
      <w:proofErr w:type="spellStart"/>
      <w:r>
        <w:t>J</w:t>
      </w:r>
      <w:r>
        <w:rPr>
          <w:rFonts w:cs="Calibri"/>
        </w:rPr>
        <w:t>ü</w:t>
      </w:r>
      <w:r>
        <w:t>tte</w:t>
      </w:r>
      <w:proofErr w:type="spellEnd"/>
      <w:r>
        <w:t>, ‘Living stones’, p.661</w:t>
      </w:r>
      <w:r w:rsidR="00714FA5">
        <w:t>.</w:t>
      </w:r>
    </w:p>
  </w:footnote>
  <w:footnote w:id="225">
    <w:p w14:paraId="6E65819F" w14:textId="09D6D871" w:rsidR="007858B6" w:rsidRDefault="007858B6" w:rsidP="007858B6">
      <w:pPr>
        <w:pStyle w:val="FootnoteText"/>
      </w:pPr>
      <w:r>
        <w:rPr>
          <w:rStyle w:val="FootnoteReference"/>
        </w:rPr>
        <w:footnoteRef/>
      </w:r>
      <w:r>
        <w:t xml:space="preserve"> </w:t>
      </w:r>
      <w:r w:rsidRPr="003F3B20">
        <w:t xml:space="preserve">Robert A. Erickson, </w:t>
      </w:r>
      <w:r w:rsidRPr="003F3B20">
        <w:rPr>
          <w:i/>
          <w:iCs/>
        </w:rPr>
        <w:t xml:space="preserve">The Language of the Heart, 1600-1750, </w:t>
      </w:r>
      <w:r w:rsidRPr="003F3B20">
        <w:t>(Pennsylvania, 1997), pp.26-28</w:t>
      </w:r>
      <w:r w:rsidR="00714FA5">
        <w:t>.</w:t>
      </w:r>
    </w:p>
  </w:footnote>
  <w:footnote w:id="226">
    <w:p w14:paraId="472AA427" w14:textId="123A0FE4" w:rsidR="007858B6" w:rsidRPr="006D24FD" w:rsidRDefault="007858B6" w:rsidP="007858B6">
      <w:pPr>
        <w:pStyle w:val="FootnoteText"/>
        <w:rPr>
          <w:lang w:val="fr-FR"/>
        </w:rPr>
      </w:pPr>
      <w:r>
        <w:rPr>
          <w:rStyle w:val="FootnoteReference"/>
        </w:rPr>
        <w:footnoteRef/>
      </w:r>
      <w:r w:rsidRPr="006D24FD">
        <w:rPr>
          <w:lang w:val="fr-FR"/>
        </w:rPr>
        <w:t xml:space="preserve"> Arnold van Gennep, </w:t>
      </w:r>
      <w:r w:rsidRPr="006D24FD">
        <w:rPr>
          <w:i/>
          <w:iCs/>
          <w:lang w:val="fr-FR"/>
        </w:rPr>
        <w:t>Les Rites de Passage</w:t>
      </w:r>
      <w:r>
        <w:rPr>
          <w:i/>
          <w:iCs/>
          <w:lang w:val="fr-FR"/>
        </w:rPr>
        <w:t xml:space="preserve">, </w:t>
      </w:r>
      <w:r>
        <w:rPr>
          <w:lang w:val="fr-FR"/>
        </w:rPr>
        <w:t>(Paris, 1909)</w:t>
      </w:r>
      <w:r w:rsidR="00714FA5">
        <w:rPr>
          <w:lang w:val="fr-FR"/>
        </w:rPr>
        <w:t>.</w:t>
      </w:r>
    </w:p>
  </w:footnote>
  <w:footnote w:id="227">
    <w:p w14:paraId="49E83B84" w14:textId="58805114" w:rsidR="007858B6" w:rsidRDefault="007858B6" w:rsidP="007858B6">
      <w:pPr>
        <w:pStyle w:val="FootnoteText"/>
      </w:pPr>
      <w:r>
        <w:rPr>
          <w:rStyle w:val="FootnoteReference"/>
        </w:rPr>
        <w:footnoteRef/>
      </w:r>
      <w:r>
        <w:t xml:space="preserve"> </w:t>
      </w:r>
      <w:r w:rsidRPr="00514582">
        <w:t xml:space="preserve">Céline Rosselin, ‘The ins and outs of the hall: a Parisian example’, in Irene </w:t>
      </w:r>
      <w:proofErr w:type="spellStart"/>
      <w:r w:rsidRPr="00514582">
        <w:t>Cieraad</w:t>
      </w:r>
      <w:proofErr w:type="spellEnd"/>
      <w:r w:rsidRPr="00514582">
        <w:t xml:space="preserve"> (ed.), </w:t>
      </w:r>
      <w:r w:rsidRPr="00514582">
        <w:rPr>
          <w:i/>
          <w:iCs/>
        </w:rPr>
        <w:t>At Home: An Anthropology of Domestic Space</w:t>
      </w:r>
      <w:r w:rsidRPr="00514582">
        <w:t>, (Syracuse, 1999), pp.53-59</w:t>
      </w:r>
      <w:r>
        <w:t>, p.53</w:t>
      </w:r>
      <w:r w:rsidR="00714FA5">
        <w:t>.</w:t>
      </w:r>
    </w:p>
  </w:footnote>
  <w:footnote w:id="228">
    <w:p w14:paraId="6D401E80" w14:textId="4DB34F65" w:rsidR="007858B6" w:rsidRPr="006B49F3" w:rsidRDefault="007858B6" w:rsidP="007858B6">
      <w:pPr>
        <w:pStyle w:val="FootnoteText"/>
        <w:rPr>
          <w:highlight w:val="yellow"/>
        </w:rPr>
      </w:pPr>
      <w:r>
        <w:rPr>
          <w:rStyle w:val="FootnoteReference"/>
        </w:rPr>
        <w:footnoteRef/>
      </w:r>
      <w:r>
        <w:t xml:space="preserve"> </w:t>
      </w:r>
      <w:r w:rsidRPr="006D24FD">
        <w:t>Edward Muir</w:t>
      </w:r>
      <w:r w:rsidRPr="006D24FD">
        <w:rPr>
          <w:i/>
          <w:iCs/>
        </w:rPr>
        <w:t>, Ritual in Early Modern Europe</w:t>
      </w:r>
      <w:r w:rsidRPr="006D24FD">
        <w:t>, (Cambridge, 2005)</w:t>
      </w:r>
      <w:r>
        <w:t>, p.19</w:t>
      </w:r>
      <w:r w:rsidR="00714FA5">
        <w:t>.</w:t>
      </w:r>
    </w:p>
  </w:footnote>
  <w:footnote w:id="229">
    <w:p w14:paraId="4FDF15C0" w14:textId="72F9BB71" w:rsidR="007858B6" w:rsidRDefault="007858B6" w:rsidP="007858B6">
      <w:pPr>
        <w:pStyle w:val="FootnoteText"/>
      </w:pPr>
      <w:r w:rsidRPr="00CB3884">
        <w:rPr>
          <w:rStyle w:val="FootnoteReference"/>
        </w:rPr>
        <w:footnoteRef/>
      </w:r>
      <w:r w:rsidRPr="00CB3884">
        <w:t xml:space="preserve"> Ibid., p.21</w:t>
      </w:r>
      <w:r w:rsidR="00714FA5">
        <w:t>.</w:t>
      </w:r>
    </w:p>
  </w:footnote>
  <w:footnote w:id="230">
    <w:p w14:paraId="3C524D54" w14:textId="7198D183" w:rsidR="007858B6" w:rsidRDefault="007858B6" w:rsidP="007858B6">
      <w:pPr>
        <w:pStyle w:val="FootnoteText"/>
      </w:pPr>
      <w:r>
        <w:rPr>
          <w:rStyle w:val="FootnoteReference"/>
        </w:rPr>
        <w:footnoteRef/>
      </w:r>
      <w:r>
        <w:t xml:space="preserve"> David Cressy, </w:t>
      </w:r>
      <w:r>
        <w:rPr>
          <w:i/>
          <w:iCs/>
        </w:rPr>
        <w:t xml:space="preserve">Birth, Marriage &amp; Death: Ritual, Religion, and the </w:t>
      </w:r>
      <w:proofErr w:type="gramStart"/>
      <w:r>
        <w:rPr>
          <w:i/>
          <w:iCs/>
        </w:rPr>
        <w:t>Life-Cycle</w:t>
      </w:r>
      <w:proofErr w:type="gramEnd"/>
      <w:r>
        <w:rPr>
          <w:i/>
          <w:iCs/>
        </w:rPr>
        <w:t xml:space="preserve"> in Tudor and Stuart England, </w:t>
      </w:r>
      <w:r>
        <w:t>(Oxford, 1997), pp.336-339</w:t>
      </w:r>
      <w:r w:rsidR="00714FA5">
        <w:t>.</w:t>
      </w:r>
    </w:p>
  </w:footnote>
  <w:footnote w:id="231">
    <w:p w14:paraId="3C6D5C8B" w14:textId="0EAA8B59" w:rsidR="007858B6" w:rsidRDefault="007858B6" w:rsidP="007858B6">
      <w:pPr>
        <w:pStyle w:val="FootnoteText"/>
      </w:pPr>
      <w:r>
        <w:rPr>
          <w:rStyle w:val="FootnoteReference"/>
        </w:rPr>
        <w:footnoteRef/>
      </w:r>
      <w:r>
        <w:t xml:space="preserve"> </w:t>
      </w:r>
      <w:r w:rsidRPr="009B7DEA">
        <w:t xml:space="preserve">Niall Allsopp, ‘The Review of English Studies Prize Essay: Threshold rituals in early modern England: a case study in Robert Herrick’, </w:t>
      </w:r>
      <w:r w:rsidRPr="009B7DEA">
        <w:rPr>
          <w:i/>
          <w:iCs/>
        </w:rPr>
        <w:t>The Review of English Studies</w:t>
      </w:r>
      <w:r w:rsidRPr="009B7DEA">
        <w:t>, Vol. 68., No. 285, (2016), pp.405-427</w:t>
      </w:r>
      <w:r>
        <w:t>, p.409</w:t>
      </w:r>
      <w:r w:rsidR="00714FA5">
        <w:t>.</w:t>
      </w:r>
    </w:p>
  </w:footnote>
  <w:footnote w:id="232">
    <w:p w14:paraId="4A840FD8" w14:textId="74FB6228" w:rsidR="007858B6" w:rsidRPr="00913C77" w:rsidRDefault="007858B6" w:rsidP="007858B6">
      <w:pPr>
        <w:pStyle w:val="FootnoteText"/>
        <w:rPr>
          <w:lang w:val="it-IT"/>
        </w:rPr>
      </w:pPr>
      <w:r>
        <w:rPr>
          <w:rStyle w:val="FootnoteReference"/>
        </w:rPr>
        <w:footnoteRef/>
      </w:r>
      <w:r w:rsidRPr="00913C77">
        <w:rPr>
          <w:lang w:val="it-IT"/>
        </w:rPr>
        <w:t xml:space="preserve"> </w:t>
      </w:r>
      <w:r w:rsidRPr="00913C77">
        <w:rPr>
          <w:lang w:val="it-IT"/>
        </w:rPr>
        <w:t xml:space="preserve">Muir, </w:t>
      </w:r>
      <w:r w:rsidRPr="00913C77">
        <w:rPr>
          <w:i/>
          <w:iCs/>
          <w:lang w:val="it-IT"/>
        </w:rPr>
        <w:t xml:space="preserve">Ritual, </w:t>
      </w:r>
      <w:r w:rsidRPr="00913C77">
        <w:rPr>
          <w:lang w:val="it-IT"/>
        </w:rPr>
        <w:t>p.38</w:t>
      </w:r>
      <w:r w:rsidR="00714FA5">
        <w:rPr>
          <w:lang w:val="it-IT"/>
        </w:rPr>
        <w:t>.</w:t>
      </w:r>
    </w:p>
  </w:footnote>
  <w:footnote w:id="233">
    <w:p w14:paraId="4760B905" w14:textId="6058B00B" w:rsidR="007858B6" w:rsidRDefault="007858B6" w:rsidP="007858B6">
      <w:pPr>
        <w:pStyle w:val="FootnoteText"/>
      </w:pPr>
      <w:r>
        <w:rPr>
          <w:rStyle w:val="FootnoteReference"/>
        </w:rPr>
        <w:footnoteRef/>
      </w:r>
      <w:r w:rsidRPr="00913C77">
        <w:rPr>
          <w:lang w:val="it-IT"/>
        </w:rPr>
        <w:t xml:space="preserve"> </w:t>
      </w:r>
      <w:r w:rsidRPr="00913C77">
        <w:rPr>
          <w:lang w:val="it-IT"/>
        </w:rPr>
        <w:t xml:space="preserve">Ben Jonson, </w:t>
      </w:r>
      <w:r w:rsidRPr="00913C77">
        <w:rPr>
          <w:i/>
          <w:iCs/>
          <w:lang w:val="it-IT"/>
        </w:rPr>
        <w:t xml:space="preserve">Hymeniae, </w:t>
      </w:r>
      <w:r w:rsidRPr="00913C77">
        <w:rPr>
          <w:lang w:val="it-IT"/>
        </w:rPr>
        <w:t xml:space="preserve">ed. </w:t>
      </w:r>
      <w:r>
        <w:t>David Lindley (London, 1606), lines 428-9, cited in Allsopp, ‘Threshold rituals’, p.418</w:t>
      </w:r>
      <w:r w:rsidR="00D911C8">
        <w:t>.</w:t>
      </w:r>
    </w:p>
  </w:footnote>
  <w:footnote w:id="234">
    <w:p w14:paraId="64A6CFB4" w14:textId="29896595" w:rsidR="007858B6" w:rsidRPr="00EF53DB" w:rsidRDefault="007858B6" w:rsidP="007858B6">
      <w:pPr>
        <w:pStyle w:val="FootnoteText"/>
      </w:pPr>
      <w:r>
        <w:rPr>
          <w:rStyle w:val="FootnoteReference"/>
        </w:rPr>
        <w:footnoteRef/>
      </w:r>
      <w:r>
        <w:t xml:space="preserve"> </w:t>
      </w:r>
      <w:r w:rsidR="003C403C">
        <w:t xml:space="preserve">Matthew </w:t>
      </w:r>
      <w:r w:rsidRPr="003C403C">
        <w:t xml:space="preserve">Poole, </w:t>
      </w:r>
      <w:r w:rsidRPr="003C403C">
        <w:rPr>
          <w:i/>
          <w:iCs/>
        </w:rPr>
        <w:t>Annotations upon the Holy Bible</w:t>
      </w:r>
      <w:r w:rsidR="008755C0">
        <w:rPr>
          <w:i/>
          <w:iCs/>
        </w:rPr>
        <w:t xml:space="preserve">, wherein the sacred text is inserted and various readings </w:t>
      </w:r>
      <w:proofErr w:type="spellStart"/>
      <w:r w:rsidR="008755C0">
        <w:rPr>
          <w:i/>
          <w:iCs/>
        </w:rPr>
        <w:t>annex’d</w:t>
      </w:r>
      <w:proofErr w:type="spellEnd"/>
      <w:r w:rsidR="00EF53DB">
        <w:rPr>
          <w:i/>
          <w:iCs/>
        </w:rPr>
        <w:t xml:space="preserve">, together with parallel scriptures, </w:t>
      </w:r>
      <w:r w:rsidR="00EF53DB">
        <w:t xml:space="preserve">(London, 1683), n. </w:t>
      </w:r>
      <w:proofErr w:type="spellStart"/>
      <w:r w:rsidR="00EF53DB">
        <w:t>pag</w:t>
      </w:r>
      <w:proofErr w:type="spellEnd"/>
      <w:r w:rsidR="00EF53DB">
        <w:t>.</w:t>
      </w:r>
    </w:p>
  </w:footnote>
  <w:footnote w:id="235">
    <w:p w14:paraId="6E7B12E4" w14:textId="45667707" w:rsidR="007858B6" w:rsidRPr="00BE42FE" w:rsidRDefault="007858B6" w:rsidP="007858B6">
      <w:pPr>
        <w:pStyle w:val="FootnoteText"/>
      </w:pPr>
      <w:r>
        <w:rPr>
          <w:rStyle w:val="FootnoteReference"/>
        </w:rPr>
        <w:footnoteRef/>
      </w:r>
      <w:r>
        <w:t xml:space="preserve"> John Paget, </w:t>
      </w:r>
      <w:r>
        <w:rPr>
          <w:i/>
        </w:rPr>
        <w:t xml:space="preserve">An arrow against the separation of the </w:t>
      </w:r>
      <w:proofErr w:type="spellStart"/>
      <w:r>
        <w:rPr>
          <w:i/>
        </w:rPr>
        <w:t>Brownists</w:t>
      </w:r>
      <w:proofErr w:type="spellEnd"/>
      <w:r>
        <w:rPr>
          <w:i/>
        </w:rPr>
        <w:t xml:space="preserve">, </w:t>
      </w:r>
      <w:r>
        <w:t>(Amsterdam, 1618), p.118</w:t>
      </w:r>
      <w:r w:rsidR="00D911C8">
        <w:t>.</w:t>
      </w:r>
    </w:p>
  </w:footnote>
  <w:footnote w:id="236">
    <w:p w14:paraId="0290A141" w14:textId="06F12A01" w:rsidR="007858B6" w:rsidRDefault="007858B6" w:rsidP="007858B6">
      <w:pPr>
        <w:pStyle w:val="FootnoteText"/>
      </w:pPr>
      <w:r>
        <w:rPr>
          <w:rStyle w:val="FootnoteReference"/>
        </w:rPr>
        <w:footnoteRef/>
      </w:r>
      <w:r>
        <w:t xml:space="preserve"> </w:t>
      </w:r>
      <w:r w:rsidRPr="00EE033F">
        <w:t xml:space="preserve">Miriam Eliav-Feldon, ‘Introduction’, in Miriam Eliav-Feldon and Tamar Herzig, </w:t>
      </w:r>
      <w:r w:rsidRPr="00EE033F">
        <w:rPr>
          <w:i/>
        </w:rPr>
        <w:t>Dissimulation and Deceit in Early Modern Europe</w:t>
      </w:r>
      <w:r w:rsidRPr="00EE033F">
        <w:t>, (London, 2015), pp.1-8, p.1</w:t>
      </w:r>
      <w:r w:rsidR="00D911C8">
        <w:t>.</w:t>
      </w:r>
    </w:p>
  </w:footnote>
  <w:footnote w:id="237">
    <w:p w14:paraId="0186E7CD" w14:textId="3FB8CB38" w:rsidR="007858B6" w:rsidRDefault="007858B6" w:rsidP="007858B6">
      <w:pPr>
        <w:pStyle w:val="FootnoteText"/>
      </w:pPr>
      <w:r>
        <w:rPr>
          <w:rStyle w:val="FootnoteReference"/>
        </w:rPr>
        <w:footnoteRef/>
      </w:r>
      <w:r>
        <w:t>Ibid.</w:t>
      </w:r>
    </w:p>
  </w:footnote>
  <w:footnote w:id="238">
    <w:p w14:paraId="2F7744E5" w14:textId="6CE50F66" w:rsidR="007858B6" w:rsidRPr="00BE42FE" w:rsidRDefault="007858B6" w:rsidP="007858B6">
      <w:pPr>
        <w:pStyle w:val="FootnoteText"/>
      </w:pPr>
      <w:r>
        <w:rPr>
          <w:rStyle w:val="FootnoteReference"/>
        </w:rPr>
        <w:footnoteRef/>
      </w:r>
      <w:r>
        <w:t xml:space="preserve"> Fenner, </w:t>
      </w:r>
      <w:r>
        <w:rPr>
          <w:i/>
        </w:rPr>
        <w:t xml:space="preserve">The riches, </w:t>
      </w:r>
      <w:r>
        <w:t>pp.76-77</w:t>
      </w:r>
      <w:r w:rsidR="00D911C8">
        <w:t>.</w:t>
      </w:r>
    </w:p>
  </w:footnote>
  <w:footnote w:id="239">
    <w:p w14:paraId="0D9AD01E" w14:textId="2A8CAE3F" w:rsidR="00155604" w:rsidRDefault="00155604">
      <w:pPr>
        <w:pStyle w:val="FootnoteText"/>
      </w:pPr>
      <w:r>
        <w:rPr>
          <w:rStyle w:val="FootnoteReference"/>
        </w:rPr>
        <w:footnoteRef/>
      </w:r>
      <w:r>
        <w:t xml:space="preserve"> </w:t>
      </w:r>
      <w:proofErr w:type="spellStart"/>
      <w:r w:rsidRPr="00155604">
        <w:t>Newstok</w:t>
      </w:r>
      <w:proofErr w:type="spellEnd"/>
      <w:r w:rsidRPr="00155604">
        <w:t>, </w:t>
      </w:r>
      <w:r w:rsidRPr="00155604">
        <w:rPr>
          <w:i/>
          <w:iCs/>
        </w:rPr>
        <w:t>Quoting Death</w:t>
      </w:r>
      <w:r w:rsidR="00E117E4">
        <w:t>, p</w:t>
      </w:r>
      <w:r w:rsidR="00505448">
        <w:t>p.8-</w:t>
      </w:r>
      <w:r w:rsidR="00A506F9">
        <w:t>26</w:t>
      </w:r>
      <w:r w:rsidR="00D911C8">
        <w:t>.</w:t>
      </w:r>
    </w:p>
  </w:footnote>
  <w:footnote w:id="240">
    <w:p w14:paraId="6CF2409C" w14:textId="720579D4" w:rsidR="002351C3" w:rsidRDefault="002351C3" w:rsidP="002351C3">
      <w:pPr>
        <w:pStyle w:val="FootnoteText"/>
      </w:pPr>
      <w:r>
        <w:rPr>
          <w:rStyle w:val="FootnoteReference"/>
        </w:rPr>
        <w:footnoteRef/>
      </w:r>
      <w:r>
        <w:t xml:space="preserve"> Ibid., p.26</w:t>
      </w:r>
      <w:r w:rsidR="00D911C8">
        <w:t>.</w:t>
      </w:r>
    </w:p>
  </w:footnote>
  <w:footnote w:id="241">
    <w:p w14:paraId="28B4152C" w14:textId="77777777" w:rsidR="00791A5E" w:rsidRDefault="00791A5E">
      <w:pPr>
        <w:pStyle w:val="FootnoteText"/>
      </w:pPr>
      <w:r>
        <w:rPr>
          <w:rStyle w:val="FootnoteReference"/>
        </w:rPr>
        <w:footnoteRef/>
      </w:r>
      <w:r>
        <w:t xml:space="preserve"> </w:t>
      </w:r>
      <w:r w:rsidR="00BB19FE">
        <w:t xml:space="preserve">Nigel Saul, </w:t>
      </w:r>
      <w:r w:rsidR="00BB19FE">
        <w:rPr>
          <w:i/>
          <w:iCs/>
        </w:rPr>
        <w:t xml:space="preserve">English Church Monuments in the Middle Ages, </w:t>
      </w:r>
      <w:r w:rsidR="00BB19FE">
        <w:t>(Oxford, 2009), p.368</w:t>
      </w:r>
    </w:p>
  </w:footnote>
  <w:footnote w:id="242">
    <w:p w14:paraId="1F9D0753" w14:textId="571FBD24" w:rsidR="008A3318" w:rsidRDefault="008A3318" w:rsidP="008A3318">
      <w:pPr>
        <w:pStyle w:val="FootnoteText"/>
      </w:pPr>
      <w:r>
        <w:rPr>
          <w:rStyle w:val="FootnoteReference"/>
        </w:rPr>
        <w:footnoteRef/>
      </w:r>
      <w:r>
        <w:t xml:space="preserve"> </w:t>
      </w:r>
      <w:r w:rsidRPr="00301B4E">
        <w:t xml:space="preserve">Thomas Tolley, ‘Visual culture’, in </w:t>
      </w:r>
      <w:r>
        <w:t xml:space="preserve">Raluca </w:t>
      </w:r>
      <w:proofErr w:type="spellStart"/>
      <w:r>
        <w:t>Radalescu</w:t>
      </w:r>
      <w:proofErr w:type="spellEnd"/>
      <w:r>
        <w:t xml:space="preserve"> and Alison Truelove (eds), </w:t>
      </w:r>
      <w:r w:rsidRPr="00301B4E">
        <w:rPr>
          <w:i/>
          <w:iCs/>
        </w:rPr>
        <w:t>Gentry Culture in Late-Medieval England,</w:t>
      </w:r>
      <w:r w:rsidRPr="00301B4E">
        <w:t xml:space="preserve"> (Manchester, 20</w:t>
      </w:r>
      <w:r>
        <w:t>06</w:t>
      </w:r>
      <w:r w:rsidRPr="00301B4E">
        <w:t>), pp.167-182</w:t>
      </w:r>
      <w:r>
        <w:t>, p.176</w:t>
      </w:r>
      <w:r w:rsidR="00D911C8">
        <w:t>.</w:t>
      </w:r>
    </w:p>
  </w:footnote>
  <w:footnote w:id="243">
    <w:p w14:paraId="662EBE2C" w14:textId="77A7E31E" w:rsidR="009018B4" w:rsidRDefault="009018B4">
      <w:pPr>
        <w:pStyle w:val="FootnoteText"/>
      </w:pPr>
      <w:r>
        <w:rPr>
          <w:rStyle w:val="FootnoteReference"/>
        </w:rPr>
        <w:footnoteRef/>
      </w:r>
      <w:r>
        <w:t xml:space="preserve"> Robert Whiting, </w:t>
      </w:r>
      <w:r w:rsidR="0016284C">
        <w:rPr>
          <w:i/>
          <w:iCs/>
        </w:rPr>
        <w:t xml:space="preserve">The Reformation of the English Parish Church, </w:t>
      </w:r>
      <w:r w:rsidR="001A733F">
        <w:t xml:space="preserve">(Cambridge, 2010), </w:t>
      </w:r>
      <w:r w:rsidR="0016284C">
        <w:t>p.133</w:t>
      </w:r>
      <w:r w:rsidR="00D911C8">
        <w:t>.</w:t>
      </w:r>
    </w:p>
  </w:footnote>
  <w:footnote w:id="244">
    <w:p w14:paraId="2A429D54" w14:textId="7EC0FC51" w:rsidR="00DA50DE" w:rsidRDefault="00DA50DE" w:rsidP="00DA50DE">
      <w:pPr>
        <w:pStyle w:val="FootnoteText"/>
      </w:pPr>
      <w:r>
        <w:rPr>
          <w:rStyle w:val="FootnoteReference"/>
        </w:rPr>
        <w:footnoteRef/>
      </w:r>
      <w:r>
        <w:t xml:space="preserve"> </w:t>
      </w:r>
      <w:r w:rsidRPr="005C10CD">
        <w:rPr>
          <w:rStyle w:val="normaltextrun"/>
          <w:rFonts w:cs="Calibri"/>
          <w:color w:val="000000"/>
          <w:shd w:val="clear" w:color="auto" w:fill="FFFFFF"/>
        </w:rPr>
        <w:t>Jonathan Willis</w:t>
      </w:r>
      <w:r w:rsidRPr="005C10CD">
        <w:rPr>
          <w:rStyle w:val="normaltextrun"/>
          <w:rFonts w:cs="Calibri"/>
          <w:i/>
          <w:iCs/>
          <w:color w:val="000000"/>
          <w:shd w:val="clear" w:color="auto" w:fill="FFFFFF"/>
        </w:rPr>
        <w:t xml:space="preserve">, The Reformation of the Decalogue: Religious Identity and the Ten Commandments in England, c.1485-1625, </w:t>
      </w:r>
      <w:r w:rsidRPr="005C10CD">
        <w:rPr>
          <w:rStyle w:val="normaltextrun"/>
          <w:rFonts w:cs="Calibri"/>
          <w:color w:val="000000"/>
          <w:shd w:val="clear" w:color="auto" w:fill="FFFFFF"/>
        </w:rPr>
        <w:t>(Cambridge, 2017)</w:t>
      </w:r>
      <w:r>
        <w:rPr>
          <w:rStyle w:val="normaltextrun"/>
          <w:rFonts w:cs="Calibri"/>
          <w:color w:val="000000"/>
          <w:shd w:val="clear" w:color="auto" w:fill="FFFFFF"/>
        </w:rPr>
        <w:t>,</w:t>
      </w:r>
      <w:r w:rsidR="00AA4901">
        <w:rPr>
          <w:rStyle w:val="normaltextrun"/>
          <w:rFonts w:cs="Calibri"/>
          <w:color w:val="000000"/>
          <w:shd w:val="clear" w:color="auto" w:fill="FFFFFF"/>
        </w:rPr>
        <w:t xml:space="preserve"> pp.301-305</w:t>
      </w:r>
      <w:r w:rsidR="00D911C8">
        <w:rPr>
          <w:rStyle w:val="normaltextrun"/>
          <w:rFonts w:cs="Calibri"/>
          <w:color w:val="000000"/>
          <w:shd w:val="clear" w:color="auto" w:fill="FFFFFF"/>
        </w:rPr>
        <w:t>.</w:t>
      </w:r>
    </w:p>
  </w:footnote>
  <w:footnote w:id="245">
    <w:p w14:paraId="589A5A8F" w14:textId="541C9340" w:rsidR="00AF0B7B" w:rsidRDefault="00AF0B7B" w:rsidP="00AF0B7B">
      <w:pPr>
        <w:pStyle w:val="FootnoteText"/>
      </w:pPr>
      <w:r>
        <w:rPr>
          <w:rStyle w:val="FootnoteReference"/>
        </w:rPr>
        <w:footnoteRef/>
      </w:r>
      <w:r>
        <w:t xml:space="preserve"> John Wells, </w:t>
      </w:r>
      <w:proofErr w:type="gramStart"/>
      <w:r w:rsidRPr="00FD2D7F">
        <w:rPr>
          <w:i/>
          <w:iCs/>
        </w:rPr>
        <w:t>The</w:t>
      </w:r>
      <w:proofErr w:type="gramEnd"/>
      <w:r w:rsidRPr="00FD2D7F">
        <w:rPr>
          <w:i/>
          <w:iCs/>
        </w:rPr>
        <w:t xml:space="preserve"> practical Sabbatarian, or, Sabbath-holiness crowned with superlative happiness</w:t>
      </w:r>
      <w:r>
        <w:rPr>
          <w:i/>
          <w:iCs/>
        </w:rPr>
        <w:t>,</w:t>
      </w:r>
      <w:r w:rsidRPr="00FD2D7F">
        <w:t xml:space="preserve"> (London, 1668)</w:t>
      </w:r>
      <w:r>
        <w:t xml:space="preserve">, </w:t>
      </w:r>
      <w:r w:rsidR="00E51F00">
        <w:t>p.562</w:t>
      </w:r>
      <w:r w:rsidR="00D911C8">
        <w:t>.</w:t>
      </w:r>
    </w:p>
  </w:footnote>
  <w:footnote w:id="246">
    <w:p w14:paraId="50271E9A" w14:textId="1A268DDA" w:rsidR="008341B0" w:rsidRDefault="008341B0">
      <w:pPr>
        <w:pStyle w:val="FootnoteText"/>
      </w:pPr>
      <w:r>
        <w:rPr>
          <w:rStyle w:val="FootnoteReference"/>
        </w:rPr>
        <w:footnoteRef/>
      </w:r>
      <w:r>
        <w:t xml:space="preserve"> Ibid.,</w:t>
      </w:r>
      <w:r w:rsidR="007F6B20">
        <w:t xml:space="preserve"> p.669</w:t>
      </w:r>
      <w:r w:rsidR="00D911C8">
        <w:t>.</w:t>
      </w:r>
    </w:p>
  </w:footnote>
  <w:footnote w:id="247">
    <w:p w14:paraId="3490FEE2" w14:textId="0DF20E98" w:rsidR="0009437A" w:rsidRDefault="0009437A">
      <w:pPr>
        <w:pStyle w:val="FootnoteText"/>
      </w:pPr>
      <w:r>
        <w:rPr>
          <w:rStyle w:val="FootnoteReference"/>
        </w:rPr>
        <w:footnoteRef/>
      </w:r>
      <w:r>
        <w:t xml:space="preserve"> </w:t>
      </w:r>
      <w:r w:rsidRPr="0009437A">
        <w:t>Ibid., p.675</w:t>
      </w:r>
      <w:r w:rsidR="00D911C8">
        <w:t>.</w:t>
      </w:r>
      <w:r w:rsidRPr="0009437A">
        <w:t xml:space="preserve"> </w:t>
      </w:r>
    </w:p>
  </w:footnote>
  <w:footnote w:id="248">
    <w:p w14:paraId="398F0343" w14:textId="31470E08" w:rsidR="001E35DB" w:rsidRDefault="001E35DB" w:rsidP="001E35DB">
      <w:pPr>
        <w:pStyle w:val="FootnoteText"/>
      </w:pPr>
      <w:r>
        <w:rPr>
          <w:rStyle w:val="FootnoteReference"/>
        </w:rPr>
        <w:footnoteRef/>
      </w:r>
      <w:r>
        <w:t xml:space="preserve"> Ibid., p.66</w:t>
      </w:r>
      <w:r w:rsidR="00D911C8">
        <w:t>.</w:t>
      </w:r>
    </w:p>
  </w:footnote>
  <w:footnote w:id="249">
    <w:p w14:paraId="3E7CEF0A" w14:textId="4C9CAA88" w:rsidR="007D73D3" w:rsidRPr="008F490E" w:rsidRDefault="007D73D3">
      <w:pPr>
        <w:pStyle w:val="FootnoteText"/>
      </w:pPr>
      <w:r>
        <w:rPr>
          <w:rStyle w:val="FootnoteReference"/>
        </w:rPr>
        <w:footnoteRef/>
      </w:r>
      <w:r>
        <w:t xml:space="preserve"> </w:t>
      </w:r>
      <w:r w:rsidR="008F490E">
        <w:t xml:space="preserve">Vine, </w:t>
      </w:r>
      <w:r w:rsidR="0088266C">
        <w:rPr>
          <w:i/>
          <w:iCs/>
        </w:rPr>
        <w:t xml:space="preserve">In </w:t>
      </w:r>
      <w:r w:rsidR="008F490E">
        <w:rPr>
          <w:i/>
          <w:iCs/>
        </w:rPr>
        <w:t xml:space="preserve">Defiance, </w:t>
      </w:r>
      <w:r w:rsidR="008F490E">
        <w:t>p.17</w:t>
      </w:r>
      <w:r w:rsidR="00D911C8">
        <w:t>.</w:t>
      </w:r>
    </w:p>
  </w:footnote>
  <w:footnote w:id="250">
    <w:p w14:paraId="59EB3A55" w14:textId="4E8D43C2" w:rsidR="00F02B15" w:rsidRDefault="00F02B15">
      <w:pPr>
        <w:pStyle w:val="FootnoteText"/>
      </w:pPr>
      <w:r>
        <w:rPr>
          <w:rStyle w:val="FootnoteReference"/>
        </w:rPr>
        <w:footnoteRef/>
      </w:r>
      <w:r>
        <w:t xml:space="preserve"> </w:t>
      </w:r>
      <w:r w:rsidR="00BF3F27">
        <w:t xml:space="preserve">Andrew Gordon, ‘The act of libel: conscripting civic space in early modern England’, </w:t>
      </w:r>
      <w:r w:rsidR="00BF3F27">
        <w:rPr>
          <w:i/>
          <w:iCs/>
        </w:rPr>
        <w:t xml:space="preserve">Journal of Medieval and Early Modern Studies, </w:t>
      </w:r>
      <w:r w:rsidR="00BF3F27">
        <w:t>Vol. 32, No. 2, (2002), pp.375-397, p.</w:t>
      </w:r>
      <w:r>
        <w:t>381</w:t>
      </w:r>
      <w:r w:rsidR="00D911C8">
        <w:t>.</w:t>
      </w:r>
    </w:p>
  </w:footnote>
  <w:footnote w:id="251">
    <w:p w14:paraId="3029B7B4" w14:textId="3120B35A" w:rsidR="00794B09" w:rsidRPr="00794B09" w:rsidRDefault="00794B09">
      <w:pPr>
        <w:pStyle w:val="FootnoteText"/>
      </w:pPr>
      <w:r>
        <w:rPr>
          <w:rStyle w:val="FootnoteReference"/>
        </w:rPr>
        <w:footnoteRef/>
      </w:r>
      <w:r>
        <w:t xml:space="preserve"> Vine, </w:t>
      </w:r>
      <w:r>
        <w:rPr>
          <w:i/>
          <w:iCs/>
        </w:rPr>
        <w:t>In Defiance</w:t>
      </w:r>
      <w:r>
        <w:t xml:space="preserve">, </w:t>
      </w:r>
      <w:r w:rsidR="003809C5">
        <w:t>p</w:t>
      </w:r>
      <w:r>
        <w:t>p.</w:t>
      </w:r>
      <w:r w:rsidR="003809C5">
        <w:t>51-52</w:t>
      </w:r>
      <w:r w:rsidR="00D911C8">
        <w:t>.</w:t>
      </w:r>
    </w:p>
  </w:footnote>
  <w:footnote w:id="252">
    <w:p w14:paraId="4B7952A6" w14:textId="21681600" w:rsidR="00565AAB" w:rsidRDefault="00565AAB" w:rsidP="00565AAB">
      <w:pPr>
        <w:pStyle w:val="FootnoteText"/>
      </w:pPr>
      <w:r>
        <w:rPr>
          <w:rStyle w:val="FootnoteReference"/>
        </w:rPr>
        <w:footnoteRef/>
      </w:r>
      <w:r>
        <w:t xml:space="preserve"> William Camden, </w:t>
      </w:r>
      <w:r w:rsidRPr="00105DAC">
        <w:rPr>
          <w:i/>
          <w:iCs/>
        </w:rPr>
        <w:t xml:space="preserve">Britain, or A </w:t>
      </w:r>
      <w:proofErr w:type="spellStart"/>
      <w:r w:rsidRPr="00105DAC">
        <w:rPr>
          <w:i/>
          <w:iCs/>
        </w:rPr>
        <w:t>chorographicall</w:t>
      </w:r>
      <w:proofErr w:type="spellEnd"/>
      <w:r w:rsidRPr="00105DAC">
        <w:rPr>
          <w:i/>
          <w:iCs/>
        </w:rPr>
        <w:t xml:space="preserve"> description of the most flourishing </w:t>
      </w:r>
      <w:proofErr w:type="spellStart"/>
      <w:r w:rsidRPr="00105DAC">
        <w:rPr>
          <w:i/>
          <w:iCs/>
        </w:rPr>
        <w:t>kingdomes</w:t>
      </w:r>
      <w:proofErr w:type="spellEnd"/>
      <w:r w:rsidRPr="00105DAC">
        <w:rPr>
          <w:i/>
          <w:iCs/>
        </w:rPr>
        <w:t xml:space="preserve">, England, Scotland, and Ireland, and the </w:t>
      </w:r>
      <w:proofErr w:type="spellStart"/>
      <w:r w:rsidRPr="00105DAC">
        <w:rPr>
          <w:i/>
          <w:iCs/>
        </w:rPr>
        <w:t>ilands</w:t>
      </w:r>
      <w:proofErr w:type="spellEnd"/>
      <w:r w:rsidRPr="00105DAC">
        <w:rPr>
          <w:i/>
          <w:iCs/>
        </w:rPr>
        <w:t xml:space="preserve"> </w:t>
      </w:r>
      <w:proofErr w:type="spellStart"/>
      <w:r w:rsidRPr="00105DAC">
        <w:rPr>
          <w:i/>
          <w:iCs/>
        </w:rPr>
        <w:t>adjoyning</w:t>
      </w:r>
      <w:proofErr w:type="spellEnd"/>
      <w:r w:rsidRPr="00105DAC">
        <w:rPr>
          <w:i/>
          <w:iCs/>
        </w:rPr>
        <w:t xml:space="preserve">, out of the depth of </w:t>
      </w:r>
      <w:proofErr w:type="spellStart"/>
      <w:r w:rsidRPr="00105DAC">
        <w:rPr>
          <w:i/>
          <w:iCs/>
        </w:rPr>
        <w:t>antiquitie</w:t>
      </w:r>
      <w:proofErr w:type="spellEnd"/>
      <w:r w:rsidRPr="00105DAC">
        <w:rPr>
          <w:i/>
          <w:iCs/>
        </w:rPr>
        <w:t xml:space="preserve"> beautified </w:t>
      </w:r>
      <w:proofErr w:type="spellStart"/>
      <w:r w:rsidRPr="00105DAC">
        <w:rPr>
          <w:i/>
          <w:iCs/>
        </w:rPr>
        <w:t>vvith</w:t>
      </w:r>
      <w:proofErr w:type="spellEnd"/>
      <w:r w:rsidRPr="00105DAC">
        <w:rPr>
          <w:i/>
          <w:iCs/>
        </w:rPr>
        <w:t xml:space="preserve"> </w:t>
      </w:r>
      <w:proofErr w:type="spellStart"/>
      <w:r w:rsidRPr="00105DAC">
        <w:rPr>
          <w:i/>
          <w:iCs/>
        </w:rPr>
        <w:t>mappes</w:t>
      </w:r>
      <w:proofErr w:type="spellEnd"/>
      <w:r w:rsidRPr="00105DAC">
        <w:rPr>
          <w:i/>
          <w:iCs/>
        </w:rPr>
        <w:t xml:space="preserve"> of the </w:t>
      </w:r>
      <w:proofErr w:type="spellStart"/>
      <w:r w:rsidRPr="00105DAC">
        <w:rPr>
          <w:i/>
          <w:iCs/>
        </w:rPr>
        <w:t>severall</w:t>
      </w:r>
      <w:proofErr w:type="spellEnd"/>
      <w:r w:rsidRPr="00105DAC">
        <w:rPr>
          <w:i/>
          <w:iCs/>
        </w:rPr>
        <w:t xml:space="preserve"> shires of England: </w:t>
      </w:r>
      <w:proofErr w:type="spellStart"/>
      <w:r w:rsidRPr="00105DAC">
        <w:rPr>
          <w:i/>
          <w:iCs/>
        </w:rPr>
        <w:t>vvritten</w:t>
      </w:r>
      <w:proofErr w:type="spellEnd"/>
      <w:r w:rsidRPr="00105DAC">
        <w:rPr>
          <w:i/>
          <w:iCs/>
        </w:rPr>
        <w:t xml:space="preserve"> first in Latine by William Camden </w:t>
      </w:r>
      <w:proofErr w:type="spellStart"/>
      <w:r w:rsidRPr="00105DAC">
        <w:rPr>
          <w:i/>
          <w:iCs/>
        </w:rPr>
        <w:t>Clarenceux</w:t>
      </w:r>
      <w:proofErr w:type="spellEnd"/>
      <w:r w:rsidRPr="00105DAC">
        <w:rPr>
          <w:i/>
          <w:iCs/>
        </w:rPr>
        <w:t xml:space="preserve"> K. of A. Translated newly into English by Philémon Holland </w:t>
      </w:r>
      <w:proofErr w:type="spellStart"/>
      <w:r w:rsidRPr="00105DAC">
        <w:rPr>
          <w:i/>
          <w:iCs/>
        </w:rPr>
        <w:t>Doctour</w:t>
      </w:r>
      <w:proofErr w:type="spellEnd"/>
      <w:r w:rsidRPr="00105DAC">
        <w:rPr>
          <w:i/>
          <w:iCs/>
        </w:rPr>
        <w:t xml:space="preserve"> in Physick: finally, revised, amended, and enlarged with sundry additions by the said author</w:t>
      </w:r>
      <w:r>
        <w:rPr>
          <w:i/>
          <w:iCs/>
        </w:rPr>
        <w:t>,</w:t>
      </w:r>
      <w:r w:rsidRPr="00105DAC">
        <w:t xml:space="preserve"> (London, 1637)</w:t>
      </w:r>
      <w:r>
        <w:t>, p.25</w:t>
      </w:r>
      <w:r w:rsidR="00D911C8">
        <w:t>.</w:t>
      </w:r>
    </w:p>
  </w:footnote>
  <w:footnote w:id="253">
    <w:p w14:paraId="0864977B" w14:textId="175B3760" w:rsidR="00994346" w:rsidRPr="005F5E67" w:rsidRDefault="00994346" w:rsidP="00550200">
      <w:pPr>
        <w:pStyle w:val="FootnoteText"/>
        <w:jc w:val="both"/>
      </w:pPr>
      <w:r>
        <w:rPr>
          <w:rStyle w:val="FootnoteReference"/>
        </w:rPr>
        <w:footnoteRef/>
      </w:r>
      <w:r>
        <w:t xml:space="preserve"> </w:t>
      </w:r>
      <w:r w:rsidR="00F370C5">
        <w:t xml:space="preserve">This figure is </w:t>
      </w:r>
      <w:r w:rsidR="004750C4">
        <w:t>derived from</w:t>
      </w:r>
      <w:r w:rsidR="00F370C5">
        <w:t xml:space="preserve"> an in-text search </w:t>
      </w:r>
      <w:r w:rsidR="004B75AA">
        <w:t xml:space="preserve">for ‘inscription’ </w:t>
      </w:r>
      <w:r w:rsidR="00807538">
        <w:t>within</w:t>
      </w:r>
      <w:r w:rsidR="00A93FC2">
        <w:t xml:space="preserve"> the </w:t>
      </w:r>
      <w:r w:rsidR="00EA048E">
        <w:t>OCR-produced version o</w:t>
      </w:r>
      <w:r w:rsidR="004750C4">
        <w:t xml:space="preserve">f Camden’s </w:t>
      </w:r>
      <w:r w:rsidR="004750C4">
        <w:rPr>
          <w:i/>
          <w:iCs/>
        </w:rPr>
        <w:t xml:space="preserve">Britannia </w:t>
      </w:r>
      <w:r w:rsidR="004750C4">
        <w:t>(</w:t>
      </w:r>
      <w:r w:rsidR="00807538">
        <w:t xml:space="preserve">London, </w:t>
      </w:r>
      <w:r w:rsidR="004750C4">
        <w:t xml:space="preserve">1637) </w:t>
      </w:r>
      <w:r w:rsidR="00A93FC2">
        <w:t xml:space="preserve">within Early English Books </w:t>
      </w:r>
      <w:r w:rsidR="001627A6">
        <w:t>O</w:t>
      </w:r>
      <w:r w:rsidR="00A93FC2">
        <w:t>nline</w:t>
      </w:r>
      <w:r w:rsidR="00F71CE9">
        <w:t xml:space="preserve"> </w:t>
      </w:r>
      <w:r w:rsidR="005B2FB7">
        <w:t>[http://</w:t>
      </w:r>
      <w:r w:rsidR="00CE285E">
        <w:t>proquest.com/eebo; accessed 31 October 2024]</w:t>
      </w:r>
      <w:r w:rsidR="00A93FC2">
        <w:t>.</w:t>
      </w:r>
      <w:r w:rsidR="00844B12">
        <w:t xml:space="preserve"> Owing to </w:t>
      </w:r>
      <w:r w:rsidR="00274212">
        <w:t xml:space="preserve">the frequency of </w:t>
      </w:r>
      <w:r w:rsidR="004B75AA">
        <w:t>transcription errors in OCR</w:t>
      </w:r>
      <w:r w:rsidR="00F71CE9">
        <w:t>-generated text</w:t>
      </w:r>
      <w:r w:rsidR="004B75AA">
        <w:t>, the number may in fact be higher.</w:t>
      </w:r>
    </w:p>
  </w:footnote>
  <w:footnote w:id="254">
    <w:p w14:paraId="1613EFC0" w14:textId="6749DAC9" w:rsidR="009A54A0" w:rsidRDefault="009A54A0">
      <w:pPr>
        <w:pStyle w:val="FootnoteText"/>
      </w:pPr>
      <w:r>
        <w:rPr>
          <w:rStyle w:val="FootnoteReference"/>
        </w:rPr>
        <w:footnoteRef/>
      </w:r>
      <w:r>
        <w:t xml:space="preserve"> </w:t>
      </w:r>
      <w:proofErr w:type="spellStart"/>
      <w:r w:rsidR="00824B33">
        <w:t>Newstok</w:t>
      </w:r>
      <w:proofErr w:type="spellEnd"/>
      <w:r w:rsidR="00824B33">
        <w:t xml:space="preserve">, </w:t>
      </w:r>
      <w:r w:rsidR="00824B33" w:rsidRPr="00824B33">
        <w:rPr>
          <w:i/>
          <w:iCs/>
        </w:rPr>
        <w:t>Quoting Death</w:t>
      </w:r>
      <w:r w:rsidR="00824B33">
        <w:rPr>
          <w:i/>
          <w:iCs/>
        </w:rPr>
        <w:t xml:space="preserve">, </w:t>
      </w:r>
      <w:r w:rsidR="00824B33">
        <w:t>p.7</w:t>
      </w:r>
      <w:r w:rsidR="00D911C8">
        <w:t>.</w:t>
      </w:r>
    </w:p>
  </w:footnote>
  <w:footnote w:id="255">
    <w:p w14:paraId="15E156B8" w14:textId="1C6D4EEF" w:rsidR="001F4F1E" w:rsidRDefault="001F4F1E" w:rsidP="001F4F1E">
      <w:pPr>
        <w:pStyle w:val="FootnoteText"/>
      </w:pPr>
      <w:r>
        <w:rPr>
          <w:rStyle w:val="FootnoteReference"/>
        </w:rPr>
        <w:footnoteRef/>
      </w:r>
      <w:r>
        <w:t xml:space="preserve"> Ibid., pp.214-215</w:t>
      </w:r>
      <w:r w:rsidR="00D911C8">
        <w:t>.</w:t>
      </w:r>
    </w:p>
  </w:footnote>
  <w:footnote w:id="256">
    <w:p w14:paraId="00C88CA4" w14:textId="2879D80E" w:rsidR="009D347B" w:rsidRPr="008D3D9C" w:rsidRDefault="009D347B" w:rsidP="009D347B">
      <w:pPr>
        <w:pStyle w:val="FootnoteText"/>
        <w:rPr>
          <w:highlight w:val="cyan"/>
        </w:rPr>
      </w:pPr>
      <w:r>
        <w:rPr>
          <w:rStyle w:val="FootnoteReference"/>
        </w:rPr>
        <w:footnoteRef/>
      </w:r>
      <w:r>
        <w:t xml:space="preserve"> </w:t>
      </w:r>
      <w:r w:rsidR="003313F7" w:rsidRPr="003313F7">
        <w:t>John Stow, '</w:t>
      </w:r>
      <w:proofErr w:type="spellStart"/>
      <w:r w:rsidR="003313F7" w:rsidRPr="003313F7">
        <w:t>Towerstreet</w:t>
      </w:r>
      <w:proofErr w:type="spellEnd"/>
      <w:r w:rsidR="003313F7" w:rsidRPr="003313F7">
        <w:t xml:space="preserve"> </w:t>
      </w:r>
      <w:proofErr w:type="spellStart"/>
      <w:r w:rsidR="003313F7" w:rsidRPr="003313F7">
        <w:t>warde</w:t>
      </w:r>
      <w:proofErr w:type="spellEnd"/>
      <w:r w:rsidR="003313F7" w:rsidRPr="003313F7">
        <w:t>',</w:t>
      </w:r>
      <w:r w:rsidR="006410AE">
        <w:t xml:space="preserve"> in</w:t>
      </w:r>
      <w:r w:rsidR="003313F7" w:rsidRPr="003313F7">
        <w:t xml:space="preserve"> </w:t>
      </w:r>
      <w:r w:rsidR="006410AE" w:rsidRPr="006410AE">
        <w:t xml:space="preserve">C. L. Kingsford (ed.), </w:t>
      </w:r>
      <w:r w:rsidR="006410AE" w:rsidRPr="006410AE">
        <w:rPr>
          <w:i/>
          <w:iCs/>
        </w:rPr>
        <w:t xml:space="preserve">A Survey of London. Reprinted from the Text of 1603, </w:t>
      </w:r>
      <w:r w:rsidR="006410AE" w:rsidRPr="006410AE">
        <w:t>(Oxford, 1908)</w:t>
      </w:r>
      <w:r w:rsidR="003313F7" w:rsidRPr="003313F7">
        <w:t>, </w:t>
      </w:r>
      <w:r w:rsidR="00435481">
        <w:t>pp.129-138</w:t>
      </w:r>
      <w:r w:rsidR="006C1CD3">
        <w:t>,</w:t>
      </w:r>
      <w:r w:rsidR="003313F7" w:rsidRPr="003313F7">
        <w:t> </w:t>
      </w:r>
      <w:r w:rsidR="003313F7">
        <w:t>[</w:t>
      </w:r>
      <w:r w:rsidR="003313F7" w:rsidRPr="003313F7">
        <w:t>https://www.british-history.ac.uk/no-series/survey-of-london-stow/1603/pp129-138</w:t>
      </w:r>
      <w:r w:rsidR="003313F7">
        <w:t>;</w:t>
      </w:r>
      <w:r w:rsidR="003313F7" w:rsidRPr="003313F7">
        <w:t xml:space="preserve"> accessed </w:t>
      </w:r>
      <w:r w:rsidR="003313F7">
        <w:t>24 Novem</w:t>
      </w:r>
      <w:r w:rsidR="003313F7" w:rsidRPr="003313F7">
        <w:t>ber 202</w:t>
      </w:r>
      <w:r w:rsidR="003313F7">
        <w:t>1</w:t>
      </w:r>
      <w:r w:rsidR="003313F7" w:rsidRPr="003313F7">
        <w:t>]</w:t>
      </w:r>
      <w:r w:rsidR="00D911C8">
        <w:t>.</w:t>
      </w:r>
    </w:p>
  </w:footnote>
  <w:footnote w:id="257">
    <w:p w14:paraId="28C8211C" w14:textId="12430FF5" w:rsidR="001F37BE" w:rsidRDefault="001F37BE" w:rsidP="001F37BE">
      <w:pPr>
        <w:pStyle w:val="FootnoteText"/>
      </w:pPr>
      <w:r w:rsidRPr="00FC19B6">
        <w:rPr>
          <w:rStyle w:val="FootnoteReference"/>
        </w:rPr>
        <w:footnoteRef/>
      </w:r>
      <w:r w:rsidRPr="00FC19B6">
        <w:t xml:space="preserve"> </w:t>
      </w:r>
      <w:r w:rsidR="00FC19B6">
        <w:t>Ibid.</w:t>
      </w:r>
    </w:p>
  </w:footnote>
  <w:footnote w:id="258">
    <w:p w14:paraId="20AAE520" w14:textId="65625186" w:rsidR="00440C05" w:rsidRDefault="00440C05" w:rsidP="00440C05">
      <w:pPr>
        <w:pStyle w:val="FootnoteText"/>
      </w:pPr>
      <w:r>
        <w:rPr>
          <w:rStyle w:val="FootnoteReference"/>
        </w:rPr>
        <w:footnoteRef/>
      </w:r>
      <w:r>
        <w:t xml:space="preserve"> </w:t>
      </w:r>
      <w:r w:rsidRPr="00653F69">
        <w:t xml:space="preserve">Philip Schwyzer, ‘“A tomb once stood in this room”: memorials to memorials in early modern England’, </w:t>
      </w:r>
      <w:r w:rsidRPr="00653F69">
        <w:rPr>
          <w:i/>
          <w:iCs/>
        </w:rPr>
        <w:t>Journal of Medieval and Early Modern Studies</w:t>
      </w:r>
      <w:r w:rsidRPr="00653F69">
        <w:t>, Vol. 48, No. 2, (2018), pp.365-385</w:t>
      </w:r>
      <w:r w:rsidR="00D911C8">
        <w:t>.</w:t>
      </w:r>
    </w:p>
  </w:footnote>
  <w:footnote w:id="259">
    <w:p w14:paraId="5724B336" w14:textId="07DE639D" w:rsidR="00B13772" w:rsidRPr="00B13772" w:rsidRDefault="00B13772">
      <w:pPr>
        <w:pStyle w:val="FootnoteText"/>
      </w:pPr>
      <w:r>
        <w:rPr>
          <w:rStyle w:val="FootnoteReference"/>
        </w:rPr>
        <w:footnoteRef/>
      </w:r>
      <w:r>
        <w:t xml:space="preserve"> </w:t>
      </w:r>
      <w:r w:rsidR="00007AAD" w:rsidRPr="00007AAD">
        <w:t xml:space="preserve">Peter Sherlock, </w:t>
      </w:r>
      <w:r w:rsidR="00007AAD" w:rsidRPr="00007AAD">
        <w:rPr>
          <w:i/>
          <w:iCs/>
        </w:rPr>
        <w:t xml:space="preserve">Monuments and Memory in Early Modern England, </w:t>
      </w:r>
      <w:r w:rsidR="00007AAD" w:rsidRPr="00007AAD">
        <w:t>(Bodmin, 2008),</w:t>
      </w:r>
      <w:r w:rsidR="00007AAD">
        <w:t xml:space="preserve"> </w:t>
      </w:r>
      <w:r>
        <w:t>p.206</w:t>
      </w:r>
      <w:r w:rsidR="00D911C8">
        <w:t>.</w:t>
      </w:r>
    </w:p>
  </w:footnote>
  <w:footnote w:id="260">
    <w:p w14:paraId="35FBF1C0" w14:textId="79A04105" w:rsidR="000A670C" w:rsidRDefault="000A670C" w:rsidP="000A670C">
      <w:pPr>
        <w:pStyle w:val="FootnoteText"/>
      </w:pPr>
      <w:r>
        <w:rPr>
          <w:rStyle w:val="FootnoteReference"/>
        </w:rPr>
        <w:footnoteRef/>
      </w:r>
      <w:r>
        <w:t xml:space="preserve"> Marjorie Swann, </w:t>
      </w:r>
      <w:r>
        <w:rPr>
          <w:i/>
          <w:iCs/>
        </w:rPr>
        <w:t xml:space="preserve">Curiosities and Texts: The Culture of Collecting in Early Modern England, </w:t>
      </w:r>
      <w:r>
        <w:t>(Philadelphia, 2001), p.115</w:t>
      </w:r>
      <w:r w:rsidR="00D911C8">
        <w:t>.</w:t>
      </w:r>
    </w:p>
  </w:footnote>
  <w:footnote w:id="261">
    <w:p w14:paraId="1D762DB7" w14:textId="13EB457F" w:rsidR="00D2649F" w:rsidRPr="00D2649F" w:rsidRDefault="00D2649F">
      <w:pPr>
        <w:pStyle w:val="FootnoteText"/>
      </w:pPr>
      <w:r>
        <w:rPr>
          <w:rStyle w:val="FootnoteReference"/>
        </w:rPr>
        <w:footnoteRef/>
      </w:r>
      <w:r>
        <w:t xml:space="preserve"> Sherlock, </w:t>
      </w:r>
      <w:r>
        <w:rPr>
          <w:i/>
          <w:iCs/>
        </w:rPr>
        <w:t xml:space="preserve">Monuments, </w:t>
      </w:r>
      <w:r>
        <w:t>p.229</w:t>
      </w:r>
      <w:r w:rsidR="00D911C8">
        <w:t>.</w:t>
      </w:r>
    </w:p>
  </w:footnote>
  <w:footnote w:id="262">
    <w:p w14:paraId="59C48C96" w14:textId="43D5C32C" w:rsidR="00CE5B30" w:rsidRPr="003B74C2" w:rsidRDefault="00CE5B30" w:rsidP="00CE5B30">
      <w:pPr>
        <w:pStyle w:val="FootnoteText"/>
      </w:pPr>
      <w:r>
        <w:rPr>
          <w:rStyle w:val="FootnoteReference"/>
        </w:rPr>
        <w:footnoteRef/>
      </w:r>
      <w:r>
        <w:t xml:space="preserve"> </w:t>
      </w:r>
      <w:r w:rsidR="003B74C2">
        <w:t xml:space="preserve">Stow, </w:t>
      </w:r>
      <w:r w:rsidR="00670749">
        <w:t xml:space="preserve">‘Bridges of this </w:t>
      </w:r>
      <w:proofErr w:type="spellStart"/>
      <w:r w:rsidR="00670749">
        <w:t>citie</w:t>
      </w:r>
      <w:proofErr w:type="spellEnd"/>
      <w:r w:rsidR="00670749">
        <w:t xml:space="preserve">’, </w:t>
      </w:r>
      <w:r w:rsidR="00C309E2">
        <w:t xml:space="preserve">in Kingsford, </w:t>
      </w:r>
      <w:r w:rsidR="003B74C2">
        <w:rPr>
          <w:i/>
          <w:iCs/>
        </w:rPr>
        <w:t>Survey</w:t>
      </w:r>
      <w:r w:rsidR="003B74C2">
        <w:t xml:space="preserve">, </w:t>
      </w:r>
      <w:r w:rsidR="00E00E86">
        <w:t xml:space="preserve">pp.21-27 </w:t>
      </w:r>
      <w:r w:rsidR="00C309E2">
        <w:t>[</w:t>
      </w:r>
      <w:r w:rsidR="00E00E86" w:rsidRPr="00E00E86">
        <w:t>https://www.british-history.ac.uk/no-series/survey-of-london-stow/1603/pp21-27</w:t>
      </w:r>
      <w:r w:rsidR="00E00E86">
        <w:t>; accessed 24 November 2021]</w:t>
      </w:r>
      <w:r w:rsidR="00D911C8">
        <w:t>.</w:t>
      </w:r>
    </w:p>
  </w:footnote>
  <w:footnote w:id="263">
    <w:p w14:paraId="64523ECA" w14:textId="7AAD4500" w:rsidR="00CE5B30" w:rsidRPr="001801C9" w:rsidRDefault="00CE5B30" w:rsidP="00CE5B30">
      <w:pPr>
        <w:pStyle w:val="FootnoteText"/>
      </w:pPr>
      <w:r>
        <w:rPr>
          <w:rStyle w:val="FootnoteReference"/>
        </w:rPr>
        <w:footnoteRef/>
      </w:r>
      <w:r>
        <w:t xml:space="preserve"> Barrett Beer, </w:t>
      </w:r>
      <w:r>
        <w:rPr>
          <w:i/>
          <w:iCs/>
        </w:rPr>
        <w:t xml:space="preserve">Tudor England Observed: The World of John Stow, </w:t>
      </w:r>
      <w:r>
        <w:t>(Stroud, 1998), p.17, p.23</w:t>
      </w:r>
      <w:r w:rsidR="00D911C8">
        <w:t>.</w:t>
      </w:r>
    </w:p>
  </w:footnote>
  <w:footnote w:id="264">
    <w:p w14:paraId="423FC597" w14:textId="643CFEEB" w:rsidR="00CE5B30" w:rsidRDefault="00CE5B30" w:rsidP="00CE5B30">
      <w:pPr>
        <w:pStyle w:val="FootnoteText"/>
      </w:pPr>
      <w:r>
        <w:rPr>
          <w:rStyle w:val="FootnoteReference"/>
        </w:rPr>
        <w:footnoteRef/>
      </w:r>
      <w:r>
        <w:t xml:space="preserve"> </w:t>
      </w:r>
      <w:r w:rsidRPr="00967FF6">
        <w:t xml:space="preserve">Jasmine Kilburn-Toppin, ‘Gifting cultures and artisanal guilds in sixteenth- and early seventeenth-century London’, </w:t>
      </w:r>
      <w:r w:rsidRPr="00967FF6">
        <w:rPr>
          <w:i/>
          <w:iCs/>
        </w:rPr>
        <w:t>The Historical Journal</w:t>
      </w:r>
      <w:r w:rsidRPr="00967FF6">
        <w:t>, Vol. 60, No. 4, (2017), pp.865-887</w:t>
      </w:r>
      <w:r>
        <w:t>, p.876</w:t>
      </w:r>
      <w:r w:rsidR="00D911C8">
        <w:t>.</w:t>
      </w:r>
    </w:p>
  </w:footnote>
  <w:footnote w:id="265">
    <w:p w14:paraId="238C1583" w14:textId="130C6932" w:rsidR="00CE5B30" w:rsidRDefault="00CE5B30" w:rsidP="00CE5B30">
      <w:pPr>
        <w:pStyle w:val="FootnoteText"/>
      </w:pPr>
      <w:r>
        <w:rPr>
          <w:rStyle w:val="FootnoteReference"/>
        </w:rPr>
        <w:footnoteRef/>
      </w:r>
      <w:r>
        <w:t xml:space="preserve"> Ibid., p.877</w:t>
      </w:r>
      <w:r w:rsidR="00D911C8">
        <w:t>.</w:t>
      </w:r>
    </w:p>
  </w:footnote>
  <w:footnote w:id="266">
    <w:p w14:paraId="50220C65" w14:textId="5E2C6540" w:rsidR="006A0B2C" w:rsidRPr="007761F3" w:rsidRDefault="006A0B2C" w:rsidP="006A0B2C">
      <w:pPr>
        <w:pStyle w:val="FootnoteText"/>
      </w:pPr>
      <w:r>
        <w:rPr>
          <w:rStyle w:val="FootnoteReference"/>
        </w:rPr>
        <w:footnoteRef/>
      </w:r>
      <w:r>
        <w:t xml:space="preserve"> Stow, ‘Introduction: select dedications and epistles’, in Kingsford</w:t>
      </w:r>
      <w:r w:rsidR="006C1CD3">
        <w:t xml:space="preserve">, </w:t>
      </w:r>
      <w:r>
        <w:rPr>
          <w:i/>
          <w:iCs/>
        </w:rPr>
        <w:t>Survey</w:t>
      </w:r>
      <w:r>
        <w:t>, pp. lxxiv-lxxxi, [</w:t>
      </w:r>
      <w:r w:rsidRPr="0091038D">
        <w:t>http://www.british-history.ac.uk/no-series/survey-of-london-stow/1603/lxxiv-lxxxi</w:t>
      </w:r>
      <w:r>
        <w:t>; accessed 24 November 2021]</w:t>
      </w:r>
      <w:r w:rsidR="00D911C8">
        <w:t>.</w:t>
      </w:r>
    </w:p>
  </w:footnote>
  <w:footnote w:id="267">
    <w:p w14:paraId="4542554F" w14:textId="77777777" w:rsidR="006A0B2C" w:rsidRDefault="006A0B2C" w:rsidP="006A0B2C">
      <w:pPr>
        <w:pStyle w:val="FootnoteText"/>
      </w:pPr>
      <w:r>
        <w:rPr>
          <w:rStyle w:val="FootnoteReference"/>
        </w:rPr>
        <w:footnoteRef/>
      </w:r>
      <w:r>
        <w:t xml:space="preserve"> Ibid.</w:t>
      </w:r>
    </w:p>
  </w:footnote>
  <w:footnote w:id="268">
    <w:p w14:paraId="1CCF90A4" w14:textId="68352A07" w:rsidR="006A0B2C" w:rsidRDefault="006A0B2C" w:rsidP="006A0B2C">
      <w:pPr>
        <w:pStyle w:val="FootnoteText"/>
      </w:pPr>
      <w:r w:rsidRPr="00BD6841">
        <w:rPr>
          <w:rStyle w:val="FootnoteReference"/>
        </w:rPr>
        <w:footnoteRef/>
      </w:r>
      <w:r w:rsidRPr="00BD6841">
        <w:t xml:space="preserve"> </w:t>
      </w:r>
      <w:r w:rsidRPr="005F5C25">
        <w:t xml:space="preserve">Richard Brathwaite, </w:t>
      </w:r>
      <w:proofErr w:type="gramStart"/>
      <w:r w:rsidRPr="005F5C25">
        <w:rPr>
          <w:i/>
          <w:iCs/>
        </w:rPr>
        <w:t>The</w:t>
      </w:r>
      <w:proofErr w:type="gramEnd"/>
      <w:r w:rsidRPr="005F5C25">
        <w:rPr>
          <w:i/>
          <w:iCs/>
        </w:rPr>
        <w:t xml:space="preserve"> good </w:t>
      </w:r>
      <w:r w:rsidR="00731303">
        <w:rPr>
          <w:i/>
          <w:iCs/>
        </w:rPr>
        <w:t>w</w:t>
      </w:r>
      <w:r w:rsidRPr="005F5C25">
        <w:rPr>
          <w:i/>
          <w:iCs/>
        </w:rPr>
        <w:t xml:space="preserve">ife: </w:t>
      </w:r>
      <w:proofErr w:type="gramStart"/>
      <w:r w:rsidRPr="005F5C25">
        <w:rPr>
          <w:i/>
          <w:iCs/>
        </w:rPr>
        <w:t>or,</w:t>
      </w:r>
      <w:proofErr w:type="gramEnd"/>
      <w:r w:rsidRPr="005F5C25">
        <w:rPr>
          <w:i/>
          <w:iCs/>
        </w:rPr>
        <w:t xml:space="preserve"> A rare one amongst women </w:t>
      </w:r>
      <w:r w:rsidR="00731303">
        <w:rPr>
          <w:i/>
          <w:iCs/>
        </w:rPr>
        <w:t>w</w:t>
      </w:r>
      <w:r w:rsidRPr="005F5C25">
        <w:rPr>
          <w:i/>
          <w:iCs/>
        </w:rPr>
        <w:t xml:space="preserve">hereto is annexed an exquisite discourse of epitaphs: including the </w:t>
      </w:r>
      <w:proofErr w:type="spellStart"/>
      <w:r w:rsidRPr="005F5C25">
        <w:rPr>
          <w:i/>
          <w:iCs/>
        </w:rPr>
        <w:t>choisest</w:t>
      </w:r>
      <w:proofErr w:type="spellEnd"/>
      <w:r w:rsidRPr="005F5C25">
        <w:rPr>
          <w:i/>
          <w:iCs/>
        </w:rPr>
        <w:t xml:space="preserve"> thereof, ancient or </w:t>
      </w:r>
      <w:proofErr w:type="spellStart"/>
      <w:r w:rsidRPr="005F5C25">
        <w:rPr>
          <w:i/>
          <w:iCs/>
        </w:rPr>
        <w:t>moderne</w:t>
      </w:r>
      <w:proofErr w:type="spellEnd"/>
      <w:r w:rsidRPr="005F5C25">
        <w:rPr>
          <w:i/>
          <w:iCs/>
        </w:rPr>
        <w:t xml:space="preserve">. </w:t>
      </w:r>
      <w:proofErr w:type="spellStart"/>
      <w:r w:rsidRPr="005F5C25">
        <w:rPr>
          <w:i/>
          <w:iCs/>
        </w:rPr>
        <w:t>Musophilus</w:t>
      </w:r>
      <w:proofErr w:type="spellEnd"/>
      <w:r w:rsidRPr="005F5C25">
        <w:rPr>
          <w:i/>
          <w:iCs/>
        </w:rPr>
        <w:t>.,</w:t>
      </w:r>
      <w:r w:rsidRPr="005F5C25">
        <w:t xml:space="preserve"> (London, </w:t>
      </w:r>
      <w:r w:rsidRPr="00731303">
        <w:t>1618)</w:t>
      </w:r>
      <w:r w:rsidR="00731303">
        <w:t>, p.D6</w:t>
      </w:r>
      <w:r w:rsidR="00D911C8">
        <w:t>.</w:t>
      </w:r>
    </w:p>
  </w:footnote>
  <w:footnote w:id="269">
    <w:p w14:paraId="61ECAE5B" w14:textId="5A9A5051" w:rsidR="006A0B2C" w:rsidRPr="003623F9" w:rsidRDefault="006A0B2C" w:rsidP="006A0B2C">
      <w:pPr>
        <w:pStyle w:val="FootnoteText"/>
      </w:pPr>
      <w:r>
        <w:rPr>
          <w:rStyle w:val="FootnoteReference"/>
        </w:rPr>
        <w:footnoteRef/>
      </w:r>
      <w:r>
        <w:t xml:space="preserve"> Freya Cox Jensen, </w:t>
      </w:r>
      <w:r>
        <w:rPr>
          <w:i/>
          <w:iCs/>
        </w:rPr>
        <w:t xml:space="preserve">Reading the Roman Republic in Early Modern England, </w:t>
      </w:r>
      <w:r>
        <w:t>(Leiden, 2012), p.2</w:t>
      </w:r>
      <w:r w:rsidR="00D911C8">
        <w:t>.</w:t>
      </w:r>
    </w:p>
  </w:footnote>
  <w:footnote w:id="270">
    <w:p w14:paraId="4FE9BD89" w14:textId="6D082457" w:rsidR="006A0B2C" w:rsidRPr="00731303" w:rsidRDefault="006A0B2C" w:rsidP="006A0B2C">
      <w:pPr>
        <w:pStyle w:val="FootnoteText"/>
      </w:pPr>
      <w:r>
        <w:rPr>
          <w:rStyle w:val="FootnoteReference"/>
        </w:rPr>
        <w:footnoteRef/>
      </w:r>
      <w:r>
        <w:t xml:space="preserve"> </w:t>
      </w:r>
      <w:r w:rsidR="003C29C8" w:rsidRPr="00731303">
        <w:t>Brathwaite</w:t>
      </w:r>
      <w:r w:rsidR="00731303">
        <w:t xml:space="preserve">, </w:t>
      </w:r>
      <w:r w:rsidR="00731303">
        <w:rPr>
          <w:i/>
          <w:iCs/>
        </w:rPr>
        <w:t xml:space="preserve">The good wife, </w:t>
      </w:r>
      <w:r w:rsidR="003F0AE1">
        <w:t>p.E2</w:t>
      </w:r>
      <w:r w:rsidR="00D911C8">
        <w:t>.</w:t>
      </w:r>
    </w:p>
  </w:footnote>
  <w:footnote w:id="271">
    <w:p w14:paraId="551920DC" w14:textId="6C67138A" w:rsidR="006A0B2C" w:rsidRDefault="006A0B2C" w:rsidP="006A0B2C">
      <w:pPr>
        <w:pStyle w:val="FootnoteText"/>
      </w:pPr>
      <w:r>
        <w:rPr>
          <w:rStyle w:val="FootnoteReference"/>
        </w:rPr>
        <w:footnoteRef/>
      </w:r>
      <w:r>
        <w:t xml:space="preserve"> </w:t>
      </w:r>
      <w:r w:rsidRPr="001732F5">
        <w:t xml:space="preserve">Camden, </w:t>
      </w:r>
      <w:r w:rsidRPr="001732F5">
        <w:rPr>
          <w:i/>
          <w:iCs/>
        </w:rPr>
        <w:t xml:space="preserve">Britannia, </w:t>
      </w:r>
      <w:r w:rsidRPr="001732F5">
        <w:t>p.64</w:t>
      </w:r>
      <w:r w:rsidR="00D911C8">
        <w:t>.</w:t>
      </w:r>
    </w:p>
  </w:footnote>
  <w:footnote w:id="272">
    <w:p w14:paraId="400E8DEF" w14:textId="496591BD" w:rsidR="006A0B2C" w:rsidRDefault="006A0B2C" w:rsidP="006A0B2C">
      <w:pPr>
        <w:pStyle w:val="FootnoteText"/>
      </w:pPr>
      <w:r>
        <w:rPr>
          <w:rStyle w:val="FootnoteReference"/>
        </w:rPr>
        <w:footnoteRef/>
      </w:r>
      <w:r>
        <w:t xml:space="preserve"> Camden, </w:t>
      </w:r>
      <w:r>
        <w:rPr>
          <w:i/>
          <w:iCs/>
        </w:rPr>
        <w:t>Britannia,</w:t>
      </w:r>
      <w:r>
        <w:t xml:space="preserve"> p.65</w:t>
      </w:r>
      <w:r w:rsidR="00D911C8">
        <w:t>.</w:t>
      </w:r>
    </w:p>
  </w:footnote>
  <w:footnote w:id="273">
    <w:p w14:paraId="0967E6E4" w14:textId="5894DC32" w:rsidR="006A0B2C" w:rsidRPr="002736C6" w:rsidRDefault="006A0B2C" w:rsidP="006A0B2C">
      <w:pPr>
        <w:pStyle w:val="FootnoteText"/>
      </w:pPr>
      <w:r>
        <w:rPr>
          <w:rStyle w:val="FootnoteReference"/>
        </w:rPr>
        <w:footnoteRef/>
      </w:r>
      <w:r>
        <w:t xml:space="preserve"> Christine Stevenson, ‘Occasional architecture in seventeenth-century London’, </w:t>
      </w:r>
      <w:r>
        <w:rPr>
          <w:i/>
          <w:iCs/>
        </w:rPr>
        <w:t xml:space="preserve">Architectural History, </w:t>
      </w:r>
      <w:r>
        <w:t>Vol. 49, (2006), pp.35-74, p.58</w:t>
      </w:r>
      <w:r w:rsidR="00D911C8">
        <w:t>.</w:t>
      </w:r>
    </w:p>
  </w:footnote>
  <w:footnote w:id="274">
    <w:p w14:paraId="72115CDE" w14:textId="61D05084" w:rsidR="006A0B2C" w:rsidRDefault="006A0B2C" w:rsidP="006A0B2C">
      <w:pPr>
        <w:pStyle w:val="FootnoteText"/>
      </w:pPr>
      <w:r>
        <w:rPr>
          <w:rStyle w:val="FootnoteReference"/>
        </w:rPr>
        <w:footnoteRef/>
      </w:r>
      <w:r>
        <w:t xml:space="preserve"> Matthew Jenkinson, ‘</w:t>
      </w:r>
      <w:r w:rsidRPr="0046382B">
        <w:rPr>
          <w:i/>
          <w:iCs/>
        </w:rPr>
        <w:t>The City and the King: Architecture and Politics in Restoration London</w:t>
      </w:r>
      <w:r w:rsidRPr="0046382B">
        <w:t>, by Christine Stevenson</w:t>
      </w:r>
      <w:r>
        <w:t>’</w:t>
      </w:r>
      <w:r w:rsidRPr="0046382B">
        <w:t>, </w:t>
      </w:r>
      <w:r w:rsidRPr="0046382B">
        <w:rPr>
          <w:i/>
          <w:iCs/>
        </w:rPr>
        <w:t>The English Historical Review</w:t>
      </w:r>
      <w:r w:rsidRPr="0046382B">
        <w:t>, Vo</w:t>
      </w:r>
      <w:r>
        <w:t>l.</w:t>
      </w:r>
      <w:r w:rsidRPr="0046382B">
        <w:t xml:space="preserve"> 130, </w:t>
      </w:r>
      <w:r>
        <w:t>No.</w:t>
      </w:r>
      <w:r w:rsidRPr="0046382B">
        <w:t xml:space="preserve"> 547, </w:t>
      </w:r>
      <w:r>
        <w:t>(</w:t>
      </w:r>
      <w:r w:rsidRPr="0046382B">
        <w:t>2015</w:t>
      </w:r>
      <w:r>
        <w:t>)</w:t>
      </w:r>
      <w:r w:rsidRPr="0046382B">
        <w:t xml:space="preserve">, </w:t>
      </w:r>
      <w:r>
        <w:t>pp.</w:t>
      </w:r>
      <w:r w:rsidRPr="0046382B">
        <w:t>1563–1565</w:t>
      </w:r>
      <w:r>
        <w:t>, p.1564</w:t>
      </w:r>
      <w:r w:rsidR="00D911C8">
        <w:t>.</w:t>
      </w:r>
    </w:p>
  </w:footnote>
  <w:footnote w:id="275">
    <w:p w14:paraId="1F2498A7" w14:textId="0FADB671" w:rsidR="006A0B2C" w:rsidRPr="00D02883" w:rsidRDefault="006A0B2C" w:rsidP="006A0B2C">
      <w:pPr>
        <w:pStyle w:val="FootnoteText"/>
      </w:pPr>
      <w:r>
        <w:rPr>
          <w:rStyle w:val="FootnoteReference"/>
        </w:rPr>
        <w:footnoteRef/>
      </w:r>
      <w:r>
        <w:t xml:space="preserve"> Anonymous, </w:t>
      </w:r>
      <w:r w:rsidRPr="00D02883">
        <w:rPr>
          <w:bCs/>
          <w:i/>
          <w:iCs/>
        </w:rPr>
        <w:t>An </w:t>
      </w:r>
      <w:proofErr w:type="spellStart"/>
      <w:r w:rsidRPr="00D02883">
        <w:rPr>
          <w:bCs/>
          <w:i/>
          <w:iCs/>
        </w:rPr>
        <w:t>appeale</w:t>
      </w:r>
      <w:proofErr w:type="spellEnd"/>
      <w:r w:rsidRPr="00D02883">
        <w:rPr>
          <w:bCs/>
          <w:i/>
          <w:iCs/>
        </w:rPr>
        <w:t> of the orthodox ministers of the Church of England against Richard </w:t>
      </w:r>
      <w:proofErr w:type="spellStart"/>
      <w:r w:rsidRPr="00D02883">
        <w:rPr>
          <w:bCs/>
          <w:i/>
          <w:iCs/>
        </w:rPr>
        <w:t>Mountague</w:t>
      </w:r>
      <w:proofErr w:type="spellEnd"/>
      <w:r w:rsidRPr="00D02883">
        <w:rPr>
          <w:bCs/>
          <w:i/>
          <w:iCs/>
        </w:rPr>
        <w:t>, late Bishop of Chichester, now Bishop of Norwich</w:t>
      </w:r>
      <w:r>
        <w:rPr>
          <w:bCs/>
          <w:i/>
          <w:iCs/>
        </w:rPr>
        <w:t>,</w:t>
      </w:r>
      <w:r w:rsidRPr="00D02883">
        <w:rPr>
          <w:bCs/>
          <w:i/>
          <w:iCs/>
        </w:rPr>
        <w:t> </w:t>
      </w:r>
      <w:r w:rsidRPr="00D02883">
        <w:rPr>
          <w:bCs/>
          <w:iCs/>
        </w:rPr>
        <w:t>(Edinburgh, 1641)</w:t>
      </w:r>
      <w:r>
        <w:rPr>
          <w:bCs/>
          <w:iCs/>
        </w:rPr>
        <w:t>, p.36</w:t>
      </w:r>
      <w:r w:rsidR="00D911C8">
        <w:rPr>
          <w:bCs/>
          <w:iCs/>
        </w:rPr>
        <w:t>.</w:t>
      </w:r>
    </w:p>
  </w:footnote>
  <w:footnote w:id="276">
    <w:p w14:paraId="5A00F6A3" w14:textId="456A696D" w:rsidR="006A0B2C" w:rsidRDefault="006A0B2C" w:rsidP="006A0B2C">
      <w:pPr>
        <w:pStyle w:val="FootnoteText"/>
      </w:pPr>
      <w:r w:rsidRPr="00D02883">
        <w:rPr>
          <w:rStyle w:val="FootnoteReference"/>
        </w:rPr>
        <w:footnoteRef/>
      </w:r>
      <w:r>
        <w:t xml:space="preserve"> Ibid.</w:t>
      </w:r>
    </w:p>
  </w:footnote>
  <w:footnote w:id="277">
    <w:p w14:paraId="7202BF5A" w14:textId="163CC267" w:rsidR="006A0B2C" w:rsidRDefault="006A0B2C" w:rsidP="006A0B2C">
      <w:pPr>
        <w:pStyle w:val="FootnoteText"/>
      </w:pPr>
      <w:r>
        <w:rPr>
          <w:rStyle w:val="FootnoteReference"/>
        </w:rPr>
        <w:footnoteRef/>
      </w:r>
      <w:r>
        <w:t xml:space="preserve"> Thomas Rist, ‘Monuments and religion: George Herbert’s poetic materials’ in Andrew Gordon and Thomas Rist (eds), </w:t>
      </w:r>
      <w:r>
        <w:rPr>
          <w:i/>
          <w:iCs/>
        </w:rPr>
        <w:t xml:space="preserve">The Arts of Remembrance in Early Modern England: Memorial Cultures of the Post Reformation, </w:t>
      </w:r>
      <w:r>
        <w:t>(Abingdon, 2013), pp.105-124, pp.113-115</w:t>
      </w:r>
      <w:r w:rsidR="00D911C8">
        <w:t>.</w:t>
      </w:r>
    </w:p>
  </w:footnote>
  <w:footnote w:id="278">
    <w:p w14:paraId="6E73CE5D" w14:textId="33FAA97C" w:rsidR="006A0B2C" w:rsidRDefault="006A0B2C" w:rsidP="006A0B2C">
      <w:pPr>
        <w:pStyle w:val="FootnoteText"/>
      </w:pPr>
      <w:r>
        <w:rPr>
          <w:rStyle w:val="FootnoteReference"/>
        </w:rPr>
        <w:footnoteRef/>
      </w:r>
      <w:r>
        <w:t xml:space="preserve"> </w:t>
      </w:r>
      <w:r w:rsidRPr="00EC6B19">
        <w:t xml:space="preserve">William Prynne, </w:t>
      </w:r>
      <w:r>
        <w:rPr>
          <w:i/>
        </w:rPr>
        <w:t>A Counterplea to the C</w:t>
      </w:r>
      <w:r w:rsidRPr="00EC6B19">
        <w:rPr>
          <w:i/>
        </w:rPr>
        <w:t xml:space="preserve">owards </w:t>
      </w:r>
      <w:proofErr w:type="spellStart"/>
      <w:r>
        <w:rPr>
          <w:i/>
        </w:rPr>
        <w:t>Apologie</w:t>
      </w:r>
      <w:proofErr w:type="spellEnd"/>
      <w:r>
        <w:rPr>
          <w:i/>
        </w:rPr>
        <w:t xml:space="preserve">, </w:t>
      </w:r>
      <w:proofErr w:type="gramStart"/>
      <w:r>
        <w:rPr>
          <w:i/>
        </w:rPr>
        <w:t>Manifesting</w:t>
      </w:r>
      <w:proofErr w:type="gramEnd"/>
      <w:r>
        <w:rPr>
          <w:i/>
        </w:rPr>
        <w:t xml:space="preserve"> by an Ancient Record and Law; the </w:t>
      </w:r>
      <w:proofErr w:type="spellStart"/>
      <w:r>
        <w:rPr>
          <w:i/>
        </w:rPr>
        <w:t>U</w:t>
      </w:r>
      <w:r w:rsidRPr="00EC6B19">
        <w:rPr>
          <w:i/>
        </w:rPr>
        <w:t>nlawfullnesse</w:t>
      </w:r>
      <w:proofErr w:type="spellEnd"/>
      <w:r w:rsidRPr="00EC6B19">
        <w:rPr>
          <w:i/>
        </w:rPr>
        <w:t xml:space="preserve"> of </w:t>
      </w:r>
      <w:r>
        <w:rPr>
          <w:i/>
        </w:rPr>
        <w:t>P</w:t>
      </w:r>
      <w:r w:rsidRPr="00EC6B19">
        <w:rPr>
          <w:i/>
        </w:rPr>
        <w:t xml:space="preserve">assing </w:t>
      </w:r>
      <w:r>
        <w:rPr>
          <w:i/>
        </w:rPr>
        <w:t>Any Vote or Judgement Against Law, or C</w:t>
      </w:r>
      <w:r w:rsidRPr="00EC6B19">
        <w:rPr>
          <w:i/>
        </w:rPr>
        <w:t xml:space="preserve">onscience, for </w:t>
      </w:r>
      <w:proofErr w:type="spellStart"/>
      <w:r>
        <w:rPr>
          <w:i/>
        </w:rPr>
        <w:t>Feare</w:t>
      </w:r>
      <w:proofErr w:type="spellEnd"/>
      <w:r>
        <w:rPr>
          <w:i/>
        </w:rPr>
        <w:t xml:space="preserve"> of Death, Danger, or Any Forfeiture, in Any Court, Counsell or Judicature, </w:t>
      </w:r>
      <w:proofErr w:type="gramStart"/>
      <w:r>
        <w:rPr>
          <w:i/>
        </w:rPr>
        <w:t>E</w:t>
      </w:r>
      <w:r w:rsidRPr="00EC6B19">
        <w:rPr>
          <w:i/>
        </w:rPr>
        <w:t>specially</w:t>
      </w:r>
      <w:proofErr w:type="gramEnd"/>
      <w:r w:rsidRPr="00EC6B19">
        <w:rPr>
          <w:i/>
        </w:rPr>
        <w:t xml:space="preserve"> in the Houses of Parliamen</w:t>
      </w:r>
      <w:r>
        <w:rPr>
          <w:i/>
        </w:rPr>
        <w:t>t,</w:t>
      </w:r>
      <w:r w:rsidRPr="00EC6B19">
        <w:t xml:space="preserve"> (London, 1647)</w:t>
      </w:r>
      <w:r>
        <w:t>, p.4, p.1</w:t>
      </w:r>
      <w:r w:rsidR="00D911C8">
        <w:t>.</w:t>
      </w:r>
    </w:p>
  </w:footnote>
  <w:footnote w:id="279">
    <w:p w14:paraId="6BC0AA90" w14:textId="3244B923" w:rsidR="006A0B2C" w:rsidRDefault="006A0B2C" w:rsidP="006A0B2C">
      <w:pPr>
        <w:pStyle w:val="FootnoteText"/>
      </w:pPr>
      <w:r>
        <w:rPr>
          <w:rStyle w:val="FootnoteReference"/>
        </w:rPr>
        <w:footnoteRef/>
      </w:r>
      <w:r>
        <w:t xml:space="preserve"> </w:t>
      </w:r>
      <w:r w:rsidRPr="00D24AB3">
        <w:t xml:space="preserve">Sherlock, </w:t>
      </w:r>
      <w:r w:rsidRPr="00D24AB3">
        <w:rPr>
          <w:i/>
          <w:iCs/>
        </w:rPr>
        <w:t>Monuments</w:t>
      </w:r>
      <w:r w:rsidRPr="00D24AB3">
        <w:t>, p.3</w:t>
      </w:r>
      <w:r w:rsidR="00D911C8">
        <w:t>.</w:t>
      </w:r>
    </w:p>
  </w:footnote>
  <w:footnote w:id="280">
    <w:p w14:paraId="0C35676D" w14:textId="117F4B4F" w:rsidR="006F689C" w:rsidRDefault="006F689C">
      <w:pPr>
        <w:pStyle w:val="FootnoteText"/>
      </w:pPr>
      <w:r>
        <w:rPr>
          <w:rStyle w:val="FootnoteReference"/>
        </w:rPr>
        <w:footnoteRef/>
      </w:r>
      <w:r>
        <w:t xml:space="preserve"> </w:t>
      </w:r>
      <w:r w:rsidRPr="006F689C">
        <w:t xml:space="preserve">Henry Wilkinson, </w:t>
      </w:r>
      <w:r w:rsidRPr="006F689C">
        <w:rPr>
          <w:i/>
          <w:iCs/>
        </w:rPr>
        <w:t xml:space="preserve">The </w:t>
      </w:r>
      <w:proofErr w:type="spellStart"/>
      <w:r w:rsidRPr="006F689C">
        <w:rPr>
          <w:i/>
          <w:iCs/>
        </w:rPr>
        <w:t>gainefull</w:t>
      </w:r>
      <w:proofErr w:type="spellEnd"/>
      <w:r w:rsidRPr="006F689C">
        <w:rPr>
          <w:i/>
          <w:iCs/>
        </w:rPr>
        <w:t xml:space="preserve"> cost</w:t>
      </w:r>
      <w:r w:rsidR="007326B2">
        <w:rPr>
          <w:i/>
          <w:iCs/>
        </w:rPr>
        <w:t>. As it was delivered in a sermon preached before the Right Honourable House of Lords, in the Abbey Church of Westminster</w:t>
      </w:r>
      <w:r w:rsidR="007E0B8F">
        <w:rPr>
          <w:i/>
          <w:iCs/>
        </w:rPr>
        <w:t xml:space="preserve">, on Wednesday the 27 of November, being the day appointed for solemn and </w:t>
      </w:r>
      <w:proofErr w:type="spellStart"/>
      <w:r w:rsidR="007E0B8F">
        <w:rPr>
          <w:i/>
          <w:iCs/>
        </w:rPr>
        <w:t>publike</w:t>
      </w:r>
      <w:proofErr w:type="spellEnd"/>
      <w:r w:rsidR="007E0B8F">
        <w:rPr>
          <w:i/>
          <w:iCs/>
        </w:rPr>
        <w:t xml:space="preserve"> humiliation</w:t>
      </w:r>
      <w:r w:rsidRPr="006F689C">
        <w:rPr>
          <w:i/>
          <w:iCs/>
        </w:rPr>
        <w:t xml:space="preserve">, </w:t>
      </w:r>
      <w:r w:rsidRPr="006F689C">
        <w:t>(London, 1644</w:t>
      </w:r>
      <w:r w:rsidR="007E0B8F">
        <w:t>)</w:t>
      </w:r>
      <w:r w:rsidR="00D911C8">
        <w:t>.</w:t>
      </w:r>
    </w:p>
  </w:footnote>
  <w:footnote w:id="281">
    <w:p w14:paraId="595C3BFD" w14:textId="5B78D623" w:rsidR="006A0B2C" w:rsidRPr="009C5775" w:rsidRDefault="006A0B2C" w:rsidP="006A0B2C">
      <w:pPr>
        <w:pStyle w:val="FootnoteText"/>
      </w:pPr>
      <w:r>
        <w:rPr>
          <w:rStyle w:val="FootnoteReference"/>
        </w:rPr>
        <w:footnoteRef/>
      </w:r>
      <w:r>
        <w:t xml:space="preserve"> </w:t>
      </w:r>
      <w:r w:rsidR="00B35DC1">
        <w:t>Ibid.,</w:t>
      </w:r>
      <w:r w:rsidR="002F2480">
        <w:t xml:space="preserve"> p.B1</w:t>
      </w:r>
      <w:r w:rsidR="00D911C8">
        <w:t>.</w:t>
      </w:r>
    </w:p>
  </w:footnote>
  <w:footnote w:id="282">
    <w:p w14:paraId="181D6CCD" w14:textId="77777777" w:rsidR="00A75786" w:rsidRDefault="00A75786" w:rsidP="00A75786">
      <w:pPr>
        <w:pStyle w:val="FootnoteText"/>
      </w:pPr>
      <w:r>
        <w:rPr>
          <w:rStyle w:val="FootnoteReference"/>
        </w:rPr>
        <w:footnoteRef/>
      </w:r>
      <w:r>
        <w:t xml:space="preserve"> </w:t>
      </w:r>
      <w:r w:rsidRPr="000F50B2">
        <w:t xml:space="preserve">Nathaniel </w:t>
      </w:r>
      <w:proofErr w:type="spellStart"/>
      <w:r w:rsidRPr="000F50B2">
        <w:t>Wanley</w:t>
      </w:r>
      <w:proofErr w:type="spellEnd"/>
      <w:r w:rsidRPr="000F50B2">
        <w:t xml:space="preserve">, </w:t>
      </w:r>
      <w:r w:rsidRPr="000F50B2">
        <w:rPr>
          <w:i/>
        </w:rPr>
        <w:t xml:space="preserve">The wonders of the little world, </w:t>
      </w:r>
      <w:proofErr w:type="gramStart"/>
      <w:r w:rsidRPr="000F50B2">
        <w:rPr>
          <w:i/>
        </w:rPr>
        <w:t>or,</w:t>
      </w:r>
      <w:proofErr w:type="gramEnd"/>
      <w:r w:rsidRPr="000F50B2">
        <w:rPr>
          <w:i/>
        </w:rPr>
        <w:t xml:space="preserve"> A general history of man in six books, </w:t>
      </w:r>
      <w:r w:rsidRPr="000F50B2">
        <w:t>(London, 1673)</w:t>
      </w:r>
    </w:p>
  </w:footnote>
  <w:footnote w:id="283">
    <w:p w14:paraId="3BE3C41F" w14:textId="45BBDEA5" w:rsidR="00A75786" w:rsidRPr="00D02883" w:rsidRDefault="00A75786" w:rsidP="00A75786">
      <w:pPr>
        <w:pStyle w:val="FootnoteText"/>
      </w:pPr>
      <w:r>
        <w:rPr>
          <w:rStyle w:val="FootnoteReference"/>
        </w:rPr>
        <w:footnoteRef/>
      </w:r>
      <w:r>
        <w:t xml:space="preserve"> Ibid., p.575</w:t>
      </w:r>
      <w:r w:rsidR="00D911C8">
        <w:t>.</w:t>
      </w:r>
    </w:p>
  </w:footnote>
  <w:footnote w:id="284">
    <w:p w14:paraId="36404451" w14:textId="5359494A" w:rsidR="00F24095" w:rsidRDefault="00F24095">
      <w:pPr>
        <w:pStyle w:val="FootnoteText"/>
      </w:pPr>
      <w:r>
        <w:rPr>
          <w:rStyle w:val="FootnoteReference"/>
        </w:rPr>
        <w:footnoteRef/>
      </w:r>
      <w:r>
        <w:t xml:space="preserve"> </w:t>
      </w:r>
      <w:r w:rsidRPr="00D02883">
        <w:t xml:space="preserve">Pierre Charron, </w:t>
      </w:r>
      <w:proofErr w:type="gramStart"/>
      <w:r w:rsidRPr="00D02883">
        <w:rPr>
          <w:i/>
        </w:rPr>
        <w:t>Of</w:t>
      </w:r>
      <w:proofErr w:type="gramEnd"/>
      <w:r w:rsidRPr="00D02883">
        <w:rPr>
          <w:i/>
        </w:rPr>
        <w:t xml:space="preserve"> wisdom three books / written originally in French by the Sieur de Charron; with an account of the author, made English by George Stanhope</w:t>
      </w:r>
      <w:r>
        <w:rPr>
          <w:i/>
        </w:rPr>
        <w:t xml:space="preserve">, </w:t>
      </w:r>
      <w:r w:rsidRPr="00D02883">
        <w:t>(London, 1697)</w:t>
      </w:r>
      <w:r w:rsidR="00D911C8">
        <w:t>.</w:t>
      </w:r>
    </w:p>
  </w:footnote>
  <w:footnote w:id="285">
    <w:p w14:paraId="2BE7B653" w14:textId="235D848F" w:rsidR="00A75786" w:rsidRDefault="00A75786" w:rsidP="00A75786">
      <w:pPr>
        <w:pStyle w:val="FootnoteText"/>
      </w:pPr>
      <w:r>
        <w:rPr>
          <w:rStyle w:val="FootnoteReference"/>
        </w:rPr>
        <w:footnoteRef/>
      </w:r>
      <w:r>
        <w:t xml:space="preserve"> </w:t>
      </w:r>
      <w:r w:rsidR="00F24095">
        <w:t xml:space="preserve">Ibid., </w:t>
      </w:r>
      <w:r>
        <w:t>p.31</w:t>
      </w:r>
      <w:r w:rsidR="00D911C8">
        <w:t>.</w:t>
      </w:r>
    </w:p>
  </w:footnote>
  <w:footnote w:id="286">
    <w:p w14:paraId="70664B30" w14:textId="1C1A0191" w:rsidR="00B87C01" w:rsidRDefault="00B87C01">
      <w:pPr>
        <w:pStyle w:val="FootnoteText"/>
      </w:pPr>
      <w:r>
        <w:rPr>
          <w:rStyle w:val="FootnoteReference"/>
        </w:rPr>
        <w:footnoteRef/>
      </w:r>
      <w:r>
        <w:t xml:space="preserve"> Ibid.</w:t>
      </w:r>
    </w:p>
  </w:footnote>
  <w:footnote w:id="287">
    <w:p w14:paraId="734A588E" w14:textId="55B33245" w:rsidR="00A75786" w:rsidRDefault="00A75786" w:rsidP="00A75786">
      <w:pPr>
        <w:pStyle w:val="FootnoteText"/>
      </w:pPr>
      <w:r>
        <w:rPr>
          <w:rStyle w:val="FootnoteReference"/>
        </w:rPr>
        <w:footnoteRef/>
      </w:r>
      <w:r>
        <w:t xml:space="preserve"> Ibid., p.32</w:t>
      </w:r>
      <w:r w:rsidR="00D911C8">
        <w:t>.</w:t>
      </w:r>
    </w:p>
  </w:footnote>
  <w:footnote w:id="288">
    <w:p w14:paraId="6AF880AD" w14:textId="569C767A" w:rsidR="000B2548" w:rsidRDefault="000B2548">
      <w:pPr>
        <w:pStyle w:val="FootnoteText"/>
      </w:pPr>
      <w:r>
        <w:rPr>
          <w:rStyle w:val="FootnoteReference"/>
        </w:rPr>
        <w:footnoteRef/>
      </w:r>
      <w:r>
        <w:t xml:space="preserve"> </w:t>
      </w:r>
      <w:r w:rsidRPr="000B2548">
        <w:t xml:space="preserve">John Willis, </w:t>
      </w:r>
      <w:r w:rsidRPr="000B2548">
        <w:rPr>
          <w:i/>
          <w:iCs/>
        </w:rPr>
        <w:t xml:space="preserve">Mnemonica, or, </w:t>
      </w:r>
      <w:proofErr w:type="gramStart"/>
      <w:r w:rsidRPr="000B2548">
        <w:rPr>
          <w:i/>
          <w:iCs/>
        </w:rPr>
        <w:t>The</w:t>
      </w:r>
      <w:proofErr w:type="gramEnd"/>
      <w:r w:rsidRPr="000B2548">
        <w:rPr>
          <w:i/>
          <w:iCs/>
        </w:rPr>
        <w:t xml:space="preserve"> art of memory drained out of the pure fountains of art &amp; nature, digested into three </w:t>
      </w:r>
      <w:proofErr w:type="gramStart"/>
      <w:r w:rsidRPr="000B2548">
        <w:rPr>
          <w:i/>
          <w:iCs/>
        </w:rPr>
        <w:t>books :</w:t>
      </w:r>
      <w:proofErr w:type="gramEnd"/>
      <w:r w:rsidRPr="000B2548">
        <w:rPr>
          <w:i/>
          <w:iCs/>
        </w:rPr>
        <w:t xml:space="preserve"> </w:t>
      </w:r>
      <w:proofErr w:type="gramStart"/>
      <w:r w:rsidRPr="000B2548">
        <w:rPr>
          <w:i/>
          <w:iCs/>
        </w:rPr>
        <w:t>also</w:t>
      </w:r>
      <w:proofErr w:type="gramEnd"/>
      <w:r w:rsidRPr="000B2548">
        <w:rPr>
          <w:i/>
          <w:iCs/>
        </w:rPr>
        <w:t xml:space="preserve"> a physical treatise of cherishing natural memory, diligently collected out of divers learned </w:t>
      </w:r>
      <w:proofErr w:type="spellStart"/>
      <w:r w:rsidRPr="000B2548">
        <w:rPr>
          <w:i/>
          <w:iCs/>
        </w:rPr>
        <w:t>mens</w:t>
      </w:r>
      <w:proofErr w:type="spellEnd"/>
      <w:r w:rsidRPr="000B2548">
        <w:rPr>
          <w:i/>
          <w:iCs/>
        </w:rPr>
        <w:t xml:space="preserve"> writings, </w:t>
      </w:r>
      <w:r w:rsidRPr="000B2548">
        <w:t>(London, 1661)</w:t>
      </w:r>
      <w:r w:rsidR="00D911C8">
        <w:t>.</w:t>
      </w:r>
    </w:p>
  </w:footnote>
  <w:footnote w:id="289">
    <w:p w14:paraId="4276457B" w14:textId="4B7A185C" w:rsidR="006A0B2C" w:rsidRDefault="006A0B2C" w:rsidP="006A0B2C">
      <w:pPr>
        <w:pStyle w:val="FootnoteText"/>
      </w:pPr>
      <w:r>
        <w:rPr>
          <w:rStyle w:val="FootnoteReference"/>
        </w:rPr>
        <w:footnoteRef/>
      </w:r>
      <w:r>
        <w:t xml:space="preserve"> </w:t>
      </w:r>
      <w:r w:rsidR="000B2548">
        <w:t>Ibid., p.</w:t>
      </w:r>
      <w:r w:rsidR="00E8279C">
        <w:t>52</w:t>
      </w:r>
      <w:r w:rsidR="00D911C8">
        <w:t>.</w:t>
      </w:r>
    </w:p>
  </w:footnote>
  <w:footnote w:id="290">
    <w:p w14:paraId="4E546117" w14:textId="1B709CDF" w:rsidR="006A0B2C" w:rsidRDefault="006A0B2C" w:rsidP="006A0B2C">
      <w:pPr>
        <w:pStyle w:val="FootnoteText"/>
      </w:pPr>
      <w:r>
        <w:rPr>
          <w:rStyle w:val="FootnoteReference"/>
        </w:rPr>
        <w:footnoteRef/>
      </w:r>
      <w:r>
        <w:t xml:space="preserve"> </w:t>
      </w:r>
      <w:r w:rsidR="00E8279C">
        <w:t>Ibid.</w:t>
      </w:r>
    </w:p>
  </w:footnote>
  <w:footnote w:id="291">
    <w:p w14:paraId="161D8E4B" w14:textId="26056CCC" w:rsidR="006A0B2C" w:rsidRDefault="006A0B2C" w:rsidP="006A0B2C">
      <w:pPr>
        <w:pStyle w:val="FootnoteText"/>
      </w:pPr>
      <w:r>
        <w:rPr>
          <w:rStyle w:val="FootnoteReference"/>
        </w:rPr>
        <w:footnoteRef/>
      </w:r>
      <w:r>
        <w:t xml:space="preserve"> Ibid., p.56</w:t>
      </w:r>
      <w:r w:rsidR="00D911C8">
        <w:t>.</w:t>
      </w:r>
    </w:p>
  </w:footnote>
  <w:footnote w:id="292">
    <w:p w14:paraId="06E88C0C" w14:textId="392B8CC0" w:rsidR="006A0B2C" w:rsidRDefault="006A0B2C" w:rsidP="006A0B2C">
      <w:pPr>
        <w:pStyle w:val="FootnoteText"/>
      </w:pPr>
      <w:r>
        <w:rPr>
          <w:rStyle w:val="FootnoteReference"/>
        </w:rPr>
        <w:footnoteRef/>
      </w:r>
      <w:r>
        <w:t xml:space="preserve"> Ibid., p.58</w:t>
      </w:r>
      <w:r w:rsidR="00D911C8">
        <w:t>.</w:t>
      </w:r>
    </w:p>
  </w:footnote>
  <w:footnote w:id="293">
    <w:p w14:paraId="22514FB3" w14:textId="56C375E5" w:rsidR="006A0B2C" w:rsidRPr="000C66CF" w:rsidRDefault="006A0B2C" w:rsidP="006A0B2C">
      <w:pPr>
        <w:pStyle w:val="FootnoteText"/>
      </w:pPr>
      <w:r>
        <w:rPr>
          <w:rStyle w:val="FootnoteReference"/>
        </w:rPr>
        <w:footnoteRef/>
      </w:r>
      <w:r>
        <w:t xml:space="preserve"> </w:t>
      </w:r>
      <w:r w:rsidR="00E8279C">
        <w:t>Ibid.,</w:t>
      </w:r>
      <w:r>
        <w:rPr>
          <w:i/>
          <w:iCs/>
        </w:rPr>
        <w:t xml:space="preserve"> </w:t>
      </w:r>
      <w:r>
        <w:t>pp.61-64</w:t>
      </w:r>
      <w:r w:rsidR="00D911C8">
        <w:t>.</w:t>
      </w:r>
    </w:p>
  </w:footnote>
  <w:footnote w:id="294">
    <w:p w14:paraId="246B475E" w14:textId="238EAB5C" w:rsidR="006A0B2C" w:rsidRDefault="006A0B2C" w:rsidP="006A0B2C">
      <w:pPr>
        <w:pStyle w:val="FootnoteText"/>
      </w:pPr>
      <w:r>
        <w:rPr>
          <w:rStyle w:val="FootnoteReference"/>
        </w:rPr>
        <w:footnoteRef/>
      </w:r>
      <w:r>
        <w:t xml:space="preserve"> Ibid., p.82</w:t>
      </w:r>
      <w:r w:rsidR="00D911C8">
        <w:t>.</w:t>
      </w:r>
    </w:p>
  </w:footnote>
  <w:footnote w:id="295">
    <w:p w14:paraId="429DA39C" w14:textId="3350A1BE" w:rsidR="006A0B2C" w:rsidRDefault="006A0B2C" w:rsidP="006A0B2C">
      <w:pPr>
        <w:pStyle w:val="FootnoteText"/>
      </w:pPr>
      <w:r>
        <w:rPr>
          <w:rStyle w:val="FootnoteReference"/>
        </w:rPr>
        <w:footnoteRef/>
      </w:r>
      <w:r>
        <w:t xml:space="preserve"> Ibid., p.83</w:t>
      </w:r>
      <w:r w:rsidR="00D911C8">
        <w:t>.</w:t>
      </w:r>
    </w:p>
  </w:footnote>
  <w:footnote w:id="296">
    <w:p w14:paraId="349A75EF" w14:textId="3759CE24" w:rsidR="00F2587E" w:rsidRDefault="00F2587E" w:rsidP="00F2587E">
      <w:pPr>
        <w:pStyle w:val="FootnoteText"/>
      </w:pPr>
      <w:r>
        <w:rPr>
          <w:rStyle w:val="FootnoteReference"/>
        </w:rPr>
        <w:footnoteRef/>
      </w:r>
      <w:r>
        <w:t xml:space="preserve"> </w:t>
      </w:r>
      <w:r w:rsidRPr="006848B2">
        <w:t xml:space="preserve">Barclay and Reddan, </w:t>
      </w:r>
      <w:r w:rsidRPr="006848B2">
        <w:rPr>
          <w:i/>
          <w:iCs/>
        </w:rPr>
        <w:t>The Feeling Heart</w:t>
      </w:r>
      <w:r w:rsidR="0092462A">
        <w:rPr>
          <w:i/>
          <w:iCs/>
        </w:rPr>
        <w:t xml:space="preserve">, </w:t>
      </w:r>
      <w:r w:rsidRPr="006848B2">
        <w:t>p.7</w:t>
      </w:r>
      <w:r w:rsidR="00D911C8">
        <w:t>.</w:t>
      </w:r>
    </w:p>
  </w:footnote>
  <w:footnote w:id="297">
    <w:p w14:paraId="24AB18A2" w14:textId="47546DC1" w:rsidR="00F2587E" w:rsidRDefault="00F2587E" w:rsidP="00F2587E">
      <w:pPr>
        <w:pStyle w:val="FootnoteText"/>
      </w:pPr>
      <w:r>
        <w:rPr>
          <w:rStyle w:val="FootnoteReference"/>
        </w:rPr>
        <w:footnoteRef/>
      </w:r>
      <w:r>
        <w:t xml:space="preserve"> Ibid.</w:t>
      </w:r>
    </w:p>
  </w:footnote>
  <w:footnote w:id="298">
    <w:p w14:paraId="5F791148" w14:textId="0B4605EF" w:rsidR="00220A86" w:rsidRPr="002059EC" w:rsidRDefault="00220A86" w:rsidP="00220A86">
      <w:pPr>
        <w:pStyle w:val="FootnoteText"/>
      </w:pPr>
      <w:r>
        <w:rPr>
          <w:rStyle w:val="FootnoteReference"/>
        </w:rPr>
        <w:footnoteRef/>
      </w:r>
      <w:r>
        <w:t xml:space="preserve"> </w:t>
      </w:r>
      <w:r w:rsidRPr="00261BC5">
        <w:t>Adrian Green, ‘Houses and households in County Durham and Newcastle c.1570-1730’, (Durham University, 2000; unpublished PhD thesis)</w:t>
      </w:r>
      <w:r>
        <w:t xml:space="preserve">; Adrian Green, ‘Consumption and material culture’, in Keith Wrightson (ed.), </w:t>
      </w:r>
      <w:r>
        <w:rPr>
          <w:i/>
          <w:iCs/>
        </w:rPr>
        <w:t xml:space="preserve">A Social History of England, 1500-1750, </w:t>
      </w:r>
      <w:r>
        <w:t>(Cambridge, 2017), pp.242-266, pp.251-252</w:t>
      </w:r>
      <w:r w:rsidR="00D911C8">
        <w:t>.</w:t>
      </w:r>
    </w:p>
  </w:footnote>
  <w:footnote w:id="299">
    <w:p w14:paraId="7D2CA65D" w14:textId="185E66E9" w:rsidR="00972A83" w:rsidRDefault="00972A83" w:rsidP="00972A83">
      <w:pPr>
        <w:pStyle w:val="FootnoteText"/>
      </w:pPr>
      <w:r>
        <w:rPr>
          <w:rStyle w:val="FootnoteReference"/>
        </w:rPr>
        <w:footnoteRef/>
      </w:r>
      <w:r>
        <w:t xml:space="preserve"> Green, ‘Houses’, pp.175-176</w:t>
      </w:r>
      <w:r w:rsidR="00D911C8">
        <w:t>.</w:t>
      </w:r>
    </w:p>
  </w:footnote>
  <w:footnote w:id="300">
    <w:p w14:paraId="7BBBF6A0" w14:textId="2BE487F6" w:rsidR="00220A86" w:rsidRDefault="00220A86" w:rsidP="00220A86">
      <w:pPr>
        <w:pStyle w:val="FootnoteText"/>
      </w:pPr>
      <w:r>
        <w:rPr>
          <w:rStyle w:val="FootnoteReference"/>
        </w:rPr>
        <w:footnoteRef/>
      </w:r>
      <w:r>
        <w:t xml:space="preserve"> The precise number of surviving wills and inventories relating to Bolton-le-Sands townships is unknown. Due to cataloguing practices at Lancashire Archives, wills from both Bolton-le-Sands and Bolton (a larger town further east than Bolton-le-Sands, now within Greater Manchester) have both been categorised under the single name ‘Bolton’. There are at least thirty more will and inventory pairs available for Bolton-le-Sands townships that have not been included in the wider survey, but without examining every will it is not possible to state the total number </w:t>
      </w:r>
      <w:r w:rsidRPr="00675415">
        <w:t>that survive.</w:t>
      </w:r>
    </w:p>
  </w:footnote>
  <w:footnote w:id="301">
    <w:p w14:paraId="74F148AA" w14:textId="789EBE40" w:rsidR="00220A86" w:rsidRDefault="00220A86" w:rsidP="00220A86">
      <w:pPr>
        <w:pStyle w:val="FootnoteText"/>
      </w:pPr>
      <w:r>
        <w:rPr>
          <w:rStyle w:val="FootnoteReference"/>
        </w:rPr>
        <w:footnoteRef/>
      </w:r>
      <w:r>
        <w:t xml:space="preserve"> </w:t>
      </w:r>
      <w:r w:rsidRPr="00EE7C98">
        <w:t xml:space="preserve">Mark Overton, Jane Whittle, Darron Dean, Andrew Hann, </w:t>
      </w:r>
      <w:r w:rsidRPr="00EE7C98">
        <w:rPr>
          <w:i/>
          <w:iCs/>
        </w:rPr>
        <w:t xml:space="preserve">Production and Consumption in English Households, 1600-1750, </w:t>
      </w:r>
      <w:r w:rsidRPr="00EE7C98">
        <w:t>(Abingdon, 2004)</w:t>
      </w:r>
      <w:r>
        <w:t>, p.26</w:t>
      </w:r>
      <w:r w:rsidR="00D911C8">
        <w:t>.</w:t>
      </w:r>
    </w:p>
  </w:footnote>
  <w:footnote w:id="302">
    <w:p w14:paraId="677D9B5D" w14:textId="77777777" w:rsidR="00220A86" w:rsidRDefault="00220A86" w:rsidP="00220A86">
      <w:pPr>
        <w:pStyle w:val="FootnoteText"/>
      </w:pPr>
      <w:r>
        <w:rPr>
          <w:rStyle w:val="FootnoteReference"/>
        </w:rPr>
        <w:footnoteRef/>
      </w:r>
      <w:r>
        <w:t xml:space="preserve"> Since the core sample comprises both people and inscribed properties, ‘inscribers’ is a useful way of distinguishing between buildings and the people who commissioned inscriptions upon them.</w:t>
      </w:r>
    </w:p>
  </w:footnote>
  <w:footnote w:id="303">
    <w:p w14:paraId="58BE377E" w14:textId="7CF593A2" w:rsidR="00220A86" w:rsidRDefault="00220A86" w:rsidP="00220A86">
      <w:pPr>
        <w:pStyle w:val="FootnoteText"/>
      </w:pPr>
      <w:r>
        <w:rPr>
          <w:rStyle w:val="FootnoteReference"/>
        </w:rPr>
        <w:footnoteRef/>
      </w:r>
      <w:r>
        <w:t xml:space="preserve"> </w:t>
      </w:r>
      <w:r w:rsidRPr="004E7A94">
        <w:rPr>
          <w:rStyle w:val="normaltextrun"/>
          <w:rFonts w:cs="Calibri"/>
          <w:color w:val="000000"/>
          <w:shd w:val="clear" w:color="auto" w:fill="FFFFFF"/>
        </w:rPr>
        <w:t xml:space="preserve">Carmel Biggs, ‘Early modern Blakesley: a study based on wills 1543-1700', </w:t>
      </w:r>
      <w:r w:rsidRPr="004E7A94">
        <w:rPr>
          <w:rStyle w:val="normaltextrun"/>
          <w:rFonts w:cs="Calibri"/>
          <w:i/>
          <w:iCs/>
          <w:color w:val="000000"/>
          <w:shd w:val="clear" w:color="auto" w:fill="FFFFFF"/>
        </w:rPr>
        <w:t xml:space="preserve">Northamptonshire Past and Present, </w:t>
      </w:r>
      <w:r w:rsidRPr="004E7A94">
        <w:rPr>
          <w:rStyle w:val="normaltextrun"/>
          <w:rFonts w:cs="Calibri"/>
          <w:color w:val="000000"/>
          <w:shd w:val="clear" w:color="auto" w:fill="FFFFFF"/>
        </w:rPr>
        <w:t>Vol. 58, (2005),</w:t>
      </w:r>
      <w:r w:rsidRPr="004E7A94">
        <w:rPr>
          <w:rStyle w:val="normaltextrun"/>
          <w:rFonts w:cs="Calibri"/>
          <w:i/>
          <w:iCs/>
          <w:color w:val="000000"/>
          <w:shd w:val="clear" w:color="auto" w:fill="FFFFFF"/>
        </w:rPr>
        <w:t> </w:t>
      </w:r>
      <w:r w:rsidRPr="004E7A94">
        <w:rPr>
          <w:rStyle w:val="normaltextrun"/>
          <w:rFonts w:cs="Calibri"/>
          <w:color w:val="000000"/>
          <w:shd w:val="clear" w:color="auto" w:fill="FFFFFF"/>
        </w:rPr>
        <w:t>pp.37-53</w:t>
      </w:r>
      <w:r>
        <w:rPr>
          <w:rStyle w:val="normaltextrun"/>
          <w:rFonts w:cs="Calibri"/>
          <w:color w:val="000000"/>
          <w:shd w:val="clear" w:color="auto" w:fill="FFFFFF"/>
        </w:rPr>
        <w:t xml:space="preserve">; </w:t>
      </w:r>
      <w:r w:rsidR="00B574F5" w:rsidRPr="00B574F5">
        <w:rPr>
          <w:rFonts w:cs="Calibri"/>
          <w:color w:val="000000"/>
          <w:shd w:val="clear" w:color="auto" w:fill="FFFFFF"/>
          <w:lang w:val="en-US"/>
        </w:rPr>
        <w:t xml:space="preserve">Tony </w:t>
      </w:r>
      <w:r w:rsidR="00B574F5">
        <w:rPr>
          <w:rFonts w:cs="Calibri"/>
          <w:color w:val="000000"/>
          <w:shd w:val="clear" w:color="auto" w:fill="FFFFFF"/>
          <w:lang w:val="en-US"/>
        </w:rPr>
        <w:t xml:space="preserve">Wrigley </w:t>
      </w:r>
      <w:r w:rsidR="00B574F5" w:rsidRPr="00B574F5">
        <w:rPr>
          <w:rFonts w:cs="Calibri"/>
          <w:color w:val="000000"/>
          <w:shd w:val="clear" w:color="auto" w:fill="FFFFFF"/>
          <w:lang w:val="en-US"/>
        </w:rPr>
        <w:t xml:space="preserve">and Roger Schoﬁeld, </w:t>
      </w:r>
      <w:r w:rsidR="00B574F5" w:rsidRPr="00B574F5">
        <w:rPr>
          <w:rFonts w:cs="Calibri"/>
          <w:i/>
          <w:iCs/>
          <w:color w:val="000000"/>
          <w:shd w:val="clear" w:color="auto" w:fill="FFFFFF"/>
          <w:lang w:val="en-US"/>
        </w:rPr>
        <w:t>The Population History of England, 1541–1871: A</w:t>
      </w:r>
      <w:r w:rsidR="00B574F5" w:rsidRPr="00B574F5">
        <w:rPr>
          <w:rFonts w:cs="Calibri"/>
          <w:color w:val="000000"/>
          <w:shd w:val="clear" w:color="auto" w:fill="FFFFFF"/>
          <w:lang w:val="en-US"/>
        </w:rPr>
        <w:t xml:space="preserve"> </w:t>
      </w:r>
      <w:r w:rsidR="00B574F5" w:rsidRPr="00B574F5">
        <w:rPr>
          <w:rFonts w:cs="Calibri"/>
          <w:i/>
          <w:iCs/>
          <w:color w:val="000000"/>
          <w:shd w:val="clear" w:color="auto" w:fill="FFFFFF"/>
          <w:lang w:val="en-US"/>
        </w:rPr>
        <w:t>Reconstruction,</w:t>
      </w:r>
      <w:r w:rsidR="00B574F5" w:rsidRPr="00B574F5">
        <w:rPr>
          <w:rFonts w:cs="Calibri"/>
          <w:color w:val="000000"/>
          <w:shd w:val="clear" w:color="auto" w:fill="FFFFFF"/>
          <w:lang w:val="en-US"/>
        </w:rPr>
        <w:t xml:space="preserve"> (Cambridge, 1981)</w:t>
      </w:r>
      <w:r w:rsidR="00D911C8">
        <w:rPr>
          <w:rFonts w:cs="Calibri"/>
          <w:color w:val="000000"/>
          <w:shd w:val="clear" w:color="auto" w:fill="FFFFFF"/>
          <w:lang w:val="en-US"/>
        </w:rPr>
        <w:t>.</w:t>
      </w:r>
    </w:p>
  </w:footnote>
  <w:footnote w:id="304">
    <w:p w14:paraId="1463CE84" w14:textId="742DADC0" w:rsidR="00220A86" w:rsidRPr="00340D04" w:rsidRDefault="00220A86" w:rsidP="00220A86">
      <w:pPr>
        <w:pStyle w:val="FootnoteText"/>
      </w:pPr>
      <w:r>
        <w:rPr>
          <w:rStyle w:val="FootnoteReference"/>
        </w:rPr>
        <w:footnoteRef/>
      </w:r>
      <w:r>
        <w:t xml:space="preserve"> Frank Renaud, </w:t>
      </w:r>
      <w:r>
        <w:rPr>
          <w:i/>
          <w:iCs/>
        </w:rPr>
        <w:t xml:space="preserve">Contributions Towards a History of the Ancient Parish of Prestbury: in Cheshire, </w:t>
      </w:r>
      <w:r>
        <w:t>(Manchester, 1876), p.9</w:t>
      </w:r>
      <w:r w:rsidR="00D911C8">
        <w:t>.</w:t>
      </w:r>
    </w:p>
  </w:footnote>
  <w:footnote w:id="305">
    <w:p w14:paraId="53F66D73" w14:textId="176FA15A" w:rsidR="00220A86" w:rsidRPr="00383666" w:rsidRDefault="00220A86" w:rsidP="00220A86">
      <w:pPr>
        <w:pStyle w:val="FootnoteText"/>
      </w:pPr>
      <w:r>
        <w:rPr>
          <w:rStyle w:val="FootnoteReference"/>
        </w:rPr>
        <w:footnoteRef/>
      </w:r>
      <w:r>
        <w:t xml:space="preserve"> R. B. Walker, ‘Religious changes in Cheshire, 1750-1850’, </w:t>
      </w:r>
      <w:r>
        <w:rPr>
          <w:i/>
          <w:iCs/>
        </w:rPr>
        <w:t xml:space="preserve">The Journal of Ecclesiastical History, </w:t>
      </w:r>
      <w:r>
        <w:t>Vol. 17, No. 1, (1966), pp.77-94, p.81</w:t>
      </w:r>
      <w:r w:rsidR="00D911C8">
        <w:t>.</w:t>
      </w:r>
    </w:p>
  </w:footnote>
  <w:footnote w:id="306">
    <w:p w14:paraId="2FD1CA44" w14:textId="308DC440" w:rsidR="00220A86" w:rsidRDefault="00220A86" w:rsidP="00220A86">
      <w:pPr>
        <w:pStyle w:val="FootnoteText"/>
      </w:pPr>
      <w:r>
        <w:rPr>
          <w:rStyle w:val="FootnoteReference"/>
        </w:rPr>
        <w:footnoteRef/>
      </w:r>
      <w:r>
        <w:t xml:space="preserve"> </w:t>
      </w:r>
      <w:r w:rsidRPr="004F5B3D">
        <w:t xml:space="preserve">Jonathan Barry and Elizabeth Parkinson, ‘Part I: Bristol hearth tax: 1662-1689’, in Roger Leech, Jonathan Barry, Alison Brown and Elizabeth Parkinson (eds), </w:t>
      </w:r>
      <w:r w:rsidRPr="004F5B3D">
        <w:rPr>
          <w:i/>
          <w:iCs/>
        </w:rPr>
        <w:t xml:space="preserve">The Bristol Hearth Tax, 1662-1673, </w:t>
      </w:r>
      <w:r w:rsidRPr="004F5B3D">
        <w:t>(Bristol, 2017), pp.8-40</w:t>
      </w:r>
      <w:r>
        <w:t>, p.8</w:t>
      </w:r>
      <w:r w:rsidR="00D911C8">
        <w:t>.</w:t>
      </w:r>
    </w:p>
  </w:footnote>
  <w:footnote w:id="307">
    <w:p w14:paraId="1E49655A" w14:textId="49AE9AD3" w:rsidR="00220A86" w:rsidRPr="00836D7D" w:rsidRDefault="00220A86" w:rsidP="00220A86">
      <w:pPr>
        <w:pStyle w:val="FootnoteText"/>
      </w:pPr>
      <w:r>
        <w:rPr>
          <w:rStyle w:val="FootnoteReference"/>
        </w:rPr>
        <w:footnoteRef/>
      </w:r>
      <w:r>
        <w:t xml:space="preserve"> Ibid., p.8</w:t>
      </w:r>
      <w:r w:rsidR="00D911C8">
        <w:t>.</w:t>
      </w:r>
    </w:p>
  </w:footnote>
  <w:footnote w:id="308">
    <w:p w14:paraId="00C1EE96" w14:textId="4A7666BF" w:rsidR="00220A86" w:rsidRDefault="00220A86" w:rsidP="00220A86">
      <w:pPr>
        <w:pStyle w:val="FootnoteText"/>
      </w:pPr>
      <w:r>
        <w:rPr>
          <w:rStyle w:val="FootnoteReference"/>
        </w:rPr>
        <w:footnoteRef/>
      </w:r>
      <w:r>
        <w:t xml:space="preserve"> Adrian Green, ‘Heartless and unhomely? Dwellings of the poor in East Anglia and north-east England’, in Joanne McEwan and Pamela Sharpe (eds), </w:t>
      </w:r>
      <w:r>
        <w:rPr>
          <w:i/>
          <w:iCs/>
        </w:rPr>
        <w:t xml:space="preserve">Accommodating Poverty: The House and Living Arrangements of the English Poor, c. 1600-1850’, </w:t>
      </w:r>
      <w:r>
        <w:t>(London, 2011), pp.69-101, p.72</w:t>
      </w:r>
      <w:r w:rsidR="00D911C8">
        <w:t>.</w:t>
      </w:r>
    </w:p>
  </w:footnote>
  <w:footnote w:id="309">
    <w:p w14:paraId="2AEAAF82" w14:textId="3B507BEA" w:rsidR="00220A86" w:rsidRDefault="00220A86" w:rsidP="00220A86">
      <w:pPr>
        <w:pStyle w:val="FootnoteText"/>
      </w:pPr>
      <w:r>
        <w:rPr>
          <w:rStyle w:val="FootnoteReference"/>
        </w:rPr>
        <w:footnoteRef/>
      </w:r>
      <w:r>
        <w:t xml:space="preserve"> </w:t>
      </w:r>
      <w:r w:rsidRPr="005C0FB1">
        <w:t xml:space="preserve">Chris Husbands, ‘Hearth tax exemption figures and assessment of poverty in the seventeenth-century economy’, in Nick Alldridge (ed.), </w:t>
      </w:r>
      <w:r w:rsidRPr="005C0FB1">
        <w:rPr>
          <w:i/>
          <w:iCs/>
        </w:rPr>
        <w:t xml:space="preserve">The Hearth Tax: Problems and Possibilities, </w:t>
      </w:r>
      <w:r w:rsidRPr="005C0FB1">
        <w:t>(Hull, 1983)</w:t>
      </w:r>
      <w:r w:rsidRPr="005C0FB1">
        <w:rPr>
          <w:i/>
          <w:iCs/>
        </w:rPr>
        <w:t xml:space="preserve">, </w:t>
      </w:r>
      <w:r w:rsidRPr="005C0FB1">
        <w:t>pp.45-58</w:t>
      </w:r>
      <w:r w:rsidR="00D911C8">
        <w:t>.</w:t>
      </w:r>
    </w:p>
  </w:footnote>
  <w:footnote w:id="310">
    <w:p w14:paraId="085BDEDB" w14:textId="19AE8146" w:rsidR="00220A86" w:rsidRDefault="00220A86" w:rsidP="00220A86">
      <w:pPr>
        <w:pStyle w:val="FootnoteText"/>
      </w:pPr>
      <w:r>
        <w:rPr>
          <w:rStyle w:val="FootnoteReference"/>
        </w:rPr>
        <w:footnoteRef/>
      </w:r>
      <w:r>
        <w:t xml:space="preserve"> </w:t>
      </w:r>
      <w:r w:rsidRPr="005C0FB1">
        <w:t xml:space="preserve">Grace M. Wyatt, ‘Nantwich and </w:t>
      </w:r>
      <w:proofErr w:type="spellStart"/>
      <w:r w:rsidRPr="005C0FB1">
        <w:t>Wybunbury</w:t>
      </w:r>
      <w:proofErr w:type="spellEnd"/>
      <w:r w:rsidRPr="005C0FB1">
        <w:t xml:space="preserve">, 1680-1819: a demographic study of two Cheshire parishes’, </w:t>
      </w:r>
      <w:r w:rsidR="006D0B77">
        <w:rPr>
          <w:i/>
          <w:iCs/>
        </w:rPr>
        <w:t xml:space="preserve">Transactions of the Historic Society of Lancashire and Cheshire, </w:t>
      </w:r>
      <w:r w:rsidR="00961FD3">
        <w:t>Vol. 139, No. 2, (</w:t>
      </w:r>
      <w:r w:rsidR="002C0ECC">
        <w:t>1989)</w:t>
      </w:r>
      <w:r w:rsidR="006D0B77">
        <w:t xml:space="preserve">, pp.1-30, </w:t>
      </w:r>
      <w:r w:rsidRPr="005C0FB1">
        <w:t>p.6</w:t>
      </w:r>
      <w:r>
        <w:t xml:space="preserve">; Wrigley and Schofield, </w:t>
      </w:r>
      <w:r w:rsidRPr="007515B3">
        <w:rPr>
          <w:i/>
        </w:rPr>
        <w:t>Population History</w:t>
      </w:r>
      <w:r w:rsidR="00D911C8">
        <w:rPr>
          <w:i/>
        </w:rPr>
        <w:t>.</w:t>
      </w:r>
    </w:p>
  </w:footnote>
  <w:footnote w:id="311">
    <w:p w14:paraId="47812142" w14:textId="56A215EC" w:rsidR="00220A86" w:rsidRDefault="00220A86" w:rsidP="00220A86">
      <w:pPr>
        <w:pStyle w:val="FootnoteText"/>
      </w:pPr>
      <w:r>
        <w:rPr>
          <w:rStyle w:val="FootnoteReference"/>
        </w:rPr>
        <w:footnoteRef/>
      </w:r>
      <w:r>
        <w:t xml:space="preserve"> </w:t>
      </w:r>
      <w:r w:rsidRPr="009B3256">
        <w:t>Karen O’Brien, ‘Companions of heart and hearth: hardship and the changing structure of the family in early modern English townships’, Journal of Family History, Vol. 39, No. 3, (2014), pp.183-203</w:t>
      </w:r>
      <w:r w:rsidR="00D911C8">
        <w:t>.</w:t>
      </w:r>
    </w:p>
  </w:footnote>
  <w:footnote w:id="312">
    <w:p w14:paraId="3FE5AAD2" w14:textId="232FE11E" w:rsidR="00220A86" w:rsidRDefault="00220A86" w:rsidP="00220A86">
      <w:pPr>
        <w:pStyle w:val="FootnoteText"/>
      </w:pPr>
      <w:r>
        <w:rPr>
          <w:rStyle w:val="FootnoteReference"/>
        </w:rPr>
        <w:footnoteRef/>
      </w:r>
      <w:r>
        <w:t xml:space="preserve"> Ibid., p.186</w:t>
      </w:r>
      <w:r w:rsidR="00D911C8">
        <w:t>.</w:t>
      </w:r>
    </w:p>
  </w:footnote>
  <w:footnote w:id="313">
    <w:p w14:paraId="68D7012B" w14:textId="595246D4" w:rsidR="00220A86" w:rsidRDefault="00220A86" w:rsidP="00220A86">
      <w:pPr>
        <w:pStyle w:val="FootnoteText"/>
      </w:pPr>
      <w:r>
        <w:rPr>
          <w:rStyle w:val="FootnoteReference"/>
        </w:rPr>
        <w:footnoteRef/>
      </w:r>
      <w:r>
        <w:t xml:space="preserve"> </w:t>
      </w:r>
      <w:r w:rsidR="008B6962">
        <w:t xml:space="preserve">The </w:t>
      </w:r>
      <w:r>
        <w:t>National Archives</w:t>
      </w:r>
      <w:r w:rsidR="008B6962">
        <w:t xml:space="preserve"> (hereafter TNA)</w:t>
      </w:r>
      <w:r>
        <w:t>: E179/250/11 Part 1, Hearth Tax Assessment for Lancashire, Lonsdale Hundred, 19 April 1664, rot 2, rot 3, rot 14d, rot 15 Nether Kellet</w:t>
      </w:r>
      <w:r w:rsidR="00D911C8">
        <w:t>.</w:t>
      </w:r>
    </w:p>
  </w:footnote>
  <w:footnote w:id="314">
    <w:p w14:paraId="1B54C862" w14:textId="447405A9" w:rsidR="00220A86" w:rsidRDefault="00220A86" w:rsidP="00220A86">
      <w:pPr>
        <w:pStyle w:val="FootnoteText"/>
      </w:pPr>
      <w:r>
        <w:rPr>
          <w:rStyle w:val="FootnoteReference"/>
        </w:rPr>
        <w:footnoteRef/>
      </w:r>
      <w:r>
        <w:t xml:space="preserve"> </w:t>
      </w:r>
      <w:r w:rsidR="008B6962">
        <w:t>TNA</w:t>
      </w:r>
      <w:r>
        <w:t>: E179/244/34 Part 1, Hearth Tax Assessment for Cheshire, Macclesfield Hundred, 26 March – 11 June 1663, f 4</w:t>
      </w:r>
      <w:r w:rsidR="00D911C8">
        <w:t>.</w:t>
      </w:r>
    </w:p>
  </w:footnote>
  <w:footnote w:id="315">
    <w:p w14:paraId="1E981173" w14:textId="77777777" w:rsidR="00220A86" w:rsidRDefault="00220A86" w:rsidP="00220A86">
      <w:pPr>
        <w:pStyle w:val="FootnoteText"/>
      </w:pPr>
      <w:r>
        <w:rPr>
          <w:rStyle w:val="FootnoteReference"/>
        </w:rPr>
        <w:footnoteRef/>
      </w:r>
      <w:r>
        <w:t xml:space="preserve"> </w:t>
      </w:r>
      <w:r w:rsidRPr="0046560E">
        <w:t xml:space="preserve">Tom Arkell, ‘Multiplying factors for estimating population totals from the hearth tax’, </w:t>
      </w:r>
      <w:r w:rsidRPr="0046560E">
        <w:rPr>
          <w:i/>
          <w:iCs/>
        </w:rPr>
        <w:t xml:space="preserve">Local Population Studies, </w:t>
      </w:r>
      <w:r w:rsidRPr="0046560E">
        <w:t>No. 28, (1982), pp.51-57, p.54</w:t>
      </w:r>
      <w:r>
        <w:t>: Arkell has also argued that London was the exception to this rule, since households there consistently had more residents than anywhere else in England.</w:t>
      </w:r>
    </w:p>
  </w:footnote>
  <w:footnote w:id="316">
    <w:p w14:paraId="4AE224F2" w14:textId="320A0BA6" w:rsidR="00220A86" w:rsidRDefault="00220A86" w:rsidP="00220A86">
      <w:pPr>
        <w:pStyle w:val="FootnoteText"/>
      </w:pPr>
      <w:r>
        <w:rPr>
          <w:rStyle w:val="FootnoteReference"/>
        </w:rPr>
        <w:footnoteRef/>
      </w:r>
      <w:r>
        <w:t xml:space="preserve"> O’Brien, ‘Companions’, p.186</w:t>
      </w:r>
      <w:r w:rsidR="00D911C8">
        <w:t>.</w:t>
      </w:r>
    </w:p>
  </w:footnote>
  <w:footnote w:id="317">
    <w:p w14:paraId="60B02C48" w14:textId="466D9E52" w:rsidR="00220A86" w:rsidRDefault="00220A86" w:rsidP="00220A86">
      <w:pPr>
        <w:pStyle w:val="FootnoteText"/>
      </w:pPr>
      <w:r>
        <w:rPr>
          <w:rStyle w:val="FootnoteReference"/>
        </w:rPr>
        <w:footnoteRef/>
      </w:r>
      <w:r>
        <w:t xml:space="preserve"> Ibid., p.188</w:t>
      </w:r>
      <w:r w:rsidR="00D911C8">
        <w:t>.</w:t>
      </w:r>
    </w:p>
  </w:footnote>
  <w:footnote w:id="318">
    <w:p w14:paraId="619FB439" w14:textId="765F8069" w:rsidR="00220A86" w:rsidRDefault="00220A86" w:rsidP="00220A86">
      <w:pPr>
        <w:pStyle w:val="FootnoteText"/>
      </w:pPr>
      <w:r>
        <w:rPr>
          <w:rStyle w:val="FootnoteReference"/>
        </w:rPr>
        <w:footnoteRef/>
      </w:r>
      <w:r>
        <w:t xml:space="preserve"> </w:t>
      </w:r>
      <w:proofErr w:type="spellStart"/>
      <w:r w:rsidRPr="00A941A0">
        <w:t>Garthine</w:t>
      </w:r>
      <w:proofErr w:type="spellEnd"/>
      <w:r w:rsidRPr="00A941A0">
        <w:t xml:space="preserve"> Walker, </w:t>
      </w:r>
      <w:r w:rsidRPr="00FF607E">
        <w:rPr>
          <w:i/>
          <w:iCs/>
        </w:rPr>
        <w:t>Crime, Gender and Social Order in Early Modern England</w:t>
      </w:r>
      <w:r w:rsidRPr="00A941A0">
        <w:t>, (Cambridge, 2003</w:t>
      </w:r>
      <w:r>
        <w:t>),</w:t>
      </w:r>
      <w:r w:rsidRPr="00A941A0">
        <w:rPr>
          <w:b/>
          <w:bCs/>
        </w:rPr>
        <w:t xml:space="preserve"> </w:t>
      </w:r>
      <w:r>
        <w:t>p.21</w:t>
      </w:r>
      <w:r w:rsidR="00D911C8">
        <w:t>.</w:t>
      </w:r>
    </w:p>
  </w:footnote>
  <w:footnote w:id="319">
    <w:p w14:paraId="46D1E864" w14:textId="48CE2711" w:rsidR="00220A86" w:rsidRDefault="00220A86" w:rsidP="00220A86">
      <w:pPr>
        <w:pStyle w:val="FootnoteText"/>
      </w:pPr>
      <w:r>
        <w:rPr>
          <w:rStyle w:val="FootnoteReference"/>
        </w:rPr>
        <w:footnoteRef/>
      </w:r>
      <w:r>
        <w:t xml:space="preserve"> Ibid., p.21</w:t>
      </w:r>
      <w:r w:rsidR="00D911C8">
        <w:t>.</w:t>
      </w:r>
    </w:p>
  </w:footnote>
  <w:footnote w:id="320">
    <w:p w14:paraId="7DCD1D90" w14:textId="27BD98CF" w:rsidR="00220A86" w:rsidRDefault="00220A86" w:rsidP="00220A86">
      <w:pPr>
        <w:pStyle w:val="FootnoteText"/>
      </w:pPr>
      <w:r>
        <w:rPr>
          <w:rStyle w:val="FootnoteReference"/>
        </w:rPr>
        <w:footnoteRef/>
      </w:r>
      <w:r>
        <w:t xml:space="preserve"> </w:t>
      </w:r>
      <w:r w:rsidRPr="00D108E7">
        <w:t>National Archives: E179/132/35</w:t>
      </w:r>
      <w:r>
        <w:t>5</w:t>
      </w:r>
      <w:r w:rsidRPr="00D108E7">
        <w:t>, Hearth Tax Assessment for Lancashire, Lonsdale Hundred,</w:t>
      </w:r>
      <w:r>
        <w:t xml:space="preserve"> 29 September 1673 – 19 November 1674,</w:t>
      </w:r>
      <w:r w:rsidRPr="00D108E7">
        <w:t xml:space="preserve"> </w:t>
      </w:r>
      <w:r>
        <w:t>rot 7</w:t>
      </w:r>
      <w:r w:rsidR="00D911C8">
        <w:t>.</w:t>
      </w:r>
    </w:p>
  </w:footnote>
  <w:footnote w:id="321">
    <w:p w14:paraId="40F42A54" w14:textId="2F9C0AAD" w:rsidR="00220A86" w:rsidRDefault="00220A86" w:rsidP="00220A86">
      <w:pPr>
        <w:pStyle w:val="FootnoteText"/>
      </w:pPr>
      <w:r>
        <w:rPr>
          <w:rStyle w:val="FootnoteReference"/>
        </w:rPr>
        <w:footnoteRef/>
      </w:r>
      <w:r>
        <w:t xml:space="preserve"> Nigel Goose, ‘How accurately to hearth tax returns reflect wealth? A discussion of some urban evidence’, </w:t>
      </w:r>
      <w:r>
        <w:rPr>
          <w:i/>
          <w:iCs/>
        </w:rPr>
        <w:t xml:space="preserve">Local Population Studies, </w:t>
      </w:r>
      <w:r>
        <w:t>Vol. 67, (2001),</w:t>
      </w:r>
      <w:r>
        <w:rPr>
          <w:i/>
          <w:iCs/>
        </w:rPr>
        <w:t xml:space="preserve"> </w:t>
      </w:r>
      <w:r>
        <w:t>pp.44-63, p.55</w:t>
      </w:r>
      <w:r w:rsidR="00D911C8">
        <w:t>.</w:t>
      </w:r>
    </w:p>
  </w:footnote>
  <w:footnote w:id="322">
    <w:p w14:paraId="7208ACA8" w14:textId="77777777" w:rsidR="00220A86" w:rsidRDefault="00220A86" w:rsidP="00220A86">
      <w:pPr>
        <w:pStyle w:val="FootnoteText"/>
      </w:pPr>
      <w:r>
        <w:rPr>
          <w:rStyle w:val="FootnoteReference"/>
        </w:rPr>
        <w:footnoteRef/>
      </w:r>
      <w:r>
        <w:t xml:space="preserve"> Dates for the latter are </w:t>
      </w:r>
      <w:proofErr w:type="gramStart"/>
      <w:r>
        <w:t>speculative</w:t>
      </w:r>
      <w:proofErr w:type="gramEnd"/>
      <w:r>
        <w:t xml:space="preserve"> and it is unclear whether they were produced in Michaelmas 1673 or at Lady Day in 1674.</w:t>
      </w:r>
    </w:p>
  </w:footnote>
  <w:footnote w:id="323">
    <w:p w14:paraId="51D4A88F" w14:textId="105261A6" w:rsidR="00220A86" w:rsidRDefault="00220A86" w:rsidP="00220A86">
      <w:pPr>
        <w:pStyle w:val="FootnoteText"/>
      </w:pPr>
      <w:r>
        <w:rPr>
          <w:rStyle w:val="FootnoteReference"/>
        </w:rPr>
        <w:footnoteRef/>
      </w:r>
      <w:r>
        <w:t xml:space="preserve"> </w:t>
      </w:r>
      <w:r w:rsidR="008B6962">
        <w:t>TNA</w:t>
      </w:r>
      <w:r>
        <w:t>: E179/</w:t>
      </w:r>
      <w:r w:rsidRPr="00035D9D">
        <w:t>86/141</w:t>
      </w:r>
      <w:r>
        <w:t>, Hearth Tax Assessment for Cheshire, Macclesfield Hundred, 14 October 1664 (or later), rot 15d</w:t>
      </w:r>
      <w:r w:rsidR="00D911C8">
        <w:t>.</w:t>
      </w:r>
    </w:p>
  </w:footnote>
  <w:footnote w:id="324">
    <w:p w14:paraId="665355C8" w14:textId="4378C5C4" w:rsidR="00220A86" w:rsidRDefault="00220A86" w:rsidP="00220A86">
      <w:pPr>
        <w:pStyle w:val="FootnoteText"/>
      </w:pPr>
      <w:r>
        <w:rPr>
          <w:rStyle w:val="FootnoteReference"/>
        </w:rPr>
        <w:footnoteRef/>
      </w:r>
      <w:r>
        <w:t xml:space="preserve"> </w:t>
      </w:r>
      <w:r w:rsidR="008B6962">
        <w:t>TNA</w:t>
      </w:r>
      <w:r>
        <w:t>:</w:t>
      </w:r>
      <w:r w:rsidRPr="00031E6F">
        <w:t xml:space="preserve"> E179/</w:t>
      </w:r>
      <w:r>
        <w:t>244/34 Part 1</w:t>
      </w:r>
      <w:r w:rsidRPr="00031E6F">
        <w:t>, Hearth Tax Assessment for Cheshire, Macclesfield Hundred,</w:t>
      </w:r>
      <w:r>
        <w:t xml:space="preserve"> 26 March – 11 June 1663, f 11v</w:t>
      </w:r>
      <w:r w:rsidR="00D911C8">
        <w:t>.</w:t>
      </w:r>
    </w:p>
  </w:footnote>
  <w:footnote w:id="325">
    <w:p w14:paraId="260EBFB6" w14:textId="0B47CD58" w:rsidR="00220A86" w:rsidRDefault="00220A86" w:rsidP="00220A86">
      <w:pPr>
        <w:pStyle w:val="FootnoteText"/>
      </w:pPr>
      <w:r>
        <w:rPr>
          <w:rStyle w:val="FootnoteReference"/>
        </w:rPr>
        <w:footnoteRef/>
      </w:r>
      <w:r>
        <w:t xml:space="preserve"> </w:t>
      </w:r>
      <w:r w:rsidR="00540005">
        <w:t>TNA</w:t>
      </w:r>
      <w:r>
        <w:t xml:space="preserve">: E179/86/153, </w:t>
      </w:r>
      <w:r w:rsidRPr="00863AB7">
        <w:t>Hearth Tax Assessment for Cheshire, Macclesfield Hundred</w:t>
      </w:r>
      <w:r>
        <w:t xml:space="preserve">, 29 September 1670 – 29 September 1671; </w:t>
      </w:r>
      <w:r w:rsidR="00F9453B">
        <w:t>TNA</w:t>
      </w:r>
      <w:r>
        <w:t xml:space="preserve">: E179/86/152 Part 2, </w:t>
      </w:r>
      <w:r w:rsidRPr="00EB4FDF">
        <w:t>Hearth Tax Assessment for Cheshire, Macclesfield Hundred</w:t>
      </w:r>
      <w:r>
        <w:t>, Exemption Certificates, 1 June 1672 – 10 April 1673, p.174</w:t>
      </w:r>
      <w:r w:rsidR="00D911C8">
        <w:t>.</w:t>
      </w:r>
    </w:p>
  </w:footnote>
  <w:footnote w:id="326">
    <w:p w14:paraId="1EDD6BBB" w14:textId="5C9D53FA" w:rsidR="00220A86" w:rsidRDefault="00220A86" w:rsidP="00220A86">
      <w:pPr>
        <w:pStyle w:val="FootnoteText"/>
      </w:pPr>
      <w:r>
        <w:rPr>
          <w:rStyle w:val="FootnoteReference"/>
        </w:rPr>
        <w:footnoteRef/>
      </w:r>
      <w:r>
        <w:t xml:space="preserve"> </w:t>
      </w:r>
      <w:r w:rsidR="00F9453B">
        <w:t>TNA</w:t>
      </w:r>
      <w:r>
        <w:t xml:space="preserve">: E179/86/155, </w:t>
      </w:r>
      <w:r w:rsidRPr="006B343C">
        <w:t>Hearth Tax Assessment for Cheshire, Macclesfield Hundred,</w:t>
      </w:r>
      <w:r>
        <w:t xml:space="preserve"> 25 March 1673 – 12 January 1675, f 171</w:t>
      </w:r>
      <w:r w:rsidR="00D911C8">
        <w:t>.</w:t>
      </w:r>
    </w:p>
  </w:footnote>
  <w:footnote w:id="327">
    <w:p w14:paraId="2F7AAAC5" w14:textId="1AAB81B4" w:rsidR="00220A86" w:rsidRDefault="00220A86" w:rsidP="00220A86">
      <w:pPr>
        <w:pStyle w:val="FootnoteText"/>
      </w:pPr>
      <w:r>
        <w:rPr>
          <w:rStyle w:val="FootnoteReference"/>
        </w:rPr>
        <w:footnoteRef/>
      </w:r>
      <w:r>
        <w:t xml:space="preserve"> </w:t>
      </w:r>
      <w:r w:rsidRPr="00EE7C98">
        <w:t xml:space="preserve">Mark Overton, Jane Whittle, Darron Dean, Andrew Hann, </w:t>
      </w:r>
      <w:r w:rsidRPr="00EE7C98">
        <w:rPr>
          <w:i/>
          <w:iCs/>
        </w:rPr>
        <w:t xml:space="preserve">Production and Consumption in English Households, 1600-1750, </w:t>
      </w:r>
      <w:r w:rsidRPr="00EE7C98">
        <w:t>(Abingdon, 2004)</w:t>
      </w:r>
      <w:r>
        <w:t>, p.26</w:t>
      </w:r>
      <w:r w:rsidR="00D911C8">
        <w:t>.</w:t>
      </w:r>
    </w:p>
  </w:footnote>
  <w:footnote w:id="328">
    <w:p w14:paraId="0FF60623" w14:textId="409B8EBD" w:rsidR="00220A86" w:rsidRDefault="00220A86" w:rsidP="00220A86">
      <w:pPr>
        <w:pStyle w:val="FootnoteText"/>
      </w:pPr>
      <w:r>
        <w:rPr>
          <w:rStyle w:val="FootnoteReference"/>
        </w:rPr>
        <w:footnoteRef/>
      </w:r>
      <w:r>
        <w:t xml:space="preserve"> Margaret </w:t>
      </w:r>
      <w:proofErr w:type="spellStart"/>
      <w:r>
        <w:t>Spufford</w:t>
      </w:r>
      <w:proofErr w:type="spellEnd"/>
      <w:r>
        <w:t xml:space="preserve">, ‘The limitations of the probate inventory’ in John Chartres and David Hey (eds), </w:t>
      </w:r>
      <w:r w:rsidRPr="00274C24">
        <w:rPr>
          <w:i/>
          <w:iCs/>
        </w:rPr>
        <w:t>English Rural Society, 1500–1800</w:t>
      </w:r>
      <w:r>
        <w:rPr>
          <w:i/>
          <w:iCs/>
        </w:rPr>
        <w:t xml:space="preserve">, </w:t>
      </w:r>
      <w:r>
        <w:t xml:space="preserve">(Cambridge, 1990), pp.139–74; Jeff Cox and Nancy Cox, ‘Probate 1500–1800: a system in transition’ in Tom Arkell, Nesta Evans and Nigel Goose (eds), </w:t>
      </w:r>
      <w:r w:rsidRPr="00281644">
        <w:rPr>
          <w:i/>
          <w:iCs/>
        </w:rPr>
        <w:t>When Death Do Us Part</w:t>
      </w:r>
      <w:r>
        <w:t xml:space="preserve"> (Oxford, 2000), pp.14–37</w:t>
      </w:r>
      <w:r w:rsidR="00D911C8">
        <w:t>.</w:t>
      </w:r>
    </w:p>
  </w:footnote>
  <w:footnote w:id="329">
    <w:p w14:paraId="6C561386" w14:textId="2ABFB2EA" w:rsidR="00220A86" w:rsidRDefault="00220A86" w:rsidP="00220A86">
      <w:pPr>
        <w:pStyle w:val="FootnoteText"/>
      </w:pPr>
      <w:r>
        <w:rPr>
          <w:rStyle w:val="FootnoteReference"/>
        </w:rPr>
        <w:footnoteRef/>
      </w:r>
      <w:r>
        <w:t xml:space="preserve"> J. S. Moore, ‘Probate inventories: problems and prospects’, in Philip Riden (ed.), </w:t>
      </w:r>
      <w:r>
        <w:rPr>
          <w:i/>
          <w:iCs/>
        </w:rPr>
        <w:t xml:space="preserve">Probate Records and the Local Community, </w:t>
      </w:r>
      <w:r>
        <w:t>(Gloucester, 1985), pp.11-28, p.12</w:t>
      </w:r>
      <w:r w:rsidR="00D911C8">
        <w:t>.</w:t>
      </w:r>
    </w:p>
  </w:footnote>
  <w:footnote w:id="330">
    <w:p w14:paraId="3D37FF54" w14:textId="173F9513" w:rsidR="00220A86" w:rsidRPr="00116A78" w:rsidRDefault="00220A86" w:rsidP="00220A86">
      <w:pPr>
        <w:pStyle w:val="FootnoteText"/>
      </w:pPr>
      <w:r>
        <w:rPr>
          <w:rStyle w:val="FootnoteReference"/>
        </w:rPr>
        <w:footnoteRef/>
      </w:r>
      <w:r>
        <w:t xml:space="preserve"> </w:t>
      </w:r>
      <w:proofErr w:type="spellStart"/>
      <w:r>
        <w:t>Spufford</w:t>
      </w:r>
      <w:proofErr w:type="spellEnd"/>
      <w:r>
        <w:t>, ‘Limitations’</w:t>
      </w:r>
      <w:r w:rsidR="00D911C8">
        <w:t>.</w:t>
      </w:r>
    </w:p>
  </w:footnote>
  <w:footnote w:id="331">
    <w:p w14:paraId="284B18E7" w14:textId="77777777" w:rsidR="00220A86" w:rsidRDefault="00220A86" w:rsidP="00220A86">
      <w:pPr>
        <w:pStyle w:val="FootnoteText"/>
      </w:pPr>
      <w:r>
        <w:rPr>
          <w:rStyle w:val="FootnoteReference"/>
        </w:rPr>
        <w:footnoteRef/>
      </w:r>
      <w:r>
        <w:t xml:space="preserve"> Assessed wealth is based on sums from inventories, calculated from estimations of the value of household goods, including money owed to the deceased has been included and subtracting any money owed by the deceased.</w:t>
      </w:r>
    </w:p>
  </w:footnote>
  <w:footnote w:id="332">
    <w:p w14:paraId="64071229" w14:textId="77777777" w:rsidR="00220A86" w:rsidRDefault="00220A86" w:rsidP="00220A86">
      <w:pPr>
        <w:pStyle w:val="FootnoteText"/>
      </w:pPr>
      <w:r>
        <w:rPr>
          <w:rStyle w:val="FootnoteReference"/>
        </w:rPr>
        <w:footnoteRef/>
      </w:r>
      <w:r>
        <w:t xml:space="preserve"> Five of the ten poorest testators in both parishes were women. Twelve of the twenty-five poorest testators in Bolton-le-Sands were women, while ten of the poorest twenty-five in Prestbury were women.</w:t>
      </w:r>
    </w:p>
  </w:footnote>
  <w:footnote w:id="333">
    <w:p w14:paraId="7E508A3B" w14:textId="7D46BA1D" w:rsidR="00220A86" w:rsidRDefault="00220A86" w:rsidP="00220A86">
      <w:pPr>
        <w:pStyle w:val="FootnoteText"/>
      </w:pPr>
      <w:r>
        <w:rPr>
          <w:rStyle w:val="FootnoteReference"/>
        </w:rPr>
        <w:footnoteRef/>
      </w:r>
      <w:r>
        <w:t xml:space="preserve"> Lancashire Archives</w:t>
      </w:r>
      <w:r w:rsidR="001442E5">
        <w:t xml:space="preserve"> (hereafter LA)</w:t>
      </w:r>
      <w:r>
        <w:t>: WRW/K/R613/47, Inventory of Agnes Ward of Over Kellet, spinster, 1719</w:t>
      </w:r>
      <w:r w:rsidR="00D911C8">
        <w:t>.</w:t>
      </w:r>
    </w:p>
  </w:footnote>
  <w:footnote w:id="334">
    <w:p w14:paraId="72D3E361" w14:textId="77777777" w:rsidR="00220A86" w:rsidRDefault="00220A86" w:rsidP="00220A86">
      <w:pPr>
        <w:pStyle w:val="FootnoteText"/>
      </w:pPr>
      <w:r>
        <w:rPr>
          <w:rStyle w:val="FootnoteReference"/>
        </w:rPr>
        <w:footnoteRef/>
      </w:r>
      <w:r>
        <w:t xml:space="preserve"> The two inscribers not necessarily inhabiting households headed by married men were Walter Cocke, who was undoubtedly unmarried when he inscribed Old Hal in 1715, and George Brocklehurst Senior, whose marital status when he inscribed Gap House in 1662 is unknown based on lack of evidence. </w:t>
      </w:r>
    </w:p>
  </w:footnote>
  <w:footnote w:id="335">
    <w:p w14:paraId="45C6FA72" w14:textId="1D5EDDED" w:rsidR="00220A86" w:rsidRDefault="00220A86" w:rsidP="00220A86">
      <w:pPr>
        <w:pStyle w:val="FootnoteText"/>
      </w:pPr>
      <w:r>
        <w:rPr>
          <w:rStyle w:val="FootnoteReference"/>
        </w:rPr>
        <w:footnoteRef/>
      </w:r>
      <w:r>
        <w:t xml:space="preserve"> Jane </w:t>
      </w:r>
      <w:r w:rsidRPr="00D54926">
        <w:t>Whittle,</w:t>
      </w:r>
      <w:r w:rsidRPr="00D54926">
        <w:rPr>
          <w:rFonts w:eastAsiaTheme="minorEastAsia" w:cs="Calibri"/>
          <w:color w:val="000000"/>
          <w:sz w:val="24"/>
          <w:szCs w:val="24"/>
          <w:shd w:val="clear" w:color="auto" w:fill="FFFFFF"/>
        </w:rPr>
        <w:t xml:space="preserve"> </w:t>
      </w:r>
      <w:r w:rsidRPr="00D54926">
        <w:t xml:space="preserve">‘Enterprising widows and active wives: women’s unpaid work in the household economy of early modern England’, </w:t>
      </w:r>
      <w:r w:rsidRPr="00D54926">
        <w:rPr>
          <w:i/>
          <w:iCs/>
        </w:rPr>
        <w:t xml:space="preserve">The History of the Family, </w:t>
      </w:r>
      <w:r w:rsidRPr="00D54926">
        <w:t>Vol. 19, No. 3, (2014), pp.283-300, p.190</w:t>
      </w:r>
      <w:r w:rsidR="00D911C8">
        <w:t>.</w:t>
      </w:r>
    </w:p>
  </w:footnote>
  <w:footnote w:id="336">
    <w:p w14:paraId="7D82CB24" w14:textId="5B749C72" w:rsidR="00220A86" w:rsidRDefault="00220A86" w:rsidP="00220A86">
      <w:pPr>
        <w:pStyle w:val="FootnoteText"/>
      </w:pPr>
      <w:r>
        <w:rPr>
          <w:rStyle w:val="FootnoteReference"/>
        </w:rPr>
        <w:footnoteRef/>
      </w:r>
      <w:r>
        <w:t xml:space="preserve"> </w:t>
      </w:r>
      <w:proofErr w:type="spellStart"/>
      <w:r w:rsidRPr="00307C08">
        <w:t>Antoinina</w:t>
      </w:r>
      <w:proofErr w:type="spellEnd"/>
      <w:r w:rsidRPr="00307C08">
        <w:t xml:space="preserve"> Bevan </w:t>
      </w:r>
      <w:proofErr w:type="spellStart"/>
      <w:r w:rsidRPr="00307C08">
        <w:t>Zletar</w:t>
      </w:r>
      <w:proofErr w:type="spellEnd"/>
      <w:r w:rsidRPr="00307C08">
        <w:t xml:space="preserve">, ‘Anne Clifford and her Bible’, </w:t>
      </w:r>
      <w:r w:rsidRPr="00307C08">
        <w:rPr>
          <w:i/>
          <w:iCs/>
        </w:rPr>
        <w:t xml:space="preserve">Studies in English Literature 1500-1900, </w:t>
      </w:r>
      <w:r w:rsidRPr="00307C08">
        <w:t>Vol. 57, No. 1, (2017), pp.157-180</w:t>
      </w:r>
      <w:r>
        <w:t>, p.161</w:t>
      </w:r>
      <w:r w:rsidR="00D911C8">
        <w:t>.</w:t>
      </w:r>
    </w:p>
  </w:footnote>
  <w:footnote w:id="337">
    <w:p w14:paraId="1DB81B37" w14:textId="23A2A8F8" w:rsidR="00220A86" w:rsidRDefault="00220A86" w:rsidP="00220A86">
      <w:pPr>
        <w:pStyle w:val="FootnoteText"/>
      </w:pPr>
      <w:r>
        <w:rPr>
          <w:rStyle w:val="FootnoteReference"/>
        </w:rPr>
        <w:footnoteRef/>
      </w:r>
      <w:r>
        <w:t xml:space="preserve"> Whittle, ‘Enterprising widows’, p.290</w:t>
      </w:r>
      <w:r w:rsidR="00D911C8">
        <w:t>.</w:t>
      </w:r>
    </w:p>
  </w:footnote>
  <w:footnote w:id="338">
    <w:p w14:paraId="3AF8DFA1" w14:textId="3238E69F" w:rsidR="00220A86" w:rsidRDefault="00220A86" w:rsidP="00220A86">
      <w:pPr>
        <w:pStyle w:val="FootnoteText"/>
      </w:pPr>
      <w:r>
        <w:rPr>
          <w:rStyle w:val="FootnoteReference"/>
        </w:rPr>
        <w:footnoteRef/>
      </w:r>
      <w:r>
        <w:t xml:space="preserve"> </w:t>
      </w:r>
      <w:r w:rsidRPr="00286BAE">
        <w:t xml:space="preserve">Walker, </w:t>
      </w:r>
      <w:r w:rsidRPr="00286BAE">
        <w:rPr>
          <w:i/>
          <w:iCs/>
        </w:rPr>
        <w:t xml:space="preserve">Crime, </w:t>
      </w:r>
      <w:r w:rsidRPr="00286BAE">
        <w:t>p.20</w:t>
      </w:r>
      <w:r w:rsidR="00D911C8">
        <w:t>.</w:t>
      </w:r>
    </w:p>
  </w:footnote>
  <w:footnote w:id="339">
    <w:p w14:paraId="78A7E460" w14:textId="4BF421E6" w:rsidR="00220A86" w:rsidRPr="00674A2E" w:rsidRDefault="00220A86" w:rsidP="00220A86">
      <w:pPr>
        <w:pStyle w:val="FootnoteText"/>
      </w:pPr>
      <w:r>
        <w:rPr>
          <w:rStyle w:val="FootnoteReference"/>
        </w:rPr>
        <w:footnoteRef/>
      </w:r>
      <w:r>
        <w:t xml:space="preserve"> </w:t>
      </w:r>
      <w:r w:rsidRPr="00674A2E">
        <w:t xml:space="preserve">Keith Wrightson, </w:t>
      </w:r>
      <w:r w:rsidRPr="00674A2E">
        <w:rPr>
          <w:i/>
          <w:iCs/>
        </w:rPr>
        <w:t xml:space="preserve">English Society, 1580-1680, </w:t>
      </w:r>
      <w:r w:rsidRPr="00674A2E">
        <w:t>(London, 2002)</w:t>
      </w:r>
      <w:r>
        <w:t>, p.33</w:t>
      </w:r>
      <w:r w:rsidR="00D911C8">
        <w:t>.</w:t>
      </w:r>
    </w:p>
  </w:footnote>
  <w:footnote w:id="340">
    <w:p w14:paraId="5BF11C40" w14:textId="6FC560F9" w:rsidR="00220A86" w:rsidRDefault="00220A86" w:rsidP="00220A86">
      <w:pPr>
        <w:pStyle w:val="FootnoteText"/>
      </w:pPr>
      <w:r>
        <w:rPr>
          <w:rStyle w:val="FootnoteReference"/>
        </w:rPr>
        <w:footnoteRef/>
      </w:r>
      <w:r>
        <w:t xml:space="preserve"> </w:t>
      </w:r>
      <w:r w:rsidR="00043D56">
        <w:t>LA</w:t>
      </w:r>
      <w:r>
        <w:t xml:space="preserve">: WRW/K/R490B/37, Inventory of John Wilson of Over Kellet, gentleman, 1706; </w:t>
      </w:r>
      <w:r w:rsidR="006F6FAB">
        <w:t>LA</w:t>
      </w:r>
      <w:r>
        <w:t xml:space="preserve">: WRW/K/R480C/28, Inventory of Robert Toulnson of </w:t>
      </w:r>
      <w:r w:rsidR="002438F7">
        <w:t>Bolton-le-Sands</w:t>
      </w:r>
      <w:r>
        <w:t>, gentleman, 1677</w:t>
      </w:r>
      <w:r w:rsidR="00D911C8">
        <w:t>.</w:t>
      </w:r>
    </w:p>
  </w:footnote>
  <w:footnote w:id="341">
    <w:p w14:paraId="4BD5BA50" w14:textId="02262A4B" w:rsidR="00220A86" w:rsidRPr="00463223" w:rsidRDefault="00220A86" w:rsidP="00220A86">
      <w:pPr>
        <w:pStyle w:val="FootnoteText"/>
      </w:pPr>
      <w:r>
        <w:rPr>
          <w:rStyle w:val="FootnoteReference"/>
        </w:rPr>
        <w:footnoteRef/>
      </w:r>
      <w:r>
        <w:t xml:space="preserve"> Wrightson, </w:t>
      </w:r>
      <w:r>
        <w:rPr>
          <w:i/>
          <w:iCs/>
        </w:rPr>
        <w:t xml:space="preserve">English Society, </w:t>
      </w:r>
      <w:r>
        <w:t>p.33</w:t>
      </w:r>
      <w:r w:rsidR="00D911C8">
        <w:t>.</w:t>
      </w:r>
    </w:p>
  </w:footnote>
  <w:footnote w:id="342">
    <w:p w14:paraId="61595A97" w14:textId="575941FF" w:rsidR="00220A86" w:rsidRDefault="00220A86" w:rsidP="00220A86">
      <w:pPr>
        <w:pStyle w:val="FootnoteText"/>
      </w:pPr>
      <w:r>
        <w:rPr>
          <w:rStyle w:val="FootnoteReference"/>
        </w:rPr>
        <w:footnoteRef/>
      </w:r>
      <w:r>
        <w:t xml:space="preserve"> LA: </w:t>
      </w:r>
      <w:r w:rsidRPr="00811710">
        <w:t>WRW/K/R409/B/48</w:t>
      </w:r>
      <w:r>
        <w:t>, Inventory of John Blackbourne of Over Kellet, yeoman, 1651</w:t>
      </w:r>
      <w:r w:rsidR="00D911C8">
        <w:t>.</w:t>
      </w:r>
    </w:p>
  </w:footnote>
  <w:footnote w:id="343">
    <w:p w14:paraId="3BF5304B" w14:textId="02718072" w:rsidR="00220A86" w:rsidRDefault="00220A86" w:rsidP="00220A86">
      <w:pPr>
        <w:pStyle w:val="FootnoteText"/>
      </w:pPr>
      <w:r>
        <w:rPr>
          <w:rStyle w:val="FootnoteReference"/>
        </w:rPr>
        <w:footnoteRef/>
      </w:r>
      <w:r>
        <w:t xml:space="preserve"> C</w:t>
      </w:r>
      <w:r w:rsidR="001E15DF">
        <w:t>heshire Record Office (hereafter CRO)</w:t>
      </w:r>
      <w:r>
        <w:t>: WS 1705, Inventory of Hugh Butler of Sutton, yeoman, 1705</w:t>
      </w:r>
      <w:r w:rsidR="00D911C8">
        <w:t>.</w:t>
      </w:r>
    </w:p>
  </w:footnote>
  <w:footnote w:id="344">
    <w:p w14:paraId="484A7421" w14:textId="35791D9B" w:rsidR="00220A86" w:rsidRPr="00FA4129" w:rsidRDefault="00220A86" w:rsidP="00220A86">
      <w:pPr>
        <w:pStyle w:val="FootnoteText"/>
      </w:pPr>
      <w:r>
        <w:rPr>
          <w:rStyle w:val="FootnoteReference"/>
        </w:rPr>
        <w:footnoteRef/>
      </w:r>
      <w:r>
        <w:t xml:space="preserve"> Peter </w:t>
      </w:r>
      <w:proofErr w:type="spellStart"/>
      <w:r>
        <w:t>Laslett</w:t>
      </w:r>
      <w:proofErr w:type="spellEnd"/>
      <w:r>
        <w:t xml:space="preserve">, </w:t>
      </w:r>
      <w:r>
        <w:rPr>
          <w:i/>
          <w:iCs/>
        </w:rPr>
        <w:t xml:space="preserve">The World We Have Lost: Further Explored, </w:t>
      </w:r>
      <w:r>
        <w:t>(London, 2000),</w:t>
      </w:r>
      <w:r>
        <w:rPr>
          <w:i/>
          <w:iCs/>
        </w:rPr>
        <w:t xml:space="preserve"> </w:t>
      </w:r>
      <w:r>
        <w:t>p.44</w:t>
      </w:r>
      <w:r w:rsidR="00D911C8">
        <w:t>.</w:t>
      </w:r>
    </w:p>
  </w:footnote>
  <w:footnote w:id="345">
    <w:p w14:paraId="6B55E962" w14:textId="0D314036" w:rsidR="00220A86" w:rsidRDefault="00220A86" w:rsidP="00220A86">
      <w:pPr>
        <w:pStyle w:val="FootnoteText"/>
      </w:pPr>
      <w:r>
        <w:rPr>
          <w:rStyle w:val="FootnoteReference"/>
        </w:rPr>
        <w:footnoteRef/>
      </w:r>
      <w:r>
        <w:t xml:space="preserve"> Wrightson, </w:t>
      </w:r>
      <w:r>
        <w:rPr>
          <w:i/>
          <w:iCs/>
        </w:rPr>
        <w:t xml:space="preserve">English Society, </w:t>
      </w:r>
      <w:r>
        <w:t>p.39</w:t>
      </w:r>
      <w:r w:rsidR="00D911C8">
        <w:t>.</w:t>
      </w:r>
    </w:p>
  </w:footnote>
  <w:footnote w:id="346">
    <w:p w14:paraId="59E734CF" w14:textId="1189358A" w:rsidR="00220A86" w:rsidRPr="00AF74D4" w:rsidRDefault="00220A86" w:rsidP="00220A86">
      <w:pPr>
        <w:pStyle w:val="FootnoteText"/>
      </w:pPr>
      <w:r>
        <w:rPr>
          <w:rStyle w:val="FootnoteReference"/>
        </w:rPr>
        <w:footnoteRef/>
      </w:r>
      <w:r>
        <w:t xml:space="preserve"> Ibid.</w:t>
      </w:r>
    </w:p>
  </w:footnote>
  <w:footnote w:id="347">
    <w:p w14:paraId="15E1CBBC" w14:textId="1463D05E" w:rsidR="00220A86" w:rsidRDefault="00220A86" w:rsidP="00220A86">
      <w:pPr>
        <w:pStyle w:val="FootnoteText"/>
      </w:pPr>
      <w:r>
        <w:rPr>
          <w:rStyle w:val="FootnoteReference"/>
        </w:rPr>
        <w:footnoteRef/>
      </w:r>
      <w:r>
        <w:t xml:space="preserve"> Ibid.</w:t>
      </w:r>
    </w:p>
  </w:footnote>
  <w:footnote w:id="348">
    <w:p w14:paraId="1251994E" w14:textId="1645B067" w:rsidR="00220A86" w:rsidRDefault="00220A86" w:rsidP="00220A86">
      <w:pPr>
        <w:pStyle w:val="FootnoteText"/>
      </w:pPr>
      <w:r>
        <w:rPr>
          <w:rStyle w:val="FootnoteReference"/>
        </w:rPr>
        <w:footnoteRef/>
      </w:r>
      <w:r>
        <w:t xml:space="preserve"> Ibid., p.41</w:t>
      </w:r>
      <w:r w:rsidR="00D911C8">
        <w:t>.</w:t>
      </w:r>
    </w:p>
  </w:footnote>
  <w:footnote w:id="349">
    <w:p w14:paraId="5F730D0A" w14:textId="77777777" w:rsidR="00220A86" w:rsidRDefault="00220A86" w:rsidP="00220A86">
      <w:pPr>
        <w:pStyle w:val="FootnoteText"/>
      </w:pPr>
      <w:r>
        <w:rPr>
          <w:rStyle w:val="FootnoteReference"/>
        </w:rPr>
        <w:footnoteRef/>
      </w:r>
      <w:r>
        <w:t xml:space="preserve"> Compared with </w:t>
      </w:r>
      <w:r w:rsidRPr="002D22F1">
        <w:t>Table 12,</w:t>
      </w:r>
      <w:r>
        <w:t xml:space="preserve"> t</w:t>
      </w:r>
      <w:r w:rsidRPr="0012519D">
        <w:t>he categories ‘professional’ and ‘labourer’ have both been removed, since these groups were absent among the core sample</w:t>
      </w:r>
      <w:r>
        <w:t>.</w:t>
      </w:r>
    </w:p>
  </w:footnote>
  <w:footnote w:id="350">
    <w:p w14:paraId="5BC83251" w14:textId="0A8D24F4" w:rsidR="00220A86" w:rsidRDefault="00220A86" w:rsidP="00220A86">
      <w:pPr>
        <w:pStyle w:val="FootnoteText"/>
      </w:pPr>
      <w:r>
        <w:rPr>
          <w:rStyle w:val="FootnoteReference"/>
        </w:rPr>
        <w:footnoteRef/>
      </w:r>
      <w:r>
        <w:t xml:space="preserve"> </w:t>
      </w:r>
      <w:r w:rsidR="00610401">
        <w:t>CRO</w:t>
      </w:r>
      <w:r w:rsidRPr="008C4AE8">
        <w:t>: WS 1719, Inventory of William Clewes of Langley, gentleman, 1719</w:t>
      </w:r>
      <w:r w:rsidR="00D911C8">
        <w:t>.</w:t>
      </w:r>
    </w:p>
  </w:footnote>
  <w:footnote w:id="351">
    <w:p w14:paraId="2A3F26AB" w14:textId="27B02354" w:rsidR="00220A86" w:rsidRDefault="00220A86" w:rsidP="00220A86">
      <w:pPr>
        <w:pStyle w:val="FootnoteText"/>
      </w:pPr>
      <w:r>
        <w:rPr>
          <w:rStyle w:val="FootnoteReference"/>
        </w:rPr>
        <w:footnoteRef/>
      </w:r>
      <w:r>
        <w:t xml:space="preserve"> </w:t>
      </w:r>
      <w:r w:rsidR="00722719">
        <w:t>LA</w:t>
      </w:r>
      <w:r>
        <w:t xml:space="preserve">: PR/3315/1/1, </w:t>
      </w:r>
      <w:r w:rsidR="00C92377">
        <w:rPr>
          <w:lang w:val="en-US"/>
        </w:rPr>
        <w:t>Parish Register of</w:t>
      </w:r>
      <w:r w:rsidR="00596027" w:rsidRPr="00596027">
        <w:rPr>
          <w:lang w:val="en-US"/>
        </w:rPr>
        <w:t xml:space="preserve"> Holy Trinity Church, Bolton-le-Sands</w:t>
      </w:r>
      <w:r>
        <w:t xml:space="preserve">, </w:t>
      </w:r>
      <w:r w:rsidRPr="004E70DA">
        <w:t xml:space="preserve">Baptism of Thomas Greene, 28 July 1681; </w:t>
      </w:r>
      <w:r w:rsidR="001338BE" w:rsidRPr="004E70DA">
        <w:t>LA</w:t>
      </w:r>
      <w:r w:rsidRPr="004E70DA">
        <w:t>: QSJ/8/22/1, Lancashire Quarter Sessions, Sacrament Certificate, 26 December 1686</w:t>
      </w:r>
      <w:r w:rsidR="00D911C8">
        <w:t>.</w:t>
      </w:r>
    </w:p>
  </w:footnote>
  <w:footnote w:id="352">
    <w:p w14:paraId="53BB2E69" w14:textId="2B4802F1" w:rsidR="00220A86" w:rsidRDefault="00220A86" w:rsidP="00220A86">
      <w:pPr>
        <w:pStyle w:val="FootnoteText"/>
      </w:pPr>
      <w:r>
        <w:rPr>
          <w:rStyle w:val="FootnoteReference"/>
        </w:rPr>
        <w:footnoteRef/>
      </w:r>
      <w:r>
        <w:t xml:space="preserve"> LA: WRW/A/R45A/32, Will of Robert Hawthornthwaite of Scorton, Garstang, 1686</w:t>
      </w:r>
      <w:r w:rsidR="00D911C8">
        <w:t>.</w:t>
      </w:r>
    </w:p>
  </w:footnote>
  <w:footnote w:id="353">
    <w:p w14:paraId="4EF04623" w14:textId="77777777" w:rsidR="00220A86" w:rsidRDefault="00220A86" w:rsidP="00220A86">
      <w:pPr>
        <w:pStyle w:val="FootnoteText"/>
      </w:pPr>
      <w:r>
        <w:rPr>
          <w:rStyle w:val="FootnoteReference"/>
        </w:rPr>
        <w:footnoteRef/>
      </w:r>
      <w:r>
        <w:t xml:space="preserve"> Ibid.</w:t>
      </w:r>
    </w:p>
  </w:footnote>
  <w:footnote w:id="354">
    <w:p w14:paraId="72BF9E4E" w14:textId="04A59E96" w:rsidR="00220A86" w:rsidRDefault="00220A86" w:rsidP="00220A86">
      <w:pPr>
        <w:pStyle w:val="FootnoteText"/>
      </w:pPr>
      <w:r>
        <w:rPr>
          <w:rStyle w:val="FootnoteReference"/>
        </w:rPr>
        <w:footnoteRef/>
      </w:r>
      <w:r>
        <w:t xml:space="preserve"> Whittle, ‘Enterprising </w:t>
      </w:r>
      <w:proofErr w:type="gramStart"/>
      <w:r>
        <w:t>widows’</w:t>
      </w:r>
      <w:proofErr w:type="gramEnd"/>
      <w:r w:rsidR="00D911C8">
        <w:t>.</w:t>
      </w:r>
    </w:p>
  </w:footnote>
  <w:footnote w:id="355">
    <w:p w14:paraId="3C28FE43" w14:textId="09992FAA" w:rsidR="00220A86" w:rsidRDefault="00220A86" w:rsidP="00220A86">
      <w:pPr>
        <w:pStyle w:val="FootnoteText"/>
      </w:pPr>
      <w:r>
        <w:rPr>
          <w:rStyle w:val="FootnoteReference"/>
        </w:rPr>
        <w:footnoteRef/>
      </w:r>
      <w:r>
        <w:t xml:space="preserve"> Erickson, </w:t>
      </w:r>
      <w:r>
        <w:rPr>
          <w:i/>
          <w:iCs/>
        </w:rPr>
        <w:t>Women and Property</w:t>
      </w:r>
      <w:r>
        <w:t>, p.193</w:t>
      </w:r>
      <w:r w:rsidR="00D911C8">
        <w:t>.</w:t>
      </w:r>
    </w:p>
  </w:footnote>
  <w:footnote w:id="356">
    <w:p w14:paraId="0BAF27C9" w14:textId="7E75D5D4" w:rsidR="00220A86" w:rsidRDefault="00220A86" w:rsidP="00220A86">
      <w:pPr>
        <w:pStyle w:val="FootnoteText"/>
      </w:pPr>
      <w:r>
        <w:rPr>
          <w:rStyle w:val="FootnoteReference"/>
        </w:rPr>
        <w:footnoteRef/>
      </w:r>
      <w:r>
        <w:t xml:space="preserve"> Whittle, ‘Enterprising widows’, p.292</w:t>
      </w:r>
      <w:r w:rsidR="00D911C8">
        <w:t>.</w:t>
      </w:r>
    </w:p>
  </w:footnote>
  <w:footnote w:id="357">
    <w:p w14:paraId="5995FC85" w14:textId="60C19B76" w:rsidR="00220A86" w:rsidRPr="00AB69FA" w:rsidRDefault="00220A86" w:rsidP="00220A86">
      <w:pPr>
        <w:pStyle w:val="FootnoteText"/>
      </w:pPr>
      <w:r>
        <w:rPr>
          <w:rStyle w:val="FootnoteReference"/>
        </w:rPr>
        <w:footnoteRef/>
      </w:r>
      <w:r>
        <w:t xml:space="preserve"> Garnett, </w:t>
      </w:r>
      <w:r>
        <w:rPr>
          <w:i/>
          <w:iCs/>
        </w:rPr>
        <w:t xml:space="preserve">Dated Buildings, </w:t>
      </w:r>
      <w:r>
        <w:t>p.21</w:t>
      </w:r>
      <w:r w:rsidR="00D911C8">
        <w:t>.</w:t>
      </w:r>
    </w:p>
  </w:footnote>
  <w:footnote w:id="358">
    <w:p w14:paraId="6A05647D" w14:textId="54C633CB" w:rsidR="00220A86" w:rsidRPr="00BC25E5" w:rsidRDefault="00220A86" w:rsidP="00220A86">
      <w:pPr>
        <w:pStyle w:val="FootnoteText"/>
      </w:pPr>
      <w:r>
        <w:rPr>
          <w:rStyle w:val="FootnoteReference"/>
        </w:rPr>
        <w:footnoteRef/>
      </w:r>
      <w:r>
        <w:t xml:space="preserve"> </w:t>
      </w:r>
      <w:r w:rsidRPr="00BC25E5">
        <w:rPr>
          <w:rStyle w:val="normaltextrun"/>
          <w:rFonts w:cs="Calibri"/>
          <w:color w:val="000000"/>
          <w:shd w:val="clear" w:color="auto" w:fill="FFFFFF"/>
        </w:rPr>
        <w:t xml:space="preserve">Jane Whittle, ‘Enterprising widows and active wives: women’s unpaid work in the household economy of early modern England’, </w:t>
      </w:r>
      <w:r w:rsidRPr="00BC25E5">
        <w:rPr>
          <w:rStyle w:val="normaltextrun"/>
          <w:rFonts w:cs="Calibri"/>
          <w:i/>
          <w:iCs/>
          <w:color w:val="000000"/>
          <w:shd w:val="clear" w:color="auto" w:fill="FFFFFF"/>
        </w:rPr>
        <w:t xml:space="preserve">The History of the Family, </w:t>
      </w:r>
      <w:r w:rsidRPr="00BC25E5">
        <w:rPr>
          <w:rStyle w:val="normaltextrun"/>
          <w:rFonts w:cs="Calibri"/>
          <w:color w:val="000000"/>
          <w:shd w:val="clear" w:color="auto" w:fill="FFFFFF"/>
        </w:rPr>
        <w:t>Vol. 19, No. 3, (2014), pp.283-300</w:t>
      </w:r>
      <w:r w:rsidR="00D911C8">
        <w:rPr>
          <w:rStyle w:val="normaltextrun"/>
          <w:rFonts w:cs="Calibri"/>
          <w:color w:val="000000"/>
          <w:shd w:val="clear" w:color="auto" w:fill="FFFFFF"/>
        </w:rPr>
        <w:t>.</w:t>
      </w:r>
    </w:p>
  </w:footnote>
  <w:footnote w:id="359">
    <w:p w14:paraId="6BECF802" w14:textId="52BDE4F0" w:rsidR="00220A86" w:rsidRDefault="00220A86" w:rsidP="00220A86">
      <w:pPr>
        <w:pStyle w:val="FootnoteText"/>
      </w:pPr>
      <w:r>
        <w:rPr>
          <w:rStyle w:val="FootnoteReference"/>
        </w:rPr>
        <w:footnoteRef/>
      </w:r>
      <w:r>
        <w:t xml:space="preserve"> Ibid., p.286</w:t>
      </w:r>
      <w:r w:rsidR="00D911C8">
        <w:t>.</w:t>
      </w:r>
    </w:p>
  </w:footnote>
  <w:footnote w:id="360">
    <w:p w14:paraId="7CF35471" w14:textId="5A049E22" w:rsidR="00220A86" w:rsidRDefault="00220A86" w:rsidP="00220A86">
      <w:pPr>
        <w:pStyle w:val="FootnoteText"/>
      </w:pPr>
      <w:r>
        <w:rPr>
          <w:rStyle w:val="FootnoteReference"/>
        </w:rPr>
        <w:footnoteRef/>
      </w:r>
      <w:r>
        <w:t xml:space="preserve"> Ibid., p.288</w:t>
      </w:r>
      <w:r w:rsidR="00D911C8">
        <w:t>.</w:t>
      </w:r>
    </w:p>
  </w:footnote>
  <w:footnote w:id="361">
    <w:p w14:paraId="1DFB6CA9" w14:textId="133B3C6F" w:rsidR="00220A86" w:rsidRDefault="00220A86" w:rsidP="00220A86">
      <w:pPr>
        <w:pStyle w:val="FootnoteText"/>
      </w:pPr>
      <w:r>
        <w:rPr>
          <w:rStyle w:val="FootnoteReference"/>
        </w:rPr>
        <w:footnoteRef/>
      </w:r>
      <w:r>
        <w:t xml:space="preserve"> </w:t>
      </w:r>
      <w:r w:rsidR="00D91DE0">
        <w:t>LA</w:t>
      </w:r>
      <w:r>
        <w:t>:</w:t>
      </w:r>
      <w:r w:rsidRPr="0093630B">
        <w:t xml:space="preserve"> </w:t>
      </w:r>
      <w:r>
        <w:t>WRW/K/R448B/29, Inventory of Thomas Jenkinson of Bolton-le-Sands, yeoman, 1684</w:t>
      </w:r>
      <w:r w:rsidR="00D911C8">
        <w:t>.</w:t>
      </w:r>
    </w:p>
  </w:footnote>
  <w:footnote w:id="362">
    <w:p w14:paraId="518461BD" w14:textId="77777777" w:rsidR="00220A86" w:rsidRDefault="00220A86" w:rsidP="00220A86">
      <w:pPr>
        <w:pStyle w:val="FootnoteText"/>
      </w:pPr>
      <w:r>
        <w:rPr>
          <w:rStyle w:val="FootnoteReference"/>
        </w:rPr>
        <w:footnoteRef/>
      </w:r>
      <w:r>
        <w:t xml:space="preserve"> ‘Livestock’ in this instance refers to all animals used in the production of foodstuffs (such as meat, dairy and honey) or textiles. Where </w:t>
      </w:r>
      <w:r w:rsidRPr="00526359">
        <w:t>only horses</w:t>
      </w:r>
      <w:r>
        <w:t xml:space="preserve"> were present (as in three Bolton-le-Sands inventories)</w:t>
      </w:r>
      <w:r w:rsidRPr="00526359">
        <w:t xml:space="preserve"> </w:t>
      </w:r>
      <w:r>
        <w:t>these documents have been excluded. Inventories from both areas itemised many different types of cattle, differentiated according to age as well as purpose. For data collection, calves, dairy cows, beef cattle, and working oxen have been grouped together.</w:t>
      </w:r>
    </w:p>
  </w:footnote>
  <w:footnote w:id="363">
    <w:p w14:paraId="5EA68166" w14:textId="628A1A28" w:rsidR="00220A86" w:rsidRDefault="00220A86" w:rsidP="00220A86">
      <w:pPr>
        <w:pStyle w:val="FootnoteText"/>
      </w:pPr>
      <w:r>
        <w:rPr>
          <w:rStyle w:val="FootnoteReference"/>
        </w:rPr>
        <w:footnoteRef/>
      </w:r>
      <w:r>
        <w:t xml:space="preserve"> Whittle, ‘Enterprising widows’, p.289</w:t>
      </w:r>
      <w:r w:rsidR="00D911C8">
        <w:t>.</w:t>
      </w:r>
    </w:p>
  </w:footnote>
  <w:footnote w:id="364">
    <w:p w14:paraId="34BF1BEB" w14:textId="671A5455" w:rsidR="00220A86" w:rsidRDefault="00220A86" w:rsidP="00220A86">
      <w:pPr>
        <w:pStyle w:val="FootnoteText"/>
      </w:pPr>
      <w:r>
        <w:rPr>
          <w:rStyle w:val="FootnoteReference"/>
        </w:rPr>
        <w:footnoteRef/>
      </w:r>
      <w:r>
        <w:t xml:space="preserve"> LA:</w:t>
      </w:r>
      <w:r w:rsidRPr="00B2064B">
        <w:t xml:space="preserve"> </w:t>
      </w:r>
      <w:r>
        <w:t xml:space="preserve">WRW/K/R416B/21, </w:t>
      </w:r>
      <w:r w:rsidRPr="00CE5A53">
        <w:t xml:space="preserve">Inventory of Nathan </w:t>
      </w:r>
      <w:proofErr w:type="spellStart"/>
      <w:r w:rsidRPr="00CE5A53">
        <w:t>Bethom</w:t>
      </w:r>
      <w:proofErr w:type="spellEnd"/>
      <w:r>
        <w:t xml:space="preserve"> of Bolton-le-Sands</w:t>
      </w:r>
      <w:r w:rsidRPr="00CE5A53">
        <w:t>,</w:t>
      </w:r>
      <w:r>
        <w:t xml:space="preserve"> yeoman,</w:t>
      </w:r>
      <w:r w:rsidRPr="00CE5A53">
        <w:t xml:space="preserve"> 1735</w:t>
      </w:r>
      <w:r w:rsidR="00D911C8">
        <w:t>.</w:t>
      </w:r>
    </w:p>
  </w:footnote>
  <w:footnote w:id="365">
    <w:p w14:paraId="229ED57F" w14:textId="78223EFB" w:rsidR="00220A86" w:rsidRDefault="00220A86" w:rsidP="00220A86">
      <w:pPr>
        <w:pStyle w:val="FootnoteText"/>
      </w:pPr>
      <w:r>
        <w:rPr>
          <w:rStyle w:val="FootnoteReference"/>
        </w:rPr>
        <w:footnoteRef/>
      </w:r>
      <w:r>
        <w:t xml:space="preserve"> </w:t>
      </w:r>
      <w:r w:rsidRPr="00B2064B">
        <w:t>L</w:t>
      </w:r>
      <w:r>
        <w:t>A:</w:t>
      </w:r>
      <w:r w:rsidRPr="00B2064B">
        <w:t xml:space="preserve"> </w:t>
      </w:r>
      <w:r>
        <w:t>WRW/K/R412A/42, I</w:t>
      </w:r>
      <w:r w:rsidRPr="00CE5A53">
        <w:t>nventory of James Bell</w:t>
      </w:r>
      <w:r>
        <w:t xml:space="preserve"> of</w:t>
      </w:r>
      <w:r w:rsidRPr="00CE5A53">
        <w:t xml:space="preserve"> Over Kellet,</w:t>
      </w:r>
      <w:r>
        <w:t xml:space="preserve"> yeoman,</w:t>
      </w:r>
      <w:r w:rsidRPr="00CE5A53">
        <w:t xml:space="preserve"> 1682</w:t>
      </w:r>
      <w:r w:rsidR="00D911C8">
        <w:t>.</w:t>
      </w:r>
    </w:p>
  </w:footnote>
  <w:footnote w:id="366">
    <w:p w14:paraId="42713BC8" w14:textId="54D717EC" w:rsidR="00220A86" w:rsidRDefault="00220A86" w:rsidP="00220A86">
      <w:pPr>
        <w:pStyle w:val="FootnoteText"/>
      </w:pPr>
      <w:r>
        <w:rPr>
          <w:rStyle w:val="FootnoteReference"/>
        </w:rPr>
        <w:footnoteRef/>
      </w:r>
      <w:r>
        <w:t xml:space="preserve"> </w:t>
      </w:r>
      <w:r w:rsidR="00604BF5">
        <w:t>CRO</w:t>
      </w:r>
      <w:r>
        <w:t xml:space="preserve">: WS 1726, </w:t>
      </w:r>
      <w:r w:rsidRPr="00AB6281">
        <w:t>Will of Thomas Frost</w:t>
      </w:r>
      <w:r>
        <w:t xml:space="preserve"> of Wildboarclough, yeoman, 1726</w:t>
      </w:r>
      <w:r w:rsidR="00D911C8">
        <w:t>.</w:t>
      </w:r>
    </w:p>
  </w:footnote>
  <w:footnote w:id="367">
    <w:p w14:paraId="0D0F4EE9" w14:textId="77777777" w:rsidR="00220A86" w:rsidRDefault="00220A86" w:rsidP="00220A86">
      <w:pPr>
        <w:pStyle w:val="FootnoteText"/>
      </w:pPr>
      <w:r>
        <w:rPr>
          <w:rStyle w:val="FootnoteReference"/>
        </w:rPr>
        <w:footnoteRef/>
      </w:r>
      <w:r>
        <w:t xml:space="preserve"> Collation has not been performed within the wider survey owing to the difficulty of assigning ownership categories to livestock farmers where evidence comes from wills alone.</w:t>
      </w:r>
    </w:p>
  </w:footnote>
  <w:footnote w:id="368">
    <w:p w14:paraId="1F52FFA9" w14:textId="35ACE313" w:rsidR="00220A86" w:rsidRDefault="00220A86" w:rsidP="00220A86">
      <w:pPr>
        <w:pStyle w:val="FootnoteText"/>
      </w:pPr>
      <w:r>
        <w:rPr>
          <w:rStyle w:val="FootnoteReference"/>
        </w:rPr>
        <w:footnoteRef/>
      </w:r>
      <w:r>
        <w:t xml:space="preserve"> </w:t>
      </w:r>
      <w:r w:rsidRPr="005A4399">
        <w:t xml:space="preserve">In any case, </w:t>
      </w:r>
      <w:proofErr w:type="spellStart"/>
      <w:r w:rsidRPr="005A4399">
        <w:t>Hawthornthwaite’s</w:t>
      </w:r>
      <w:proofErr w:type="spellEnd"/>
      <w:r w:rsidRPr="005A4399">
        <w:t xml:space="preserve"> inventory references only ‘one Cow </w:t>
      </w:r>
      <w:proofErr w:type="spellStart"/>
      <w:r w:rsidRPr="005A4399">
        <w:t>att</w:t>
      </w:r>
      <w:proofErr w:type="spellEnd"/>
      <w:r w:rsidRPr="005A4399">
        <w:t xml:space="preserve"> </w:t>
      </w:r>
      <w:proofErr w:type="spellStart"/>
      <w:r w:rsidRPr="005A4399">
        <w:t>Kellitt</w:t>
      </w:r>
      <w:proofErr w:type="spellEnd"/>
      <w:r w:rsidRPr="005A4399">
        <w:t xml:space="preserve">’, with the rest of his animals presumably at his primary residence in Scorton. Consequently, even if Hawthornthwaite were included in consideration, his stock within Bolton-le-Sands parish </w:t>
      </w:r>
      <w:proofErr w:type="gramStart"/>
      <w:r w:rsidRPr="005A4399">
        <w:t>actually only</w:t>
      </w:r>
      <w:proofErr w:type="gramEnd"/>
      <w:r w:rsidRPr="005A4399">
        <w:t xml:space="preserve"> qualified him for category 2</w:t>
      </w:r>
      <w:r w:rsidR="00E35FB1">
        <w:t>;</w:t>
      </w:r>
      <w:r>
        <w:t xml:space="preserve"> </w:t>
      </w:r>
      <w:r w:rsidRPr="005A4399">
        <w:t>LA: WRW/A/R45A/32, Will of Robert Hawthornthwaite of Scorton, Garstang, 1686</w:t>
      </w:r>
      <w:r w:rsidR="00D911C8">
        <w:t>.</w:t>
      </w:r>
    </w:p>
  </w:footnote>
  <w:footnote w:id="369">
    <w:p w14:paraId="4E26C704" w14:textId="698CF078" w:rsidR="00220A86" w:rsidRDefault="00220A86" w:rsidP="00220A86">
      <w:pPr>
        <w:pStyle w:val="FootnoteText"/>
      </w:pPr>
      <w:r>
        <w:rPr>
          <w:rStyle w:val="FootnoteReference"/>
        </w:rPr>
        <w:footnoteRef/>
      </w:r>
      <w:r>
        <w:t xml:space="preserve"> </w:t>
      </w:r>
      <w:r w:rsidRPr="00CB609B">
        <w:rPr>
          <w:rStyle w:val="FooterChar"/>
          <w:rFonts w:cs="Calibri"/>
          <w:color w:val="000000"/>
          <w:shd w:val="clear" w:color="auto" w:fill="FFFFFF"/>
        </w:rPr>
        <w:t xml:space="preserve">Sebastian A. J. Keibek and Leigh Shaw-Taylor, ‘Early modern rural by-employments: a re-examination of the probate inventory evidence’, </w:t>
      </w:r>
      <w:r w:rsidRPr="00CB609B">
        <w:rPr>
          <w:rStyle w:val="FooterChar"/>
          <w:rFonts w:cs="Calibri"/>
          <w:i/>
          <w:iCs/>
          <w:color w:val="000000"/>
          <w:shd w:val="clear" w:color="auto" w:fill="FFFFFF"/>
        </w:rPr>
        <w:t xml:space="preserve">The Agricultural History Review, </w:t>
      </w:r>
      <w:r w:rsidRPr="00CB609B">
        <w:rPr>
          <w:rStyle w:val="FooterChar"/>
          <w:rFonts w:cs="Calibri"/>
          <w:color w:val="000000"/>
          <w:shd w:val="clear" w:color="auto" w:fill="FFFFFF"/>
        </w:rPr>
        <w:t>Vol. 16, No. 2, (2013), pp.244-281, p.259</w:t>
      </w:r>
      <w:r w:rsidR="00D911C8">
        <w:rPr>
          <w:rStyle w:val="FooterChar"/>
          <w:rFonts w:cs="Calibri"/>
          <w:b/>
          <w:bCs/>
          <w:color w:val="000000"/>
          <w:shd w:val="clear" w:color="auto" w:fill="FFFFFF"/>
        </w:rPr>
        <w:t>.</w:t>
      </w:r>
    </w:p>
  </w:footnote>
  <w:footnote w:id="370">
    <w:p w14:paraId="40ADCF60" w14:textId="5EF21DB5" w:rsidR="00220A86" w:rsidRDefault="00220A86" w:rsidP="00220A86">
      <w:pPr>
        <w:pStyle w:val="FootnoteText"/>
      </w:pPr>
      <w:r>
        <w:rPr>
          <w:rStyle w:val="FootnoteReference"/>
        </w:rPr>
        <w:footnoteRef/>
      </w:r>
      <w:r>
        <w:t xml:space="preserve"> Ibid., p.260</w:t>
      </w:r>
      <w:r w:rsidR="00D911C8">
        <w:t>.</w:t>
      </w:r>
    </w:p>
  </w:footnote>
  <w:footnote w:id="371">
    <w:p w14:paraId="66F9776E" w14:textId="77777777" w:rsidR="00220A86" w:rsidRDefault="00220A86" w:rsidP="00220A86">
      <w:pPr>
        <w:pStyle w:val="FootnoteText"/>
      </w:pPr>
      <w:r>
        <w:rPr>
          <w:rStyle w:val="FootnoteReference"/>
        </w:rPr>
        <w:footnoteRef/>
      </w:r>
      <w:r>
        <w:t xml:space="preserve"> </w:t>
      </w:r>
      <w:proofErr w:type="gramStart"/>
      <w:r>
        <w:t>Ibid.;</w:t>
      </w:r>
      <w:proofErr w:type="gramEnd"/>
      <w:r>
        <w:t xml:space="preserve"> In real terms this equates to 12 of 14 tradesmen in Prestbury, and all 9 tradesmen in Bolton-le-Sands.</w:t>
      </w:r>
    </w:p>
  </w:footnote>
  <w:footnote w:id="372">
    <w:p w14:paraId="0B67A3D6" w14:textId="096A9B19" w:rsidR="00220A86" w:rsidRDefault="00220A86" w:rsidP="00220A86">
      <w:pPr>
        <w:pStyle w:val="FootnoteText"/>
      </w:pPr>
      <w:r>
        <w:rPr>
          <w:rStyle w:val="FootnoteReference"/>
        </w:rPr>
        <w:footnoteRef/>
      </w:r>
      <w:r>
        <w:t xml:space="preserve"> CRO</w:t>
      </w:r>
      <w:r w:rsidRPr="00083530">
        <w:t>: WS 1726, Will of Thomas Frost of Wildboarclough, yeoman, 1726</w:t>
      </w:r>
      <w:r w:rsidR="00D911C8">
        <w:t>.</w:t>
      </w:r>
    </w:p>
  </w:footnote>
  <w:footnote w:id="373">
    <w:p w14:paraId="2204F94C" w14:textId="59CCC89A" w:rsidR="00220A86" w:rsidRDefault="00220A86" w:rsidP="00220A86">
      <w:pPr>
        <w:pStyle w:val="FootnoteText"/>
      </w:pPr>
      <w:r>
        <w:rPr>
          <w:rStyle w:val="FootnoteReference"/>
        </w:rPr>
        <w:footnoteRef/>
      </w:r>
      <w:r>
        <w:t xml:space="preserve"> </w:t>
      </w:r>
      <w:r w:rsidRPr="00BE6309">
        <w:t>C</w:t>
      </w:r>
      <w:r w:rsidR="00312521">
        <w:t>RO</w:t>
      </w:r>
      <w:r w:rsidRPr="00BE6309">
        <w:t>: WS 1726, Will of Thomas Frost of Wildboarclough, yeoman, 1726</w:t>
      </w:r>
      <w:r w:rsidR="00D911C8">
        <w:t>.</w:t>
      </w:r>
    </w:p>
  </w:footnote>
  <w:footnote w:id="374">
    <w:p w14:paraId="33DCA70F" w14:textId="20389077" w:rsidR="00220A86" w:rsidRDefault="00220A86" w:rsidP="00220A86">
      <w:pPr>
        <w:pStyle w:val="FootnoteText"/>
      </w:pPr>
      <w:r>
        <w:rPr>
          <w:rStyle w:val="FootnoteReference"/>
        </w:rPr>
        <w:footnoteRef/>
      </w:r>
      <w:r>
        <w:t xml:space="preserve"> </w:t>
      </w:r>
      <w:r w:rsidRPr="00A573A5">
        <w:rPr>
          <w:rStyle w:val="FooterChar"/>
          <w:rFonts w:cs="Calibri"/>
          <w:color w:val="000000"/>
          <w:shd w:val="clear" w:color="auto" w:fill="FFFFFF"/>
        </w:rPr>
        <w:t xml:space="preserve">Jon Stobart, ‘Food retailers and rural communities: Cheshire butchers in the long eighteenth century’, </w:t>
      </w:r>
      <w:r w:rsidRPr="00A573A5">
        <w:rPr>
          <w:rStyle w:val="FooterChar"/>
          <w:rFonts w:cs="Calibri"/>
          <w:i/>
          <w:iCs/>
          <w:color w:val="000000"/>
          <w:shd w:val="clear" w:color="auto" w:fill="FFFFFF"/>
        </w:rPr>
        <w:t xml:space="preserve">Local Population Studies, </w:t>
      </w:r>
      <w:r w:rsidRPr="00A573A5">
        <w:rPr>
          <w:rStyle w:val="FooterChar"/>
          <w:rFonts w:cs="Calibri"/>
          <w:color w:val="000000"/>
          <w:shd w:val="clear" w:color="auto" w:fill="FFFFFF"/>
        </w:rPr>
        <w:t>Vol. 79, (2007), pp.23-37</w:t>
      </w:r>
      <w:r>
        <w:rPr>
          <w:rStyle w:val="FooterChar"/>
          <w:rFonts w:cs="Calibri"/>
          <w:color w:val="000000"/>
          <w:shd w:val="clear" w:color="auto" w:fill="FFFFFF"/>
        </w:rPr>
        <w:t>, p.</w:t>
      </w:r>
      <w:r w:rsidRPr="00A573A5">
        <w:t>28</w:t>
      </w:r>
      <w:r w:rsidR="00D911C8">
        <w:t>.</w:t>
      </w:r>
    </w:p>
  </w:footnote>
  <w:footnote w:id="375">
    <w:p w14:paraId="3301CB1C" w14:textId="350AFAE0" w:rsidR="00220A86" w:rsidRDefault="00220A86" w:rsidP="00220A86">
      <w:pPr>
        <w:pStyle w:val="FootnoteText"/>
      </w:pPr>
      <w:r w:rsidRPr="00EB3D69">
        <w:rPr>
          <w:rStyle w:val="FootnoteReference"/>
        </w:rPr>
        <w:footnoteRef/>
      </w:r>
      <w:r w:rsidRPr="00EB3D69">
        <w:t xml:space="preserve"> </w:t>
      </w:r>
      <w:r w:rsidR="00BD70BA">
        <w:t>CRO</w:t>
      </w:r>
      <w:r>
        <w:t>: WS 1722,</w:t>
      </w:r>
      <w:r w:rsidRPr="00D84163">
        <w:t xml:space="preserve"> </w:t>
      </w:r>
      <w:r w:rsidRPr="001E7D94">
        <w:t>Inventory of John Hough of Sutton, yeoman, 1721</w:t>
      </w:r>
      <w:r>
        <w:t>;</w:t>
      </w:r>
      <w:r w:rsidRPr="001E7D94">
        <w:t xml:space="preserve"> </w:t>
      </w:r>
      <w:r w:rsidRPr="006A71E8">
        <w:t>C</w:t>
      </w:r>
      <w:r w:rsidR="008B7527">
        <w:t>RO</w:t>
      </w:r>
      <w:r>
        <w:t>: WS 1734,</w:t>
      </w:r>
      <w:r w:rsidRPr="006A71E8">
        <w:t xml:space="preserve"> </w:t>
      </w:r>
      <w:r w:rsidRPr="00EB3D69">
        <w:t>Inventory of Peter Hall of Butley, yeoman, 1733</w:t>
      </w:r>
      <w:r w:rsidR="00D911C8">
        <w:t>.</w:t>
      </w:r>
    </w:p>
  </w:footnote>
  <w:footnote w:id="376">
    <w:p w14:paraId="66D9B0C9" w14:textId="01472E75" w:rsidR="00220A86" w:rsidRPr="00C2375D" w:rsidRDefault="00220A86" w:rsidP="00220A86">
      <w:pPr>
        <w:pStyle w:val="FootnoteText"/>
      </w:pPr>
      <w:r>
        <w:rPr>
          <w:rStyle w:val="FootnoteReference"/>
        </w:rPr>
        <w:footnoteRef/>
      </w:r>
      <w:r>
        <w:t xml:space="preserve"> Richard Blundel and Angela </w:t>
      </w:r>
      <w:proofErr w:type="spellStart"/>
      <w:r>
        <w:t>Tregear</w:t>
      </w:r>
      <w:proofErr w:type="spellEnd"/>
      <w:r>
        <w:t xml:space="preserve">, ‘From artisans to “factories”: the interpenetration of craft and industry in English cheese-making, 1650-1950’, </w:t>
      </w:r>
      <w:r>
        <w:rPr>
          <w:i/>
          <w:iCs/>
        </w:rPr>
        <w:t xml:space="preserve">Enterprise &amp; Society, </w:t>
      </w:r>
      <w:r>
        <w:t>Vol. 7, No. 4, (2006), pp.705-739, pp.711-712</w:t>
      </w:r>
      <w:r w:rsidR="00D911C8">
        <w:t>.</w:t>
      </w:r>
    </w:p>
  </w:footnote>
  <w:footnote w:id="377">
    <w:p w14:paraId="485FF107" w14:textId="22CDF222" w:rsidR="00220A86" w:rsidRPr="009B2746" w:rsidRDefault="00220A86" w:rsidP="00220A86">
      <w:pPr>
        <w:pStyle w:val="FootnoteText"/>
      </w:pPr>
      <w:r>
        <w:rPr>
          <w:rStyle w:val="FootnoteReference"/>
        </w:rPr>
        <w:footnoteRef/>
      </w:r>
      <w:r>
        <w:t xml:space="preserve"> Charles F. Foster, </w:t>
      </w:r>
      <w:r>
        <w:rPr>
          <w:i/>
          <w:iCs/>
        </w:rPr>
        <w:t xml:space="preserve">Cheshire Cheese and Farming in the </w:t>
      </w:r>
      <w:proofErr w:type="gramStart"/>
      <w:r>
        <w:rPr>
          <w:i/>
          <w:iCs/>
        </w:rPr>
        <w:t>North West</w:t>
      </w:r>
      <w:proofErr w:type="gramEnd"/>
      <w:r>
        <w:rPr>
          <w:i/>
          <w:iCs/>
        </w:rPr>
        <w:t xml:space="preserve"> in the 17</w:t>
      </w:r>
      <w:r w:rsidRPr="009B2746">
        <w:rPr>
          <w:i/>
          <w:iCs/>
          <w:vertAlign w:val="superscript"/>
        </w:rPr>
        <w:t>th</w:t>
      </w:r>
      <w:r>
        <w:rPr>
          <w:i/>
          <w:iCs/>
        </w:rPr>
        <w:t xml:space="preserve"> &amp; 18</w:t>
      </w:r>
      <w:r w:rsidRPr="009B2746">
        <w:rPr>
          <w:i/>
          <w:iCs/>
          <w:vertAlign w:val="superscript"/>
        </w:rPr>
        <w:t>th</w:t>
      </w:r>
      <w:r>
        <w:rPr>
          <w:i/>
          <w:iCs/>
        </w:rPr>
        <w:t xml:space="preserve"> Centuries, </w:t>
      </w:r>
      <w:r>
        <w:t>(Northwich, 1998), p.8</w:t>
      </w:r>
      <w:r w:rsidR="00D911C8">
        <w:t>.</w:t>
      </w:r>
    </w:p>
  </w:footnote>
  <w:footnote w:id="378">
    <w:p w14:paraId="23AE6380" w14:textId="36E8250D" w:rsidR="00220A86" w:rsidRDefault="00220A86" w:rsidP="00220A86">
      <w:pPr>
        <w:pStyle w:val="FootnoteText"/>
      </w:pPr>
      <w:r>
        <w:rPr>
          <w:rStyle w:val="FootnoteReference"/>
        </w:rPr>
        <w:footnoteRef/>
      </w:r>
      <w:r>
        <w:t xml:space="preserve"> Ibid.</w:t>
      </w:r>
    </w:p>
  </w:footnote>
  <w:footnote w:id="379">
    <w:p w14:paraId="742BE3B0" w14:textId="09853744" w:rsidR="00220A86" w:rsidRPr="00B51B17" w:rsidRDefault="00220A86" w:rsidP="00220A86">
      <w:pPr>
        <w:pStyle w:val="FootnoteText"/>
      </w:pPr>
      <w:r>
        <w:rPr>
          <w:rStyle w:val="FootnoteReference"/>
        </w:rPr>
        <w:footnoteRef/>
      </w:r>
      <w:r>
        <w:t xml:space="preserve"> Ned Palmer, </w:t>
      </w:r>
      <w:r>
        <w:rPr>
          <w:i/>
          <w:iCs/>
        </w:rPr>
        <w:t xml:space="preserve">A Cheesemonger’s History of the British Isles, </w:t>
      </w:r>
      <w:r>
        <w:t xml:space="preserve">(London, 2019), </w:t>
      </w:r>
      <w:r w:rsidRPr="000449BC">
        <w:t>p.</w:t>
      </w:r>
      <w:r>
        <w:t>20</w:t>
      </w:r>
      <w:r w:rsidR="00D911C8">
        <w:t>.</w:t>
      </w:r>
    </w:p>
  </w:footnote>
  <w:footnote w:id="380">
    <w:p w14:paraId="52CACDFF" w14:textId="582E7682" w:rsidR="00220A86" w:rsidRDefault="00220A86" w:rsidP="00220A86">
      <w:pPr>
        <w:pStyle w:val="FootnoteText"/>
      </w:pPr>
      <w:r>
        <w:rPr>
          <w:rStyle w:val="FootnoteReference"/>
        </w:rPr>
        <w:footnoteRef/>
      </w:r>
      <w:r>
        <w:t xml:space="preserve"> Norman Lowe, </w:t>
      </w:r>
      <w:r>
        <w:rPr>
          <w:i/>
          <w:iCs/>
        </w:rPr>
        <w:t xml:space="preserve">The Lancashire Textile Industry in the Sixteenth Century, </w:t>
      </w:r>
      <w:r>
        <w:t>(Manchester, 1972), p.7</w:t>
      </w:r>
      <w:r w:rsidR="00D911C8">
        <w:t>.</w:t>
      </w:r>
    </w:p>
  </w:footnote>
  <w:footnote w:id="381">
    <w:p w14:paraId="494DA19A" w14:textId="2771EA19" w:rsidR="00220A86" w:rsidRDefault="00220A86" w:rsidP="00220A86">
      <w:pPr>
        <w:pStyle w:val="FootnoteText"/>
      </w:pPr>
      <w:r>
        <w:rPr>
          <w:rStyle w:val="FootnoteReference"/>
        </w:rPr>
        <w:footnoteRef/>
      </w:r>
      <w:r>
        <w:t xml:space="preserve"> </w:t>
      </w:r>
      <w:r w:rsidRPr="00626A6B">
        <w:rPr>
          <w:rStyle w:val="FooterChar"/>
          <w:rFonts w:cs="Calibri"/>
          <w:color w:val="000000"/>
          <w:shd w:val="clear" w:color="auto" w:fill="FFFFFF"/>
        </w:rPr>
        <w:t>Keibek and Shaw-Taylor, ‘</w:t>
      </w:r>
      <w:r>
        <w:rPr>
          <w:rStyle w:val="FooterChar"/>
          <w:rFonts w:cs="Calibri"/>
          <w:color w:val="000000"/>
          <w:shd w:val="clear" w:color="auto" w:fill="FFFFFF"/>
        </w:rPr>
        <w:t>R</w:t>
      </w:r>
      <w:r w:rsidRPr="00626A6B">
        <w:rPr>
          <w:rStyle w:val="FooterChar"/>
          <w:rFonts w:cs="Calibri"/>
          <w:color w:val="000000"/>
          <w:shd w:val="clear" w:color="auto" w:fill="FFFFFF"/>
        </w:rPr>
        <w:t>ural by-employments</w:t>
      </w:r>
      <w:r>
        <w:rPr>
          <w:rStyle w:val="FooterChar"/>
          <w:rFonts w:cs="Calibri"/>
          <w:color w:val="000000"/>
          <w:shd w:val="clear" w:color="auto" w:fill="FFFFFF"/>
        </w:rPr>
        <w:t>’</w:t>
      </w:r>
      <w:r w:rsidRPr="00626A6B">
        <w:rPr>
          <w:rStyle w:val="FooterChar"/>
          <w:rFonts w:cs="Calibri"/>
          <w:color w:val="000000"/>
          <w:shd w:val="clear" w:color="auto" w:fill="FFFFFF"/>
        </w:rPr>
        <w:t>, p.</w:t>
      </w:r>
      <w:r>
        <w:t>254</w:t>
      </w:r>
      <w:r w:rsidR="00D911C8">
        <w:t>.</w:t>
      </w:r>
    </w:p>
  </w:footnote>
  <w:footnote w:id="382">
    <w:p w14:paraId="423D7559" w14:textId="02FFB93C" w:rsidR="00220A86" w:rsidRDefault="00220A86" w:rsidP="00220A86">
      <w:pPr>
        <w:pStyle w:val="FootnoteText"/>
      </w:pPr>
      <w:r>
        <w:rPr>
          <w:rStyle w:val="FootnoteReference"/>
        </w:rPr>
        <w:footnoteRef/>
      </w:r>
      <w:r>
        <w:t xml:space="preserve"> Amy Louise Erickson, ‘Possession – and the other one-tenth of the law: assessing women’s ownership and economic roles in early modern England’, </w:t>
      </w:r>
      <w:r>
        <w:rPr>
          <w:i/>
          <w:iCs/>
        </w:rPr>
        <w:t xml:space="preserve">Women’s History Review, </w:t>
      </w:r>
      <w:r>
        <w:t>Vol. 16, No. 3, (2007), pp.369-385, p.372</w:t>
      </w:r>
      <w:r w:rsidR="00D911C8">
        <w:t>.</w:t>
      </w:r>
    </w:p>
  </w:footnote>
  <w:footnote w:id="383">
    <w:p w14:paraId="4ACBC075" w14:textId="51CEBB99" w:rsidR="00220A86" w:rsidRDefault="00220A86" w:rsidP="00220A86">
      <w:pPr>
        <w:pStyle w:val="FootnoteText"/>
      </w:pPr>
      <w:r>
        <w:rPr>
          <w:rStyle w:val="FootnoteReference"/>
        </w:rPr>
        <w:footnoteRef/>
      </w:r>
      <w:r>
        <w:t xml:space="preserve"> Whittle, ‘Enterprising widows’, p.288</w:t>
      </w:r>
      <w:r w:rsidR="00D911C8">
        <w:t>.</w:t>
      </w:r>
    </w:p>
  </w:footnote>
  <w:footnote w:id="384">
    <w:p w14:paraId="05A31C47" w14:textId="56A5DD9B" w:rsidR="00220A86" w:rsidRDefault="00220A86" w:rsidP="00220A86">
      <w:pPr>
        <w:pStyle w:val="FootnoteText"/>
      </w:pPr>
      <w:r>
        <w:rPr>
          <w:rStyle w:val="FootnoteReference"/>
        </w:rPr>
        <w:footnoteRef/>
      </w:r>
      <w:r>
        <w:t xml:space="preserve"> </w:t>
      </w:r>
      <w:r w:rsidRPr="00E65959">
        <w:t>Craig Muldrew, ‘‘</w:t>
      </w:r>
      <w:proofErr w:type="spellStart"/>
      <w:r w:rsidRPr="00E65959">
        <w:t>Th’ancient</w:t>
      </w:r>
      <w:proofErr w:type="spellEnd"/>
      <w:r w:rsidRPr="00E65959">
        <w:t xml:space="preserve"> Distaff’ and ‘Whirling Spindle’: measuring the contribution of spinning to household earnings and the national economy in England, 1550-1770', </w:t>
      </w:r>
      <w:r w:rsidRPr="00E65959">
        <w:rPr>
          <w:i/>
          <w:iCs/>
        </w:rPr>
        <w:t xml:space="preserve">Economic History Review, </w:t>
      </w:r>
      <w:r w:rsidRPr="00E65959">
        <w:t>Vol. 65, No. 2, (2012), pp.498-526,</w:t>
      </w:r>
      <w:r>
        <w:t xml:space="preserve"> p.500</w:t>
      </w:r>
      <w:r w:rsidR="00D911C8">
        <w:t>.</w:t>
      </w:r>
    </w:p>
  </w:footnote>
  <w:footnote w:id="385">
    <w:p w14:paraId="5D80861D" w14:textId="34335C1A" w:rsidR="00220A86" w:rsidRDefault="00220A86" w:rsidP="00220A86">
      <w:pPr>
        <w:pStyle w:val="FootnoteText"/>
      </w:pPr>
      <w:r>
        <w:rPr>
          <w:rStyle w:val="FootnoteReference"/>
        </w:rPr>
        <w:footnoteRef/>
      </w:r>
      <w:r>
        <w:t xml:space="preserve"> Ibid.,</w:t>
      </w:r>
      <w:r w:rsidRPr="00542F9E">
        <w:t xml:space="preserve"> </w:t>
      </w:r>
      <w:r>
        <w:t>p.499</w:t>
      </w:r>
      <w:r w:rsidR="00D911C8">
        <w:t>.</w:t>
      </w:r>
    </w:p>
  </w:footnote>
  <w:footnote w:id="386">
    <w:p w14:paraId="26A5FAD3" w14:textId="31610E4A" w:rsidR="00220A86" w:rsidRDefault="00220A86" w:rsidP="00220A86">
      <w:pPr>
        <w:pStyle w:val="FootnoteText"/>
      </w:pPr>
      <w:r>
        <w:rPr>
          <w:rStyle w:val="FootnoteReference"/>
        </w:rPr>
        <w:footnoteRef/>
      </w:r>
      <w:r>
        <w:t xml:space="preserve"> Ibid., p.506</w:t>
      </w:r>
      <w:r w:rsidR="00D911C8">
        <w:t>.</w:t>
      </w:r>
    </w:p>
  </w:footnote>
  <w:footnote w:id="387">
    <w:p w14:paraId="489446E5" w14:textId="736DF33D" w:rsidR="00220A86" w:rsidRPr="0019469E" w:rsidRDefault="00220A86" w:rsidP="00220A86">
      <w:pPr>
        <w:pStyle w:val="FootnoteText"/>
      </w:pPr>
      <w:r>
        <w:rPr>
          <w:rStyle w:val="FootnoteReference"/>
        </w:rPr>
        <w:footnoteRef/>
      </w:r>
      <w:r>
        <w:t xml:space="preserve"> Laurel Thatcher Ulrich, ‘Wheels, looms, and the gender division of </w:t>
      </w:r>
      <w:proofErr w:type="spellStart"/>
      <w:r>
        <w:t>labor</w:t>
      </w:r>
      <w:proofErr w:type="spellEnd"/>
      <w:r>
        <w:t xml:space="preserve"> in eighteenth-century New England’, </w:t>
      </w:r>
      <w:r>
        <w:rPr>
          <w:i/>
          <w:iCs/>
        </w:rPr>
        <w:t xml:space="preserve">The William and Mary Quarterly, </w:t>
      </w:r>
      <w:r>
        <w:t>Vol. 55, No. 1, (1998), pp.3-38, p.9</w:t>
      </w:r>
      <w:r w:rsidR="00D911C8">
        <w:t>.</w:t>
      </w:r>
    </w:p>
  </w:footnote>
  <w:footnote w:id="388">
    <w:p w14:paraId="7B709BA6" w14:textId="5C195A81" w:rsidR="00220A86" w:rsidRDefault="00220A86" w:rsidP="00220A86">
      <w:pPr>
        <w:pStyle w:val="FootnoteText"/>
      </w:pPr>
      <w:r>
        <w:rPr>
          <w:rStyle w:val="FootnoteReference"/>
        </w:rPr>
        <w:footnoteRef/>
      </w:r>
      <w:r>
        <w:t xml:space="preserve"> </w:t>
      </w:r>
      <w:r w:rsidR="00F91C16">
        <w:t>CRO</w:t>
      </w:r>
      <w:r>
        <w:t>: WS 1731,</w:t>
      </w:r>
      <w:r w:rsidRPr="004178E4">
        <w:t xml:space="preserve"> </w:t>
      </w:r>
      <w:r>
        <w:t xml:space="preserve">Will of </w:t>
      </w:r>
      <w:proofErr w:type="spellStart"/>
      <w:r>
        <w:t>Alsant</w:t>
      </w:r>
      <w:proofErr w:type="spellEnd"/>
      <w:r>
        <w:t xml:space="preserve"> Hulme of Sutton, widow, 1731</w:t>
      </w:r>
      <w:r w:rsidR="00D911C8">
        <w:t>.</w:t>
      </w:r>
    </w:p>
  </w:footnote>
  <w:footnote w:id="389">
    <w:p w14:paraId="2A10350E" w14:textId="53B1DDB4" w:rsidR="00220A86" w:rsidRPr="00A27AAE" w:rsidRDefault="00220A86" w:rsidP="00220A86">
      <w:pPr>
        <w:pStyle w:val="FootnoteText"/>
      </w:pPr>
      <w:r>
        <w:rPr>
          <w:rStyle w:val="FootnoteReference"/>
        </w:rPr>
        <w:footnoteRef/>
      </w:r>
      <w:r>
        <w:t xml:space="preserve"> Carole Shammas, </w:t>
      </w:r>
      <w:r>
        <w:rPr>
          <w:i/>
          <w:iCs/>
        </w:rPr>
        <w:t xml:space="preserve">Pre-Industrial Consumer in England and America, </w:t>
      </w:r>
      <w:r>
        <w:t>(London, 1990),</w:t>
      </w:r>
      <w:r>
        <w:rPr>
          <w:i/>
          <w:iCs/>
        </w:rPr>
        <w:t xml:space="preserve"> </w:t>
      </w:r>
      <w:r>
        <w:t>p.32</w:t>
      </w:r>
      <w:r w:rsidR="00D911C8">
        <w:t>.</w:t>
      </w:r>
    </w:p>
  </w:footnote>
  <w:footnote w:id="390">
    <w:p w14:paraId="4AD01667" w14:textId="6993303C" w:rsidR="00220A86" w:rsidRDefault="00220A86" w:rsidP="00220A86">
      <w:pPr>
        <w:pStyle w:val="FootnoteText"/>
      </w:pPr>
      <w:r>
        <w:rPr>
          <w:rStyle w:val="FootnoteReference"/>
        </w:rPr>
        <w:footnoteRef/>
      </w:r>
      <w:r>
        <w:t xml:space="preserve"> LA:</w:t>
      </w:r>
      <w:r w:rsidRPr="004178E4">
        <w:t xml:space="preserve"> </w:t>
      </w:r>
      <w:r>
        <w:t>WRW/K/R410C/41, Inventory of John Bruce of Bolton-le-Sands, webster, 1664</w:t>
      </w:r>
      <w:r w:rsidR="00D911C8">
        <w:t>.</w:t>
      </w:r>
    </w:p>
  </w:footnote>
  <w:footnote w:id="391">
    <w:p w14:paraId="2BF84FBA" w14:textId="4EAE5293" w:rsidR="00220A86" w:rsidRDefault="00220A86" w:rsidP="00220A86">
      <w:pPr>
        <w:pStyle w:val="FootnoteText"/>
      </w:pPr>
      <w:r>
        <w:rPr>
          <w:rStyle w:val="FootnoteReference"/>
        </w:rPr>
        <w:footnoteRef/>
      </w:r>
      <w:r>
        <w:t xml:space="preserve"> LA: WRW/K/R490B/6, Inventory of William Wilkinson of Bolton-le-Sands, tailor, 1710</w:t>
      </w:r>
      <w:r w:rsidR="00D911C8">
        <w:t>.</w:t>
      </w:r>
    </w:p>
  </w:footnote>
  <w:footnote w:id="392">
    <w:p w14:paraId="70175208" w14:textId="77777777" w:rsidR="00220A86" w:rsidRDefault="00220A86" w:rsidP="00220A86">
      <w:pPr>
        <w:pStyle w:val="FootnoteText"/>
      </w:pPr>
      <w:r>
        <w:rPr>
          <w:rStyle w:val="FootnoteReference"/>
        </w:rPr>
        <w:footnoteRef/>
      </w:r>
      <w:r>
        <w:t xml:space="preserve"> Ibid.</w:t>
      </w:r>
    </w:p>
  </w:footnote>
  <w:footnote w:id="393">
    <w:p w14:paraId="49B2F757" w14:textId="10A2B702" w:rsidR="00220A86" w:rsidRDefault="00220A86" w:rsidP="00220A86">
      <w:pPr>
        <w:pStyle w:val="FootnoteText"/>
      </w:pPr>
      <w:r>
        <w:rPr>
          <w:rStyle w:val="FootnoteReference"/>
        </w:rPr>
        <w:footnoteRef/>
      </w:r>
      <w:r>
        <w:t xml:space="preserve"> </w:t>
      </w:r>
      <w:r w:rsidRPr="00A07625">
        <w:t>LA: WRW/K/R410C/41, Inventory of John Bruce of Bolton-le-Sands, webster, 1664</w:t>
      </w:r>
      <w:r w:rsidR="00D911C8">
        <w:t>.</w:t>
      </w:r>
    </w:p>
  </w:footnote>
  <w:footnote w:id="394">
    <w:p w14:paraId="71C796F3" w14:textId="4D5386E4" w:rsidR="00220A86" w:rsidRDefault="00220A86" w:rsidP="00220A86">
      <w:pPr>
        <w:pStyle w:val="FootnoteText"/>
      </w:pPr>
      <w:r>
        <w:rPr>
          <w:rStyle w:val="FootnoteReference"/>
        </w:rPr>
        <w:footnoteRef/>
      </w:r>
      <w:r>
        <w:t xml:space="preserve"> </w:t>
      </w:r>
      <w:r w:rsidR="00793E4A">
        <w:t>CRO</w:t>
      </w:r>
      <w:r>
        <w:t>:</w:t>
      </w:r>
      <w:r w:rsidRPr="002E5EFB">
        <w:t xml:space="preserve"> </w:t>
      </w:r>
      <w:r>
        <w:t>WS 1723, Will of Matthew Mottershead of Butley, yeoman, 1722</w:t>
      </w:r>
      <w:r w:rsidR="00D911C8">
        <w:t>.</w:t>
      </w:r>
    </w:p>
  </w:footnote>
  <w:footnote w:id="395">
    <w:p w14:paraId="10F6DA06" w14:textId="186AB764" w:rsidR="00220A86" w:rsidRDefault="00220A86" w:rsidP="00220A86">
      <w:pPr>
        <w:pStyle w:val="FootnoteText"/>
      </w:pPr>
      <w:r>
        <w:rPr>
          <w:rStyle w:val="FootnoteReference"/>
        </w:rPr>
        <w:footnoteRef/>
      </w:r>
      <w:r>
        <w:t xml:space="preserve"> </w:t>
      </w:r>
      <w:r w:rsidRPr="00A36286">
        <w:t xml:space="preserve">Brian A. Holderness, ‘Credit in English rural society before the nineteenth century, with special reference to the period 1650-1750', </w:t>
      </w:r>
      <w:r w:rsidRPr="00A36286">
        <w:rPr>
          <w:i/>
          <w:iCs/>
        </w:rPr>
        <w:t xml:space="preserve">The Agricultural History Review, </w:t>
      </w:r>
      <w:r w:rsidRPr="00A36286">
        <w:t>Vol. 24, No. 2, (1976), pp.97-109</w:t>
      </w:r>
      <w:r>
        <w:t>, p.100</w:t>
      </w:r>
      <w:r w:rsidR="00D911C8">
        <w:t>.</w:t>
      </w:r>
    </w:p>
  </w:footnote>
  <w:footnote w:id="396">
    <w:p w14:paraId="6916C177" w14:textId="510A33A5" w:rsidR="00220A86" w:rsidRDefault="00220A86" w:rsidP="00220A86">
      <w:pPr>
        <w:pStyle w:val="FootnoteText"/>
      </w:pPr>
      <w:r>
        <w:rPr>
          <w:rStyle w:val="FootnoteReference"/>
        </w:rPr>
        <w:footnoteRef/>
      </w:r>
      <w:r>
        <w:t xml:space="preserve"> </w:t>
      </w:r>
      <w:r w:rsidRPr="00D93EA3">
        <w:t xml:space="preserve">Peter </w:t>
      </w:r>
      <w:proofErr w:type="spellStart"/>
      <w:r w:rsidRPr="00D93EA3">
        <w:t>Spufford</w:t>
      </w:r>
      <w:proofErr w:type="spellEnd"/>
      <w:r w:rsidRPr="00D93EA3">
        <w:t xml:space="preserve">, ‘Long-term rural credit in sixteenth- and seventeenth-century England: the evidence of probate accounts’ in Tom Arkell, Nesta Evans and Nigel Goose (eds), </w:t>
      </w:r>
      <w:r w:rsidRPr="00D93EA3">
        <w:rPr>
          <w:i/>
          <w:iCs/>
        </w:rPr>
        <w:t xml:space="preserve">When Death Do Us Part: Understanding and Interpreting the Probate Records of Early Modern England, </w:t>
      </w:r>
      <w:r w:rsidRPr="00D93EA3">
        <w:t>(Oxford, 2000), pp.213-228</w:t>
      </w:r>
      <w:r w:rsidR="00D911C8">
        <w:t>.</w:t>
      </w:r>
    </w:p>
  </w:footnote>
  <w:footnote w:id="397">
    <w:p w14:paraId="2908CF4B" w14:textId="0F6C2340" w:rsidR="00220A86" w:rsidRDefault="00220A86" w:rsidP="00220A86">
      <w:pPr>
        <w:pStyle w:val="FootnoteText"/>
      </w:pPr>
      <w:r>
        <w:rPr>
          <w:rStyle w:val="FootnoteReference"/>
        </w:rPr>
        <w:footnoteRef/>
      </w:r>
      <w:r>
        <w:t xml:space="preserve"> </w:t>
      </w:r>
      <w:r w:rsidRPr="00DC4D82">
        <w:t xml:space="preserve">Craig Muldrew, </w:t>
      </w:r>
      <w:r w:rsidRPr="00DC4D82">
        <w:rPr>
          <w:i/>
          <w:iCs/>
        </w:rPr>
        <w:t>The Economy of Obligation: The Culture of Credit and Social Relations in Early Modern England</w:t>
      </w:r>
      <w:r w:rsidRPr="00DC4D82">
        <w:t>, (Basingstoke, 1998), p.112</w:t>
      </w:r>
      <w:r w:rsidR="00D911C8">
        <w:t>.</w:t>
      </w:r>
    </w:p>
  </w:footnote>
  <w:footnote w:id="398">
    <w:p w14:paraId="52053AA6" w14:textId="77777777" w:rsidR="00220A86" w:rsidRDefault="00220A86" w:rsidP="00220A86">
      <w:pPr>
        <w:pStyle w:val="FootnoteText"/>
      </w:pPr>
      <w:r>
        <w:rPr>
          <w:rStyle w:val="FootnoteReference"/>
        </w:rPr>
        <w:footnoteRef/>
      </w:r>
      <w:r>
        <w:t xml:space="preserve"> </w:t>
      </w:r>
      <w:r w:rsidRPr="00EE78B5">
        <w:t>While money lent by testators was consistently recorded in both communities, money borrowed featured in just 34% of Bolton-le-Sands inventories and even more rarely in Prestbury, present just once</w:t>
      </w:r>
      <w:r>
        <w:t xml:space="preserve">. This </w:t>
      </w:r>
      <w:r w:rsidRPr="001E3766">
        <w:t xml:space="preserve">omission was consistent in many inventories throughout early modern England, discussed in detail by Margaret </w:t>
      </w:r>
      <w:proofErr w:type="spellStart"/>
      <w:r w:rsidRPr="001E3766">
        <w:t>Spufford</w:t>
      </w:r>
      <w:proofErr w:type="spellEnd"/>
      <w:r w:rsidRPr="001E3766">
        <w:t xml:space="preserve"> in </w:t>
      </w:r>
      <w:proofErr w:type="spellStart"/>
      <w:r w:rsidRPr="001E3766">
        <w:t>Spufford</w:t>
      </w:r>
      <w:proofErr w:type="spellEnd"/>
      <w:r w:rsidRPr="001E3766">
        <w:t>, ‘Limitations</w:t>
      </w:r>
      <w:r>
        <w:t>’.</w:t>
      </w:r>
      <w:r w:rsidRPr="00EE78B5">
        <w:t xml:space="preserve"> As a result, only money lent by testators has been considered here. Rent arrears and tradesmen’s book debts have also been excluded from considerations, since producing profit was not the primary intention of these types of lending.</w:t>
      </w:r>
    </w:p>
  </w:footnote>
  <w:footnote w:id="399">
    <w:p w14:paraId="2DA7DA4E" w14:textId="42910DB7" w:rsidR="00220A86" w:rsidRDefault="00220A86" w:rsidP="00220A86">
      <w:pPr>
        <w:pStyle w:val="FootnoteText"/>
      </w:pPr>
      <w:r>
        <w:rPr>
          <w:rStyle w:val="FootnoteReference"/>
        </w:rPr>
        <w:footnoteRef/>
      </w:r>
      <w:r>
        <w:t xml:space="preserve"> </w:t>
      </w:r>
      <w:proofErr w:type="spellStart"/>
      <w:r>
        <w:t>Spufford</w:t>
      </w:r>
      <w:proofErr w:type="spellEnd"/>
      <w:r>
        <w:t>, ‘Rural credit’, p.215</w:t>
      </w:r>
      <w:r w:rsidR="00D911C8">
        <w:t>.</w:t>
      </w:r>
    </w:p>
  </w:footnote>
  <w:footnote w:id="400">
    <w:p w14:paraId="1B6EC0AC" w14:textId="51C7F98D" w:rsidR="00220A86" w:rsidRDefault="00220A86" w:rsidP="00220A86">
      <w:pPr>
        <w:pStyle w:val="FootnoteText"/>
      </w:pPr>
      <w:r>
        <w:rPr>
          <w:rStyle w:val="FootnoteReference"/>
        </w:rPr>
        <w:footnoteRef/>
      </w:r>
      <w:r>
        <w:t xml:space="preserve"> </w:t>
      </w:r>
      <w:r w:rsidRPr="00196D1B">
        <w:t>Holderness, ‘Credit in English rural society</w:t>
      </w:r>
      <w:r w:rsidR="00F26711">
        <w:t>’</w:t>
      </w:r>
      <w:r>
        <w:t>, p.102</w:t>
      </w:r>
      <w:r w:rsidR="00D911C8">
        <w:t>.</w:t>
      </w:r>
    </w:p>
  </w:footnote>
  <w:footnote w:id="401">
    <w:p w14:paraId="02E25444" w14:textId="7FBD686A" w:rsidR="00220A86" w:rsidRDefault="00220A86" w:rsidP="00220A86">
      <w:pPr>
        <w:pStyle w:val="FootnoteText"/>
      </w:pPr>
      <w:r>
        <w:rPr>
          <w:rStyle w:val="FootnoteReference"/>
        </w:rPr>
        <w:footnoteRef/>
      </w:r>
      <w:r>
        <w:t xml:space="preserve"> </w:t>
      </w:r>
      <w:r w:rsidRPr="00060B8B">
        <w:t xml:space="preserve">Mary Hodges, ‘Widows of the ‘middling sort’ and their assets in two seventeenth-century towns’, in Tom Arkell, Nesta Evans and Nigel Goose (eds), </w:t>
      </w:r>
      <w:r w:rsidRPr="00060B8B">
        <w:rPr>
          <w:i/>
          <w:iCs/>
        </w:rPr>
        <w:t>When</w:t>
      </w:r>
      <w:r w:rsidRPr="00060B8B">
        <w:t xml:space="preserve"> </w:t>
      </w:r>
      <w:r w:rsidRPr="00060B8B">
        <w:rPr>
          <w:i/>
          <w:iCs/>
        </w:rPr>
        <w:t xml:space="preserve">Death Do Us Part: Understanding and Interpreting the Probate Records of Early Modern England, </w:t>
      </w:r>
      <w:r w:rsidRPr="00060B8B">
        <w:t>(Oxford, 2000), pp.306-324</w:t>
      </w:r>
      <w:r>
        <w:t>, pp.319-321</w:t>
      </w:r>
      <w:r w:rsidR="00D911C8">
        <w:t>.</w:t>
      </w:r>
    </w:p>
  </w:footnote>
  <w:footnote w:id="402">
    <w:p w14:paraId="3FC756A5" w14:textId="205BB4AE" w:rsidR="00220A86" w:rsidRPr="00AD321F" w:rsidRDefault="00220A86" w:rsidP="00220A86">
      <w:pPr>
        <w:pStyle w:val="FootnoteText"/>
      </w:pPr>
      <w:r>
        <w:rPr>
          <w:rStyle w:val="FootnoteReference"/>
        </w:rPr>
        <w:footnoteRef/>
      </w:r>
      <w:r>
        <w:t xml:space="preserve"> Amy </w:t>
      </w:r>
      <w:r w:rsidR="00100DE9">
        <w:t xml:space="preserve">Louise </w:t>
      </w:r>
      <w:r>
        <w:t xml:space="preserve">Erickson, </w:t>
      </w:r>
      <w:r>
        <w:rPr>
          <w:i/>
          <w:iCs/>
        </w:rPr>
        <w:t xml:space="preserve">Women and Property in Early Modern England, </w:t>
      </w:r>
      <w:r>
        <w:t xml:space="preserve">(London, 1993), p.93; </w:t>
      </w:r>
      <w:r w:rsidRPr="00AD321F">
        <w:t xml:space="preserve">Judith </w:t>
      </w:r>
      <w:proofErr w:type="spellStart"/>
      <w:r w:rsidRPr="00AD321F">
        <w:t>Spicksley</w:t>
      </w:r>
      <w:proofErr w:type="spellEnd"/>
      <w:r w:rsidRPr="00AD321F">
        <w:t xml:space="preserve">, </w:t>
      </w:r>
      <w:proofErr w:type="gramStart"/>
      <w:r w:rsidRPr="00AD321F">
        <w:t>‘”Fly</w:t>
      </w:r>
      <w:proofErr w:type="gramEnd"/>
      <w:r w:rsidRPr="00AD321F">
        <w:t xml:space="preserve"> with a duck in thy mouth”: single women as sources of credit in seventeenth-century England’, </w:t>
      </w:r>
      <w:r w:rsidRPr="00AD321F">
        <w:rPr>
          <w:i/>
          <w:iCs/>
        </w:rPr>
        <w:t xml:space="preserve">Social History, </w:t>
      </w:r>
      <w:r w:rsidRPr="00AD321F">
        <w:t>Vol. 32, No. 2, (2007), pp.187-207, p.</w:t>
      </w:r>
      <w:r>
        <w:t>199</w:t>
      </w:r>
      <w:r w:rsidR="00D911C8">
        <w:t>.</w:t>
      </w:r>
    </w:p>
  </w:footnote>
  <w:footnote w:id="403">
    <w:p w14:paraId="5D53DCA5" w14:textId="792F2896" w:rsidR="00220A86" w:rsidRDefault="00220A86" w:rsidP="00220A86">
      <w:pPr>
        <w:pStyle w:val="FootnoteText"/>
      </w:pPr>
      <w:r>
        <w:rPr>
          <w:rStyle w:val="FootnoteReference"/>
        </w:rPr>
        <w:footnoteRef/>
      </w:r>
      <w:r>
        <w:t xml:space="preserve"> Whittle, ‘Enterprising widows’, p.296</w:t>
      </w:r>
      <w:r w:rsidR="00D911C8">
        <w:t>.</w:t>
      </w:r>
    </w:p>
  </w:footnote>
  <w:footnote w:id="404">
    <w:p w14:paraId="75449B93" w14:textId="2134F73C" w:rsidR="00220A86" w:rsidRDefault="00220A86" w:rsidP="00220A86">
      <w:pPr>
        <w:pStyle w:val="FootnoteText"/>
      </w:pPr>
      <w:r>
        <w:rPr>
          <w:rStyle w:val="FootnoteReference"/>
        </w:rPr>
        <w:footnoteRef/>
      </w:r>
      <w:r>
        <w:t xml:space="preserve"> </w:t>
      </w:r>
      <w:proofErr w:type="spellStart"/>
      <w:r>
        <w:t>Spicksley</w:t>
      </w:r>
      <w:proofErr w:type="spellEnd"/>
      <w:r>
        <w:t>, ‘Single women as sources of credit’, p.203</w:t>
      </w:r>
      <w:r w:rsidR="00D911C8">
        <w:t>.</w:t>
      </w:r>
    </w:p>
  </w:footnote>
  <w:footnote w:id="405">
    <w:p w14:paraId="64115D59" w14:textId="77777777" w:rsidR="00220A86" w:rsidRDefault="00220A86" w:rsidP="00220A86">
      <w:pPr>
        <w:pStyle w:val="FootnoteText"/>
      </w:pPr>
      <w:r>
        <w:rPr>
          <w:rStyle w:val="FootnoteReference"/>
        </w:rPr>
        <w:footnoteRef/>
      </w:r>
      <w:r>
        <w:t xml:space="preserve"> Robert Hawthornthwaite, owed £654 at his death, has once again been excluded from calculations on account of being resident in a different parish at the time of his death. Had he been included, the mean sum owed to inventoried inscribers would have been £169.2.</w:t>
      </w:r>
    </w:p>
  </w:footnote>
  <w:footnote w:id="406">
    <w:p w14:paraId="0936FE6B" w14:textId="07FD6C47" w:rsidR="00220A86" w:rsidRDefault="00220A86" w:rsidP="00220A86">
      <w:pPr>
        <w:pStyle w:val="FootnoteText"/>
      </w:pPr>
      <w:r>
        <w:rPr>
          <w:rStyle w:val="FootnoteReference"/>
        </w:rPr>
        <w:footnoteRef/>
      </w:r>
      <w:r>
        <w:t xml:space="preserve"> </w:t>
      </w:r>
      <w:r w:rsidRPr="0017394C">
        <w:t xml:space="preserve">Mark Hailwood, ‘Rethinking literacy in rural England, 1550-1700’, </w:t>
      </w:r>
      <w:r w:rsidRPr="0017394C">
        <w:rPr>
          <w:i/>
          <w:iCs/>
        </w:rPr>
        <w:t xml:space="preserve">Past &amp; Present, </w:t>
      </w:r>
      <w:r w:rsidRPr="0017394C">
        <w:t>Vol. 260, No. 1, (2023), pp.38-70</w:t>
      </w:r>
      <w:r w:rsidR="00D911C8">
        <w:t>.</w:t>
      </w:r>
    </w:p>
  </w:footnote>
  <w:footnote w:id="407">
    <w:p w14:paraId="1DCB159B" w14:textId="202F8B1B" w:rsidR="00220A86" w:rsidRDefault="00220A86" w:rsidP="00220A86">
      <w:pPr>
        <w:pStyle w:val="FootnoteText"/>
      </w:pPr>
      <w:r>
        <w:rPr>
          <w:rStyle w:val="FootnoteReference"/>
        </w:rPr>
        <w:footnoteRef/>
      </w:r>
      <w:r>
        <w:t xml:space="preserve"> Malcolm </w:t>
      </w:r>
      <w:proofErr w:type="spellStart"/>
      <w:r>
        <w:t>Walsby</w:t>
      </w:r>
      <w:proofErr w:type="spellEnd"/>
      <w:r>
        <w:t xml:space="preserve">, ‘Book lists and their meaning’, in Malcolm </w:t>
      </w:r>
      <w:proofErr w:type="spellStart"/>
      <w:r>
        <w:t>Walsby</w:t>
      </w:r>
      <w:proofErr w:type="spellEnd"/>
      <w:r>
        <w:t xml:space="preserve"> and Natasha </w:t>
      </w:r>
      <w:proofErr w:type="spellStart"/>
      <w:r>
        <w:t>Constantinidou</w:t>
      </w:r>
      <w:proofErr w:type="spellEnd"/>
      <w:r>
        <w:t xml:space="preserve"> (eds), </w:t>
      </w:r>
      <w:r>
        <w:rPr>
          <w:i/>
          <w:iCs/>
        </w:rPr>
        <w:t xml:space="preserve">Documenting the Early Modern Book World: Inventories and Catalogues in Manuscript and Print, </w:t>
      </w:r>
      <w:r>
        <w:t>(Leiden, 2013), pp.1-24, p.7</w:t>
      </w:r>
      <w:r w:rsidR="00D911C8">
        <w:t>.</w:t>
      </w:r>
    </w:p>
  </w:footnote>
  <w:footnote w:id="408">
    <w:p w14:paraId="1308A0C5" w14:textId="5AF83DD5" w:rsidR="00220A86" w:rsidRPr="008045C2" w:rsidRDefault="00220A86" w:rsidP="00220A86">
      <w:pPr>
        <w:pStyle w:val="FootnoteText"/>
      </w:pPr>
      <w:r>
        <w:rPr>
          <w:rStyle w:val="FootnoteReference"/>
        </w:rPr>
        <w:footnoteRef/>
      </w:r>
      <w:r>
        <w:t xml:space="preserve"> David Pearson, ‘Patterns of book ownership in late seventeenth-century England’, </w:t>
      </w:r>
      <w:r>
        <w:rPr>
          <w:i/>
          <w:iCs/>
        </w:rPr>
        <w:t xml:space="preserve">The Library, </w:t>
      </w:r>
      <w:r>
        <w:t xml:space="preserve">Vol. 1, No. 2, (2010), pp.139-167; E. S. Leedham-Green, </w:t>
      </w:r>
      <w:r>
        <w:rPr>
          <w:i/>
          <w:iCs/>
        </w:rPr>
        <w:t xml:space="preserve">Books in Cambridge Inventories: </w:t>
      </w:r>
      <w:proofErr w:type="gramStart"/>
      <w:r>
        <w:rPr>
          <w:i/>
          <w:iCs/>
        </w:rPr>
        <w:t>Book-Lists</w:t>
      </w:r>
      <w:proofErr w:type="gramEnd"/>
      <w:r>
        <w:rPr>
          <w:i/>
          <w:iCs/>
        </w:rPr>
        <w:t xml:space="preserve"> from Vice-Chancellor’s Court Probate Inventories in the Tudor and Stuart Periods, </w:t>
      </w:r>
      <w:r>
        <w:t>(Cambridge, 1986)</w:t>
      </w:r>
      <w:r w:rsidR="00D911C8">
        <w:t>.</w:t>
      </w:r>
    </w:p>
  </w:footnote>
  <w:footnote w:id="409">
    <w:p w14:paraId="4D0C67A7" w14:textId="3C1099D0" w:rsidR="00220A86" w:rsidRDefault="00220A86" w:rsidP="00220A86">
      <w:pPr>
        <w:pStyle w:val="FootnoteText"/>
      </w:pPr>
      <w:r>
        <w:rPr>
          <w:rStyle w:val="FootnoteReference"/>
        </w:rPr>
        <w:footnoteRef/>
      </w:r>
      <w:r>
        <w:t xml:space="preserve"> </w:t>
      </w:r>
      <w:r w:rsidRPr="005D0923">
        <w:t xml:space="preserve">Margaret </w:t>
      </w:r>
      <w:proofErr w:type="spellStart"/>
      <w:r w:rsidRPr="005D0923">
        <w:t>Spufford</w:t>
      </w:r>
      <w:proofErr w:type="spellEnd"/>
      <w:r w:rsidRPr="005D0923">
        <w:t xml:space="preserve">, </w:t>
      </w:r>
      <w:r w:rsidRPr="005D0923">
        <w:rPr>
          <w:i/>
          <w:iCs/>
        </w:rPr>
        <w:t>Small Books and Pleasant Histories: Popular Fiction and its Readership</w:t>
      </w:r>
      <w:r w:rsidRPr="005D0923">
        <w:t xml:space="preserve"> (Cambridge, 1985)</w:t>
      </w:r>
      <w:r>
        <w:t>, p. 48</w:t>
      </w:r>
      <w:r w:rsidR="00D911C8">
        <w:t>.</w:t>
      </w:r>
    </w:p>
  </w:footnote>
  <w:footnote w:id="410">
    <w:p w14:paraId="6FF15372" w14:textId="5889DDD8" w:rsidR="00220A86" w:rsidRDefault="00220A86" w:rsidP="00220A86">
      <w:pPr>
        <w:pStyle w:val="FootnoteText"/>
      </w:pPr>
      <w:r>
        <w:rPr>
          <w:rStyle w:val="FootnoteReference"/>
        </w:rPr>
        <w:footnoteRef/>
      </w:r>
      <w:r>
        <w:t>Ibid., p.45</w:t>
      </w:r>
      <w:r w:rsidR="00D911C8">
        <w:t>.</w:t>
      </w:r>
    </w:p>
  </w:footnote>
  <w:footnote w:id="411">
    <w:p w14:paraId="181B3E31" w14:textId="77777777" w:rsidR="00220A86" w:rsidRDefault="00220A86" w:rsidP="00220A86">
      <w:pPr>
        <w:pStyle w:val="FootnoteText"/>
      </w:pPr>
      <w:r>
        <w:rPr>
          <w:rStyle w:val="FootnoteReference"/>
        </w:rPr>
        <w:footnoteRef/>
      </w:r>
      <w:r>
        <w:t xml:space="preserve"> </w:t>
      </w:r>
      <w:r w:rsidRPr="00814586">
        <w:t xml:space="preserve">Lorna Weatherill, </w:t>
      </w:r>
      <w:r w:rsidRPr="00814586">
        <w:rPr>
          <w:i/>
          <w:iCs/>
        </w:rPr>
        <w:t>Consumer Behaviour and Material Culture in Britain, 1660-176</w:t>
      </w:r>
      <w:r>
        <w:rPr>
          <w:i/>
          <w:iCs/>
        </w:rPr>
        <w:t xml:space="preserve">0, </w:t>
      </w:r>
      <w:r>
        <w:t xml:space="preserve">(London, 1996), </w:t>
      </w:r>
      <w:r w:rsidRPr="005548C7">
        <w:t>p.57</w:t>
      </w:r>
      <w:r>
        <w:t>; The town of Stoke on Trent is just twenty miles from Sutton township, at the southern edge of Prestbury parish.</w:t>
      </w:r>
    </w:p>
  </w:footnote>
  <w:footnote w:id="412">
    <w:p w14:paraId="682DA85A" w14:textId="006908F9" w:rsidR="00220A86" w:rsidRPr="00313360" w:rsidRDefault="00220A86" w:rsidP="00220A86">
      <w:pPr>
        <w:pStyle w:val="FootnoteText"/>
      </w:pPr>
      <w:r>
        <w:rPr>
          <w:rStyle w:val="FootnoteReference"/>
        </w:rPr>
        <w:footnoteRef/>
      </w:r>
      <w:r>
        <w:t xml:space="preserve"> </w:t>
      </w:r>
      <w:r w:rsidR="00613D5C">
        <w:t>Ibid.,</w:t>
      </w:r>
      <w:r>
        <w:rPr>
          <w:i/>
          <w:iCs/>
        </w:rPr>
        <w:t xml:space="preserve"> </w:t>
      </w:r>
      <w:r>
        <w:t>p.57</w:t>
      </w:r>
      <w:r w:rsidR="00D911C8">
        <w:t>.</w:t>
      </w:r>
    </w:p>
  </w:footnote>
  <w:footnote w:id="413">
    <w:p w14:paraId="3AA07AA2" w14:textId="63E98977" w:rsidR="00220A86" w:rsidRPr="00814586" w:rsidRDefault="00220A86" w:rsidP="00220A86">
      <w:pPr>
        <w:pStyle w:val="FootnoteText"/>
      </w:pPr>
      <w:r>
        <w:rPr>
          <w:rStyle w:val="FootnoteReference"/>
        </w:rPr>
        <w:footnoteRef/>
      </w:r>
      <w:r>
        <w:t xml:space="preserve"> </w:t>
      </w:r>
      <w:r w:rsidRPr="005548C7">
        <w:t xml:space="preserve">Ibid., </w:t>
      </w:r>
      <w:r>
        <w:t>p.55</w:t>
      </w:r>
      <w:r w:rsidR="00D911C8">
        <w:t>.</w:t>
      </w:r>
    </w:p>
  </w:footnote>
  <w:footnote w:id="414">
    <w:p w14:paraId="398D6EF2" w14:textId="114B9052" w:rsidR="00220A86" w:rsidRDefault="00220A86" w:rsidP="00220A86">
      <w:pPr>
        <w:pStyle w:val="FootnoteText"/>
      </w:pPr>
      <w:r>
        <w:rPr>
          <w:rStyle w:val="FootnoteReference"/>
        </w:rPr>
        <w:footnoteRef/>
      </w:r>
      <w:r>
        <w:t xml:space="preserve"> Ibid., pp.58-59</w:t>
      </w:r>
      <w:r w:rsidR="00D911C8">
        <w:t>.</w:t>
      </w:r>
    </w:p>
  </w:footnote>
  <w:footnote w:id="415">
    <w:p w14:paraId="01E60871" w14:textId="1AEC5775" w:rsidR="00220A86" w:rsidRDefault="00220A86" w:rsidP="00220A86">
      <w:pPr>
        <w:pStyle w:val="FootnoteText"/>
      </w:pPr>
      <w:r>
        <w:rPr>
          <w:rStyle w:val="FootnoteReference"/>
        </w:rPr>
        <w:footnoteRef/>
      </w:r>
      <w:r>
        <w:t xml:space="preserve"> CRO: WS 1692, Will of Hugh Stonehewer of Sutton, chapman, 1692</w:t>
      </w:r>
      <w:r w:rsidR="00D911C8">
        <w:t>.</w:t>
      </w:r>
    </w:p>
  </w:footnote>
  <w:footnote w:id="416">
    <w:p w14:paraId="70DE9850" w14:textId="77E3E9C9" w:rsidR="00220A86" w:rsidRDefault="00220A86" w:rsidP="00220A86">
      <w:pPr>
        <w:pStyle w:val="FootnoteText"/>
      </w:pPr>
      <w:r>
        <w:rPr>
          <w:rStyle w:val="FootnoteReference"/>
        </w:rPr>
        <w:footnoteRef/>
      </w:r>
      <w:r>
        <w:t xml:space="preserve"> CRO: WS 1673, Will of Elizabeth Greaves of Sutton, yeoman’s wife, 1673</w:t>
      </w:r>
      <w:r w:rsidR="00D911C8">
        <w:t>.</w:t>
      </w:r>
    </w:p>
  </w:footnote>
  <w:footnote w:id="417">
    <w:p w14:paraId="268616EC" w14:textId="7D8CAC64" w:rsidR="00220A86" w:rsidRDefault="00220A86" w:rsidP="00220A86">
      <w:pPr>
        <w:pStyle w:val="FootnoteText"/>
      </w:pPr>
      <w:r>
        <w:rPr>
          <w:rStyle w:val="FootnoteReference"/>
        </w:rPr>
        <w:footnoteRef/>
      </w:r>
      <w:r>
        <w:t xml:space="preserve"> </w:t>
      </w:r>
      <w:r w:rsidR="00711745">
        <w:t>CRO</w:t>
      </w:r>
      <w:r w:rsidRPr="00035FA3">
        <w:t xml:space="preserve">: WS </w:t>
      </w:r>
      <w:r>
        <w:t>1728, Will of Daniel Hulme of Sutton, schoolmaster, 1728</w:t>
      </w:r>
      <w:r w:rsidR="00D911C8">
        <w:t>.</w:t>
      </w:r>
    </w:p>
  </w:footnote>
  <w:footnote w:id="418">
    <w:p w14:paraId="012A2ED6" w14:textId="18BE7995" w:rsidR="00220A86" w:rsidRDefault="00220A86" w:rsidP="00220A86">
      <w:pPr>
        <w:pStyle w:val="FootnoteText"/>
      </w:pPr>
      <w:r>
        <w:rPr>
          <w:rStyle w:val="FootnoteReference"/>
        </w:rPr>
        <w:footnoteRef/>
      </w:r>
      <w:r>
        <w:t xml:space="preserve"> </w:t>
      </w:r>
      <w:r w:rsidRPr="00375699">
        <w:t xml:space="preserve">Nesta Evans, ‘Testators, literacy, education and religious belief’, </w:t>
      </w:r>
      <w:r w:rsidRPr="00375699">
        <w:rPr>
          <w:i/>
          <w:iCs/>
        </w:rPr>
        <w:t>Local Population Studies,</w:t>
      </w:r>
      <w:r w:rsidRPr="00375699">
        <w:t xml:space="preserve"> Vol. 25, (1980), pp.42-50</w:t>
      </w:r>
      <w:r>
        <w:t>, p.46</w:t>
      </w:r>
      <w:r w:rsidR="00D911C8">
        <w:t>.</w:t>
      </w:r>
    </w:p>
  </w:footnote>
  <w:footnote w:id="419">
    <w:p w14:paraId="4A5365B7" w14:textId="749AA2FC" w:rsidR="00220A86" w:rsidRDefault="00220A86" w:rsidP="00220A86">
      <w:pPr>
        <w:pStyle w:val="FootnoteText"/>
      </w:pPr>
      <w:r>
        <w:rPr>
          <w:rStyle w:val="FootnoteReference"/>
        </w:rPr>
        <w:footnoteRef/>
      </w:r>
      <w:r>
        <w:t xml:space="preserve"> Ibid., p.44</w:t>
      </w:r>
      <w:r w:rsidR="00D911C8">
        <w:t>.</w:t>
      </w:r>
    </w:p>
  </w:footnote>
  <w:footnote w:id="420">
    <w:p w14:paraId="7C71EA21" w14:textId="7FB241FE" w:rsidR="00220A86" w:rsidRDefault="00220A86" w:rsidP="00220A86">
      <w:pPr>
        <w:pStyle w:val="FootnoteText"/>
      </w:pPr>
      <w:r>
        <w:rPr>
          <w:rStyle w:val="FootnoteReference"/>
        </w:rPr>
        <w:footnoteRef/>
      </w:r>
      <w:r>
        <w:t xml:space="preserve"> </w:t>
      </w:r>
      <w:r w:rsidRPr="00870213">
        <w:t xml:space="preserve">P. J. Wallis, ‘A preliminary register of old schools in Lancashire and Cheshire’, </w:t>
      </w:r>
      <w:r w:rsidRPr="00870213">
        <w:rPr>
          <w:i/>
          <w:iCs/>
        </w:rPr>
        <w:t xml:space="preserve">The Historic Society of Lancashire and Cheshire, </w:t>
      </w:r>
      <w:r w:rsidRPr="00870213">
        <w:t>Vol. 120 (1968), pp.1-21</w:t>
      </w:r>
      <w:r>
        <w:t>, p.11, p.13</w:t>
      </w:r>
      <w:r w:rsidR="00D911C8">
        <w:t>.</w:t>
      </w:r>
    </w:p>
  </w:footnote>
  <w:footnote w:id="421">
    <w:p w14:paraId="392FF8B0" w14:textId="5E4B0957" w:rsidR="00220A86" w:rsidRDefault="00220A86" w:rsidP="00220A86">
      <w:pPr>
        <w:pStyle w:val="FootnoteText"/>
      </w:pPr>
      <w:r>
        <w:rPr>
          <w:rStyle w:val="FootnoteReference"/>
        </w:rPr>
        <w:footnoteRef/>
      </w:r>
      <w:r>
        <w:t xml:space="preserve"> Ibid., p.20, p.21</w:t>
      </w:r>
      <w:r w:rsidR="00D911C8">
        <w:t>.</w:t>
      </w:r>
    </w:p>
  </w:footnote>
  <w:footnote w:id="422">
    <w:p w14:paraId="006445CB" w14:textId="6B6B852C" w:rsidR="00220A86" w:rsidRDefault="00220A86" w:rsidP="00220A86">
      <w:pPr>
        <w:pStyle w:val="FootnoteText"/>
      </w:pPr>
      <w:r>
        <w:rPr>
          <w:rStyle w:val="FootnoteReference"/>
        </w:rPr>
        <w:footnoteRef/>
      </w:r>
      <w:r>
        <w:t xml:space="preserve"> David Cressy, </w:t>
      </w:r>
      <w:r w:rsidRPr="00B16E68">
        <w:rPr>
          <w:i/>
          <w:iCs/>
        </w:rPr>
        <w:t>Literacy and the Social Order</w:t>
      </w:r>
      <w:r>
        <w:rPr>
          <w:i/>
          <w:iCs/>
        </w:rPr>
        <w:t xml:space="preserve">: Reading and Writing </w:t>
      </w:r>
      <w:r w:rsidRPr="00B16E68">
        <w:rPr>
          <w:i/>
          <w:iCs/>
        </w:rPr>
        <w:t xml:space="preserve">in </w:t>
      </w:r>
      <w:r>
        <w:rPr>
          <w:i/>
          <w:iCs/>
        </w:rPr>
        <w:t>Tudor and Stuart</w:t>
      </w:r>
      <w:r w:rsidRPr="00B16E68">
        <w:rPr>
          <w:i/>
          <w:iCs/>
        </w:rPr>
        <w:t xml:space="preserve"> England,</w:t>
      </w:r>
      <w:r>
        <w:t xml:space="preserve"> (Cambridge, 1980), pp.53-54</w:t>
      </w:r>
      <w:r w:rsidR="00D911C8">
        <w:t>.</w:t>
      </w:r>
    </w:p>
  </w:footnote>
  <w:footnote w:id="423">
    <w:p w14:paraId="21D625A9" w14:textId="16E0CAEB" w:rsidR="00220A86" w:rsidRDefault="00220A86" w:rsidP="00220A86">
      <w:pPr>
        <w:pStyle w:val="FootnoteText"/>
      </w:pPr>
      <w:r>
        <w:rPr>
          <w:rStyle w:val="FootnoteReference"/>
        </w:rPr>
        <w:footnoteRef/>
      </w:r>
      <w:r>
        <w:t xml:space="preserve"> </w:t>
      </w:r>
      <w:r w:rsidRPr="00262BB2">
        <w:t xml:space="preserve">David Cressy, ‘Literacy in context: meaning and measurement in early modern England’, in John Brewer and Roy Porter (eds), </w:t>
      </w:r>
      <w:r w:rsidRPr="00262BB2">
        <w:rPr>
          <w:i/>
          <w:iCs/>
        </w:rPr>
        <w:t xml:space="preserve">Consumption and the World of Goods, </w:t>
      </w:r>
      <w:r w:rsidRPr="00262BB2">
        <w:t>(Abingdon, 1994), pp.305-319, p.314</w:t>
      </w:r>
      <w:r w:rsidR="00D911C8">
        <w:t>.</w:t>
      </w:r>
    </w:p>
  </w:footnote>
  <w:footnote w:id="424">
    <w:p w14:paraId="2F6F7E9E" w14:textId="528963AF" w:rsidR="00220A86" w:rsidRDefault="00220A86" w:rsidP="00220A86">
      <w:pPr>
        <w:pStyle w:val="FootnoteText"/>
      </w:pPr>
      <w:r>
        <w:rPr>
          <w:rStyle w:val="FootnoteReference"/>
        </w:rPr>
        <w:footnoteRef/>
      </w:r>
      <w:r>
        <w:t xml:space="preserve"> Ibid.</w:t>
      </w:r>
    </w:p>
  </w:footnote>
  <w:footnote w:id="425">
    <w:p w14:paraId="63593A6E" w14:textId="48D55C6F" w:rsidR="00220A86" w:rsidRDefault="00220A86" w:rsidP="00220A86">
      <w:pPr>
        <w:pStyle w:val="FootnoteText"/>
      </w:pPr>
      <w:r>
        <w:rPr>
          <w:rStyle w:val="FootnoteReference"/>
        </w:rPr>
        <w:footnoteRef/>
      </w:r>
      <w:r>
        <w:t xml:space="preserve"> R. A. Houston, ‘The development of literacy: Northern England, 1640-1750’, </w:t>
      </w:r>
      <w:r>
        <w:rPr>
          <w:i/>
          <w:iCs/>
        </w:rPr>
        <w:t xml:space="preserve">Economic History Review, </w:t>
      </w:r>
      <w:r>
        <w:t>Vol. 35, No. 2, (1982), pp.199-201, p.201</w:t>
      </w:r>
      <w:r w:rsidR="00D911C8">
        <w:t>.</w:t>
      </w:r>
    </w:p>
  </w:footnote>
  <w:footnote w:id="426">
    <w:p w14:paraId="71236F4A" w14:textId="3C47D79B" w:rsidR="00220A86" w:rsidRDefault="00220A86" w:rsidP="00220A86">
      <w:pPr>
        <w:pStyle w:val="FootnoteText"/>
      </w:pPr>
      <w:r>
        <w:rPr>
          <w:rStyle w:val="FootnoteReference"/>
        </w:rPr>
        <w:footnoteRef/>
      </w:r>
      <w:r>
        <w:t xml:space="preserve"> Roger Schofield, ‘Dimensions of illiteracy, 1750-1850’, </w:t>
      </w:r>
      <w:r>
        <w:rPr>
          <w:i/>
          <w:iCs/>
        </w:rPr>
        <w:t xml:space="preserve">Explorations in Economic History, </w:t>
      </w:r>
      <w:r>
        <w:t>Vol. 10, No. 4, (1973), pp.437-454, p.440</w:t>
      </w:r>
      <w:r w:rsidR="00D911C8">
        <w:t>.</w:t>
      </w:r>
    </w:p>
  </w:footnote>
  <w:footnote w:id="427">
    <w:p w14:paraId="77716835" w14:textId="6E4AAE2A" w:rsidR="00220A86" w:rsidRDefault="00220A86" w:rsidP="00220A86">
      <w:pPr>
        <w:pStyle w:val="FootnoteText"/>
      </w:pPr>
      <w:r>
        <w:rPr>
          <w:rStyle w:val="FootnoteReference"/>
        </w:rPr>
        <w:footnoteRef/>
      </w:r>
      <w:r>
        <w:t xml:space="preserve"> Ibid.</w:t>
      </w:r>
    </w:p>
  </w:footnote>
  <w:footnote w:id="428">
    <w:p w14:paraId="54B7C30C" w14:textId="2B272183" w:rsidR="00220A86" w:rsidRDefault="00220A86" w:rsidP="00220A86">
      <w:pPr>
        <w:pStyle w:val="FootnoteText"/>
      </w:pPr>
      <w:r>
        <w:rPr>
          <w:rStyle w:val="FootnoteReference"/>
        </w:rPr>
        <w:footnoteRef/>
      </w:r>
      <w:r>
        <w:t xml:space="preserve"> </w:t>
      </w:r>
      <w:r w:rsidRPr="007414A8">
        <w:t xml:space="preserve">Eleanor Hubbard, ‘Reading, writing and </w:t>
      </w:r>
      <w:proofErr w:type="spellStart"/>
      <w:proofErr w:type="gramStart"/>
      <w:r w:rsidRPr="007414A8">
        <w:t>initialing</w:t>
      </w:r>
      <w:proofErr w:type="spellEnd"/>
      <w:r w:rsidRPr="007414A8">
        <w:t>:</w:t>
      </w:r>
      <w:proofErr w:type="gramEnd"/>
      <w:r w:rsidRPr="007414A8">
        <w:t xml:space="preserve"> female literacy in early modern London’, </w:t>
      </w:r>
      <w:r w:rsidRPr="007414A8">
        <w:rPr>
          <w:i/>
          <w:iCs/>
        </w:rPr>
        <w:t xml:space="preserve">Journal of British Studies, </w:t>
      </w:r>
      <w:r w:rsidRPr="007414A8">
        <w:t>Vol. 3, (2015), pp.</w:t>
      </w:r>
      <w:r>
        <w:t>553-577</w:t>
      </w:r>
      <w:r w:rsidR="00D911C8">
        <w:t>.</w:t>
      </w:r>
    </w:p>
  </w:footnote>
  <w:footnote w:id="429">
    <w:p w14:paraId="28C27EB3" w14:textId="173D6E04" w:rsidR="00220A86" w:rsidRDefault="00220A86" w:rsidP="00220A86">
      <w:pPr>
        <w:pStyle w:val="FootnoteText"/>
      </w:pPr>
      <w:r>
        <w:rPr>
          <w:rStyle w:val="FootnoteReference"/>
        </w:rPr>
        <w:footnoteRef/>
      </w:r>
      <w:r>
        <w:t xml:space="preserve"> Ibid., p.577</w:t>
      </w:r>
      <w:r w:rsidR="00D911C8">
        <w:t>.</w:t>
      </w:r>
    </w:p>
  </w:footnote>
  <w:footnote w:id="430">
    <w:p w14:paraId="48835C9D" w14:textId="2AB2579C" w:rsidR="00220A86" w:rsidRPr="00E1323E" w:rsidRDefault="00220A86" w:rsidP="00220A86">
      <w:pPr>
        <w:pStyle w:val="FootnoteText"/>
      </w:pPr>
      <w:r>
        <w:rPr>
          <w:rStyle w:val="FootnoteReference"/>
        </w:rPr>
        <w:footnoteRef/>
      </w:r>
      <w:r>
        <w:t xml:space="preserve"> Hailwood, ‘Rethinking literacy</w:t>
      </w:r>
      <w:r w:rsidR="009E2729">
        <w:t>’</w:t>
      </w:r>
      <w:r>
        <w:t>, p.10</w:t>
      </w:r>
      <w:r w:rsidR="00D911C8">
        <w:t>.</w:t>
      </w:r>
    </w:p>
  </w:footnote>
  <w:footnote w:id="431">
    <w:p w14:paraId="7284C6BA" w14:textId="16D7D271" w:rsidR="00220A86" w:rsidRDefault="00220A86" w:rsidP="00220A86">
      <w:pPr>
        <w:pStyle w:val="FootnoteText"/>
      </w:pPr>
      <w:r>
        <w:rPr>
          <w:rStyle w:val="FootnoteReference"/>
        </w:rPr>
        <w:footnoteRef/>
      </w:r>
      <w:r>
        <w:t xml:space="preserve"> Ibid., pp.15-17</w:t>
      </w:r>
      <w:r w:rsidR="00D911C8">
        <w:t>.</w:t>
      </w:r>
    </w:p>
  </w:footnote>
  <w:footnote w:id="432">
    <w:p w14:paraId="6AC8C9A6" w14:textId="70B0F990" w:rsidR="00220A86" w:rsidRDefault="00220A86" w:rsidP="00220A86">
      <w:pPr>
        <w:pStyle w:val="FootnoteText"/>
      </w:pPr>
      <w:r>
        <w:rPr>
          <w:rStyle w:val="FootnoteReference"/>
        </w:rPr>
        <w:footnoteRef/>
      </w:r>
      <w:r>
        <w:t xml:space="preserve"> Ibid., p.8</w:t>
      </w:r>
      <w:r w:rsidR="00D911C8">
        <w:t>.</w:t>
      </w:r>
    </w:p>
  </w:footnote>
  <w:footnote w:id="433">
    <w:p w14:paraId="33ECDDB7" w14:textId="5062F236" w:rsidR="00220A86" w:rsidRDefault="00220A86" w:rsidP="00220A86">
      <w:pPr>
        <w:pStyle w:val="FootnoteText"/>
      </w:pPr>
      <w:r>
        <w:rPr>
          <w:rStyle w:val="FootnoteReference"/>
        </w:rPr>
        <w:footnoteRef/>
      </w:r>
      <w:r>
        <w:t xml:space="preserve"> Ibid., p.25</w:t>
      </w:r>
      <w:r w:rsidR="00D911C8">
        <w:t>.</w:t>
      </w:r>
    </w:p>
  </w:footnote>
  <w:footnote w:id="434">
    <w:p w14:paraId="21028B6D" w14:textId="7EF2E6D7" w:rsidR="00220A86" w:rsidRDefault="00220A86" w:rsidP="00220A86">
      <w:pPr>
        <w:pStyle w:val="FootnoteText"/>
      </w:pPr>
      <w:r>
        <w:rPr>
          <w:rStyle w:val="FootnoteReference"/>
        </w:rPr>
        <w:footnoteRef/>
      </w:r>
      <w:r>
        <w:t xml:space="preserve"> Ibid., p.16</w:t>
      </w:r>
      <w:r w:rsidR="00D911C8">
        <w:t>.</w:t>
      </w:r>
    </w:p>
  </w:footnote>
  <w:footnote w:id="435">
    <w:p w14:paraId="79AB952F" w14:textId="478ED585" w:rsidR="00220A86" w:rsidRPr="000144B6" w:rsidRDefault="00220A86" w:rsidP="00220A86">
      <w:pPr>
        <w:pStyle w:val="FootnoteText"/>
        <w:rPr>
          <w:highlight w:val="yellow"/>
        </w:rPr>
      </w:pPr>
      <w:r>
        <w:rPr>
          <w:rStyle w:val="FootnoteReference"/>
        </w:rPr>
        <w:footnoteRef/>
      </w:r>
      <w:r>
        <w:t xml:space="preserve"> Ibid., p.11</w:t>
      </w:r>
      <w:r w:rsidR="00D911C8">
        <w:t>.</w:t>
      </w:r>
    </w:p>
  </w:footnote>
  <w:footnote w:id="436">
    <w:p w14:paraId="46871BF1" w14:textId="4DA21C44" w:rsidR="00220A86" w:rsidRDefault="00220A86" w:rsidP="00220A86">
      <w:pPr>
        <w:pStyle w:val="FootnoteText"/>
      </w:pPr>
      <w:r>
        <w:rPr>
          <w:rStyle w:val="FootnoteReference"/>
        </w:rPr>
        <w:footnoteRef/>
      </w:r>
      <w:r>
        <w:t xml:space="preserve"> LA: </w:t>
      </w:r>
      <w:r w:rsidRPr="002B385B">
        <w:t>WRW/K/R454A/29</w:t>
      </w:r>
      <w:r>
        <w:t>, Will of John Leaper of Over Kellet, yeoman, 1666</w:t>
      </w:r>
      <w:r w:rsidR="00D911C8">
        <w:t>.</w:t>
      </w:r>
    </w:p>
  </w:footnote>
  <w:footnote w:id="437">
    <w:p w14:paraId="4847CDBC" w14:textId="5F234B72" w:rsidR="00220A86" w:rsidRDefault="00220A86" w:rsidP="00220A86">
      <w:pPr>
        <w:pStyle w:val="FootnoteText"/>
      </w:pPr>
      <w:r>
        <w:rPr>
          <w:rStyle w:val="FootnoteReference"/>
        </w:rPr>
        <w:footnoteRef/>
      </w:r>
      <w:r>
        <w:t xml:space="preserve"> Adam Fox, ‘Words, words, words: education, literacy and print’, in Keith Wrightson (ed.), </w:t>
      </w:r>
      <w:r>
        <w:rPr>
          <w:i/>
          <w:iCs/>
        </w:rPr>
        <w:t xml:space="preserve">A Social History of England, 1500-1750, </w:t>
      </w:r>
      <w:r>
        <w:t>(Cambridge, 2017), pp.129-151, p.136</w:t>
      </w:r>
      <w:r w:rsidR="00D911C8">
        <w:t>.</w:t>
      </w:r>
    </w:p>
  </w:footnote>
  <w:footnote w:id="438">
    <w:p w14:paraId="05AC6F54" w14:textId="68124015" w:rsidR="00220A86" w:rsidRPr="00933EBA" w:rsidRDefault="00220A86" w:rsidP="00220A86">
      <w:pPr>
        <w:pStyle w:val="FootnoteText"/>
        <w:rPr>
          <w:b/>
          <w:bCs/>
        </w:rPr>
      </w:pPr>
      <w:r>
        <w:rPr>
          <w:rStyle w:val="FootnoteReference"/>
        </w:rPr>
        <w:footnoteRef/>
      </w:r>
      <w:r>
        <w:t xml:space="preserve"> </w:t>
      </w:r>
      <w:r w:rsidRPr="00933EBA">
        <w:t xml:space="preserve">Green, ‘Consumption and material culture’, </w:t>
      </w:r>
      <w:r w:rsidR="00787FC6">
        <w:t>p.</w:t>
      </w:r>
      <w:r w:rsidR="00B2791A">
        <w:t>252</w:t>
      </w:r>
      <w:r w:rsidR="00D911C8">
        <w:t>.</w:t>
      </w:r>
    </w:p>
  </w:footnote>
  <w:footnote w:id="439">
    <w:p w14:paraId="4337AEAD" w14:textId="1F316682" w:rsidR="00220A86" w:rsidRDefault="00220A86" w:rsidP="00220A86">
      <w:pPr>
        <w:pStyle w:val="FootnoteText"/>
      </w:pPr>
      <w:r>
        <w:rPr>
          <w:rStyle w:val="FootnoteReference"/>
        </w:rPr>
        <w:footnoteRef/>
      </w:r>
      <w:r>
        <w:t xml:space="preserve"> </w:t>
      </w:r>
      <w:r w:rsidRPr="002B061E">
        <w:t xml:space="preserve">Wrightson, </w:t>
      </w:r>
      <w:r w:rsidRPr="002B061E">
        <w:rPr>
          <w:i/>
          <w:iCs/>
        </w:rPr>
        <w:t xml:space="preserve">English Society, </w:t>
      </w:r>
      <w:r w:rsidRPr="002B061E">
        <w:t>p.235</w:t>
      </w:r>
      <w:r w:rsidR="00D911C8">
        <w:t>.</w:t>
      </w:r>
    </w:p>
  </w:footnote>
  <w:footnote w:id="440">
    <w:p w14:paraId="4A34EF6D" w14:textId="4F307B21" w:rsidR="00220A86" w:rsidRPr="003A1478" w:rsidRDefault="00220A86" w:rsidP="00220A86">
      <w:pPr>
        <w:pStyle w:val="FootnoteText"/>
      </w:pPr>
      <w:r>
        <w:rPr>
          <w:rStyle w:val="FootnoteReference"/>
        </w:rPr>
        <w:footnoteRef/>
      </w:r>
      <w:r>
        <w:t xml:space="preserve"> Wrightson, </w:t>
      </w:r>
      <w:r>
        <w:rPr>
          <w:i/>
          <w:iCs/>
        </w:rPr>
        <w:t xml:space="preserve">English Society, </w:t>
      </w:r>
      <w:r>
        <w:t>p.235</w:t>
      </w:r>
      <w:r w:rsidR="00D911C8">
        <w:t>.</w:t>
      </w:r>
    </w:p>
  </w:footnote>
  <w:footnote w:id="441">
    <w:p w14:paraId="6BD1F47F" w14:textId="45364CE3" w:rsidR="00220A86" w:rsidRDefault="00220A86" w:rsidP="00220A86">
      <w:pPr>
        <w:pStyle w:val="FootnoteText"/>
      </w:pPr>
      <w:r>
        <w:rPr>
          <w:rStyle w:val="FootnoteReference"/>
        </w:rPr>
        <w:footnoteRef/>
      </w:r>
      <w:r>
        <w:t xml:space="preserve"> Ibid., p.232</w:t>
      </w:r>
      <w:r w:rsidR="00D911C8">
        <w:t>.</w:t>
      </w:r>
    </w:p>
  </w:footnote>
  <w:footnote w:id="442">
    <w:p w14:paraId="709DAC69" w14:textId="11F07297" w:rsidR="00220A86" w:rsidRDefault="00220A86" w:rsidP="00220A86">
      <w:pPr>
        <w:pStyle w:val="FootnoteText"/>
      </w:pPr>
      <w:r>
        <w:rPr>
          <w:rStyle w:val="FootnoteReference"/>
        </w:rPr>
        <w:footnoteRef/>
      </w:r>
      <w:r>
        <w:t xml:space="preserve"> LA: WRW/K/R428B/5, Will of Isabell </w:t>
      </w:r>
      <w:proofErr w:type="spellStart"/>
      <w:r>
        <w:t>Dickonson</w:t>
      </w:r>
      <w:proofErr w:type="spellEnd"/>
      <w:r>
        <w:t xml:space="preserve"> of Bolton-le-Sands, widow, 1729</w:t>
      </w:r>
      <w:r w:rsidR="00D911C8">
        <w:t>.</w:t>
      </w:r>
    </w:p>
  </w:footnote>
  <w:footnote w:id="443">
    <w:p w14:paraId="6BEC3725" w14:textId="5068B6EA" w:rsidR="00220A86" w:rsidRDefault="00220A86" w:rsidP="00220A86">
      <w:pPr>
        <w:pStyle w:val="FootnoteText"/>
      </w:pPr>
      <w:r>
        <w:rPr>
          <w:rStyle w:val="FootnoteReference"/>
        </w:rPr>
        <w:footnoteRef/>
      </w:r>
      <w:r>
        <w:t xml:space="preserve"> LA</w:t>
      </w:r>
      <w:r w:rsidRPr="006F60D6">
        <w:t xml:space="preserve">: PR/3315/1/1, </w:t>
      </w:r>
      <w:r w:rsidR="00C92377">
        <w:rPr>
          <w:lang w:val="en-US"/>
        </w:rPr>
        <w:t>Parish Register of</w:t>
      </w:r>
      <w:r w:rsidR="00596027" w:rsidRPr="00596027">
        <w:rPr>
          <w:lang w:val="en-US"/>
        </w:rPr>
        <w:t xml:space="preserve"> Holy Trinity Church, Bolton-le-Sands</w:t>
      </w:r>
      <w:r>
        <w:t xml:space="preserve">, Burial of Isabell </w:t>
      </w:r>
      <w:proofErr w:type="spellStart"/>
      <w:r>
        <w:t>Dickonson</w:t>
      </w:r>
      <w:proofErr w:type="spellEnd"/>
      <w:r>
        <w:t>, 24 September 1729</w:t>
      </w:r>
      <w:r w:rsidR="00D911C8">
        <w:t>.</w:t>
      </w:r>
    </w:p>
  </w:footnote>
  <w:footnote w:id="444">
    <w:p w14:paraId="600C8225" w14:textId="5C3E015A" w:rsidR="00220A86" w:rsidRDefault="00220A86" w:rsidP="00220A86">
      <w:pPr>
        <w:pStyle w:val="FootnoteText"/>
      </w:pPr>
      <w:r>
        <w:rPr>
          <w:rStyle w:val="FootnoteReference"/>
        </w:rPr>
        <w:footnoteRef/>
      </w:r>
      <w:r>
        <w:t xml:space="preserve"> </w:t>
      </w:r>
      <w:r w:rsidR="00B9078E">
        <w:t>CRO</w:t>
      </w:r>
      <w:r>
        <w:t>: WS 1728, Will of Daniel Hulme of Sutton, schoolmaster, 1728</w:t>
      </w:r>
      <w:r w:rsidR="00D911C8">
        <w:t>.</w:t>
      </w:r>
    </w:p>
  </w:footnote>
  <w:footnote w:id="445">
    <w:p w14:paraId="5AE9C172" w14:textId="51C6CB70" w:rsidR="00220A86" w:rsidRDefault="00220A86" w:rsidP="00220A86">
      <w:pPr>
        <w:pStyle w:val="FootnoteText"/>
      </w:pPr>
      <w:r>
        <w:rPr>
          <w:rStyle w:val="FootnoteReference"/>
        </w:rPr>
        <w:footnoteRef/>
      </w:r>
      <w:r>
        <w:t xml:space="preserve"> Evans, ‘Testators, literacy, education</w:t>
      </w:r>
      <w:r w:rsidR="00066D4B">
        <w:t>’</w:t>
      </w:r>
      <w:r>
        <w:t>, p.44</w:t>
      </w:r>
      <w:r w:rsidR="00D911C8">
        <w:t>.</w:t>
      </w:r>
    </w:p>
  </w:footnote>
  <w:footnote w:id="446">
    <w:p w14:paraId="54AF23DB" w14:textId="52775730" w:rsidR="00220A86" w:rsidRDefault="00220A86" w:rsidP="00220A86">
      <w:pPr>
        <w:pStyle w:val="FootnoteText"/>
      </w:pPr>
      <w:r>
        <w:rPr>
          <w:rStyle w:val="FootnoteReference"/>
        </w:rPr>
        <w:footnoteRef/>
      </w:r>
      <w:r>
        <w:t xml:space="preserve"> </w:t>
      </w:r>
      <w:r w:rsidR="004061AC">
        <w:t>LA</w:t>
      </w:r>
      <w:r>
        <w:t>: WRW/K/R436A/61, Will of Robert Gibson of Over Kellet, yeoman, 1725</w:t>
      </w:r>
      <w:r w:rsidR="00D911C8">
        <w:t>.</w:t>
      </w:r>
    </w:p>
  </w:footnote>
  <w:footnote w:id="447">
    <w:p w14:paraId="5DFF628C" w14:textId="2D54B5F6" w:rsidR="00220A86" w:rsidRPr="00852DB3" w:rsidRDefault="00220A86" w:rsidP="00220A86">
      <w:pPr>
        <w:pStyle w:val="FootnoteText"/>
      </w:pPr>
      <w:r>
        <w:rPr>
          <w:rStyle w:val="FootnoteReference"/>
        </w:rPr>
        <w:footnoteRef/>
      </w:r>
      <w:r>
        <w:t xml:space="preserve"> Peter Edward Stanley, </w:t>
      </w:r>
      <w:r>
        <w:rPr>
          <w:i/>
          <w:iCs/>
        </w:rPr>
        <w:t xml:space="preserve">The House of Stanley: The History of an English Family from the Twelfth Century, </w:t>
      </w:r>
      <w:r>
        <w:t>(Edinburgh, 1988), p.139</w:t>
      </w:r>
      <w:r w:rsidR="00D911C8">
        <w:t>.</w:t>
      </w:r>
    </w:p>
  </w:footnote>
  <w:footnote w:id="448">
    <w:p w14:paraId="29747478" w14:textId="25D55F42" w:rsidR="00220A86" w:rsidRDefault="00220A86" w:rsidP="00220A86">
      <w:pPr>
        <w:pStyle w:val="FootnoteText"/>
      </w:pPr>
      <w:r>
        <w:rPr>
          <w:rStyle w:val="FootnoteReference"/>
        </w:rPr>
        <w:footnoteRef/>
      </w:r>
      <w:r>
        <w:t xml:space="preserve"> </w:t>
      </w:r>
      <w:r w:rsidR="00D45BAD" w:rsidRPr="004B643E">
        <w:t>Adlington Estate Archive (AEA)</w:t>
      </w:r>
      <w:r w:rsidRPr="004B643E">
        <w:t>: DLA; L</w:t>
      </w:r>
      <w:r w:rsidR="004B643E" w:rsidRPr="004B643E">
        <w:t>A</w:t>
      </w:r>
      <w:r w:rsidRPr="004B643E">
        <w:t>: Stanley, Earls of Derby (of Knowsley) 1235-1892, DDK Boxes 1-8, Boxes 10-15, Boxes 18-20: Original Leases for the Derby Estates in Macclesfield Hundred</w:t>
      </w:r>
      <w:r w:rsidR="00D911C8">
        <w:t>.</w:t>
      </w:r>
    </w:p>
  </w:footnote>
  <w:footnote w:id="449">
    <w:p w14:paraId="73A4F0BD" w14:textId="05B425FF" w:rsidR="00220A86" w:rsidRPr="00610E51" w:rsidRDefault="00220A86" w:rsidP="00220A86">
      <w:pPr>
        <w:pStyle w:val="FootnoteText"/>
      </w:pPr>
      <w:r>
        <w:rPr>
          <w:rStyle w:val="FootnoteReference"/>
        </w:rPr>
        <w:footnoteRef/>
      </w:r>
      <w:r>
        <w:t xml:space="preserve"> Christopher Clay, ‘</w:t>
      </w:r>
      <w:proofErr w:type="spellStart"/>
      <w:r>
        <w:t>Lifeleasehold</w:t>
      </w:r>
      <w:proofErr w:type="spellEnd"/>
      <w:r>
        <w:t xml:space="preserve"> in the western counties of England 1650-1750’, </w:t>
      </w:r>
      <w:r>
        <w:rPr>
          <w:i/>
          <w:iCs/>
        </w:rPr>
        <w:t xml:space="preserve">The Agricultural History Review, </w:t>
      </w:r>
      <w:r>
        <w:t xml:space="preserve">Vol. 29, No. 2, (1981), pp.83-96; R. W. Hoyle, ‘An ancient and laudable custom: the definition and development of tenant right in north-western England in the sixteenth century’, </w:t>
      </w:r>
      <w:r>
        <w:rPr>
          <w:i/>
          <w:iCs/>
        </w:rPr>
        <w:t xml:space="preserve">Past &amp; Present, </w:t>
      </w:r>
      <w:r>
        <w:t>Vol. 116, (1987), pp.24-55</w:t>
      </w:r>
      <w:r w:rsidR="00D911C8">
        <w:t>.</w:t>
      </w:r>
    </w:p>
  </w:footnote>
  <w:footnote w:id="450">
    <w:p w14:paraId="19B47800" w14:textId="6B2251E5" w:rsidR="00220A86" w:rsidRDefault="00220A86" w:rsidP="00220A86">
      <w:pPr>
        <w:pStyle w:val="FootnoteText"/>
      </w:pPr>
      <w:r>
        <w:rPr>
          <w:rStyle w:val="FootnoteReference"/>
        </w:rPr>
        <w:footnoteRef/>
      </w:r>
      <w:r>
        <w:t xml:space="preserve"> Jane Whittle, ‘Land and people, in Keith Wrightson, </w:t>
      </w:r>
      <w:r>
        <w:rPr>
          <w:i/>
          <w:iCs/>
        </w:rPr>
        <w:t xml:space="preserve">A Social History of England, 1500-1750, </w:t>
      </w:r>
      <w:r>
        <w:t>(Cambridge, 2017), pp.152-173, p.155</w:t>
      </w:r>
      <w:r w:rsidR="00D911C8">
        <w:t>.</w:t>
      </w:r>
    </w:p>
  </w:footnote>
  <w:footnote w:id="451">
    <w:p w14:paraId="3B6C5CDC" w14:textId="1EACA91E" w:rsidR="00220A86" w:rsidRDefault="00220A86" w:rsidP="00220A86">
      <w:pPr>
        <w:pStyle w:val="FootnoteText"/>
      </w:pPr>
      <w:r>
        <w:rPr>
          <w:rStyle w:val="FootnoteReference"/>
        </w:rPr>
        <w:footnoteRef/>
      </w:r>
      <w:r>
        <w:t xml:space="preserve"> </w:t>
      </w:r>
      <w:r w:rsidRPr="002A1A0D">
        <w:t>CRO: WS 1661, Will of Roger Birtles of Butley, yeoman, 1655</w:t>
      </w:r>
      <w:r w:rsidR="00D911C8">
        <w:t>.</w:t>
      </w:r>
    </w:p>
  </w:footnote>
  <w:footnote w:id="452">
    <w:p w14:paraId="47333AFD" w14:textId="64A237FF" w:rsidR="00220A86" w:rsidRDefault="00220A86" w:rsidP="00220A86">
      <w:pPr>
        <w:pStyle w:val="FootnoteText"/>
      </w:pPr>
      <w:r>
        <w:rPr>
          <w:rStyle w:val="FootnoteReference"/>
        </w:rPr>
        <w:footnoteRef/>
      </w:r>
      <w:r>
        <w:t xml:space="preserve"> </w:t>
      </w:r>
      <w:r w:rsidR="007B6B4C">
        <w:t>Ibid.</w:t>
      </w:r>
    </w:p>
  </w:footnote>
  <w:footnote w:id="453">
    <w:p w14:paraId="136AD84D" w14:textId="60E09F2A" w:rsidR="00220A86" w:rsidRDefault="00220A86" w:rsidP="00220A86">
      <w:pPr>
        <w:pStyle w:val="FootnoteText"/>
      </w:pPr>
      <w:r>
        <w:rPr>
          <w:rStyle w:val="FootnoteReference"/>
        </w:rPr>
        <w:footnoteRef/>
      </w:r>
      <w:r>
        <w:t xml:space="preserve"> CRO</w:t>
      </w:r>
      <w:r w:rsidRPr="00453C3E">
        <w:t>: WS 1726, Will of Thomas Frost of Wildboarclough, yeoman, 1726</w:t>
      </w:r>
      <w:r w:rsidR="00D911C8">
        <w:t>.</w:t>
      </w:r>
    </w:p>
  </w:footnote>
  <w:footnote w:id="454">
    <w:p w14:paraId="04F8B407" w14:textId="24470219" w:rsidR="00220A86" w:rsidRDefault="00220A86" w:rsidP="00220A86">
      <w:pPr>
        <w:pStyle w:val="FootnoteText"/>
      </w:pPr>
      <w:r>
        <w:rPr>
          <w:rStyle w:val="FootnoteReference"/>
        </w:rPr>
        <w:footnoteRef/>
      </w:r>
      <w:r>
        <w:t xml:space="preserve"> </w:t>
      </w:r>
      <w:r w:rsidRPr="00453C3E">
        <w:t>C</w:t>
      </w:r>
      <w:r>
        <w:t>RO</w:t>
      </w:r>
      <w:r w:rsidRPr="00453C3E">
        <w:t>: WS 1722, Will of Richard Chaddock of Sutton, yeoman, 1721</w:t>
      </w:r>
      <w:r w:rsidR="00D911C8">
        <w:t>.</w:t>
      </w:r>
    </w:p>
  </w:footnote>
  <w:footnote w:id="455">
    <w:p w14:paraId="541F30E8" w14:textId="298CE427" w:rsidR="00220A86" w:rsidRDefault="00220A86" w:rsidP="00220A86">
      <w:pPr>
        <w:pStyle w:val="FootnoteText"/>
      </w:pPr>
      <w:r>
        <w:rPr>
          <w:rStyle w:val="FootnoteReference"/>
        </w:rPr>
        <w:footnoteRef/>
      </w:r>
      <w:r>
        <w:t xml:space="preserve"> Ibid.</w:t>
      </w:r>
    </w:p>
  </w:footnote>
  <w:footnote w:id="456">
    <w:p w14:paraId="4BA40F3E" w14:textId="61EF0272" w:rsidR="00220A86" w:rsidRDefault="00220A86" w:rsidP="00220A86">
      <w:pPr>
        <w:pStyle w:val="FootnoteText"/>
      </w:pPr>
      <w:r>
        <w:rPr>
          <w:rStyle w:val="FootnoteReference"/>
        </w:rPr>
        <w:footnoteRef/>
      </w:r>
      <w:r>
        <w:t xml:space="preserve"> </w:t>
      </w:r>
      <w:r w:rsidR="00290EC2" w:rsidRPr="00290EC2">
        <w:t>CRO: WS 1726, Will of Thomas Frost of Wildboarclough, yeoman, 1726</w:t>
      </w:r>
      <w:r w:rsidR="00D911C8">
        <w:t>.</w:t>
      </w:r>
    </w:p>
  </w:footnote>
  <w:footnote w:id="457">
    <w:p w14:paraId="6FE9AAFE" w14:textId="293DC727" w:rsidR="00220A86" w:rsidRDefault="00220A86" w:rsidP="00220A86">
      <w:pPr>
        <w:pStyle w:val="FootnoteText"/>
      </w:pPr>
      <w:r>
        <w:rPr>
          <w:rStyle w:val="FootnoteReference"/>
        </w:rPr>
        <w:footnoteRef/>
      </w:r>
      <w:r>
        <w:t xml:space="preserve"> </w:t>
      </w:r>
      <w:r w:rsidRPr="009F7349">
        <w:t xml:space="preserve">Richard Abels, 'Heriot', in Michael Lapidge, John Blair, Simon Keynes, and Donald Scragg (eds), </w:t>
      </w:r>
      <w:r w:rsidRPr="009F7349">
        <w:rPr>
          <w:i/>
          <w:iCs/>
        </w:rPr>
        <w:t xml:space="preserve">The Wiley Blackwell </w:t>
      </w:r>
      <w:proofErr w:type="spellStart"/>
      <w:r w:rsidRPr="009F7349">
        <w:rPr>
          <w:i/>
          <w:iCs/>
        </w:rPr>
        <w:t>Encyclopedia</w:t>
      </w:r>
      <w:proofErr w:type="spellEnd"/>
      <w:r w:rsidRPr="009F7349">
        <w:rPr>
          <w:i/>
          <w:iCs/>
        </w:rPr>
        <w:t xml:space="preserve"> of Anglo-Saxon England</w:t>
      </w:r>
      <w:r w:rsidRPr="009F7349">
        <w:t>, (Chichester, 2013)</w:t>
      </w:r>
      <w:r w:rsidR="00987234">
        <w:t>,</w:t>
      </w:r>
      <w:r w:rsidRPr="009F7349">
        <w:t xml:space="preserve"> pp.241-240</w:t>
      </w:r>
      <w:r w:rsidR="00D911C8">
        <w:t>.</w:t>
      </w:r>
    </w:p>
  </w:footnote>
  <w:footnote w:id="458">
    <w:p w14:paraId="7251BA92" w14:textId="420DE0AF" w:rsidR="00220A86" w:rsidRDefault="00220A86" w:rsidP="00220A86">
      <w:pPr>
        <w:pStyle w:val="FootnoteText"/>
      </w:pPr>
      <w:r>
        <w:rPr>
          <w:rStyle w:val="FootnoteReference"/>
        </w:rPr>
        <w:footnoteRef/>
      </w:r>
      <w:r>
        <w:t xml:space="preserve"> CRO: WS 1742, Will of John Johnson of Sutton, yeoman, 1742</w:t>
      </w:r>
      <w:r w:rsidR="00D911C8">
        <w:t>.</w:t>
      </w:r>
    </w:p>
  </w:footnote>
  <w:footnote w:id="459">
    <w:p w14:paraId="446F6D3F" w14:textId="29717849" w:rsidR="00220A86" w:rsidRDefault="00220A86" w:rsidP="00220A86">
      <w:pPr>
        <w:pStyle w:val="FootnoteText"/>
      </w:pPr>
      <w:r>
        <w:rPr>
          <w:rStyle w:val="FootnoteReference"/>
        </w:rPr>
        <w:footnoteRef/>
      </w:r>
      <w:r>
        <w:t xml:space="preserve"> John Addy, </w:t>
      </w:r>
      <w:r>
        <w:rPr>
          <w:i/>
          <w:iCs/>
        </w:rPr>
        <w:t xml:space="preserve">Death, Money and the Vultures: Inheritance and Avarice 1660-1750, </w:t>
      </w:r>
      <w:r>
        <w:t>(London, 2013),</w:t>
      </w:r>
      <w:r>
        <w:rPr>
          <w:i/>
          <w:iCs/>
        </w:rPr>
        <w:t xml:space="preserve"> </w:t>
      </w:r>
      <w:r>
        <w:t>p.15</w:t>
      </w:r>
      <w:r w:rsidR="00D911C8">
        <w:t>.</w:t>
      </w:r>
    </w:p>
  </w:footnote>
  <w:footnote w:id="460">
    <w:p w14:paraId="01BEED9F" w14:textId="012052C7" w:rsidR="00220A86" w:rsidRDefault="00220A86" w:rsidP="00220A86">
      <w:pPr>
        <w:pStyle w:val="FootnoteText"/>
      </w:pPr>
      <w:r>
        <w:rPr>
          <w:rStyle w:val="FootnoteReference"/>
        </w:rPr>
        <w:footnoteRef/>
      </w:r>
      <w:r>
        <w:t xml:space="preserve"> </w:t>
      </w:r>
      <w:r w:rsidR="006A41C9">
        <w:t>CRO</w:t>
      </w:r>
      <w:r>
        <w:t>: WS 1690, Will of</w:t>
      </w:r>
      <w:r w:rsidRPr="009F7B47">
        <w:rPr>
          <w:rFonts w:eastAsiaTheme="minorEastAsia" w:cstheme="minorBidi"/>
          <w:sz w:val="24"/>
          <w:szCs w:val="24"/>
        </w:rPr>
        <w:t xml:space="preserve"> </w:t>
      </w:r>
      <w:r w:rsidRPr="009F7B47">
        <w:t>Edward Plant of Butley, yeoman, 1678</w:t>
      </w:r>
      <w:r w:rsidR="00D911C8">
        <w:t>.</w:t>
      </w:r>
    </w:p>
  </w:footnote>
  <w:footnote w:id="461">
    <w:p w14:paraId="14AE972D" w14:textId="0102032C" w:rsidR="00220A86" w:rsidRDefault="00220A86" w:rsidP="00220A86">
      <w:pPr>
        <w:pStyle w:val="FootnoteText"/>
      </w:pPr>
      <w:r>
        <w:rPr>
          <w:rStyle w:val="FootnoteReference"/>
        </w:rPr>
        <w:footnoteRef/>
      </w:r>
      <w:r>
        <w:t xml:space="preserve"> Ibid.</w:t>
      </w:r>
    </w:p>
  </w:footnote>
  <w:footnote w:id="462">
    <w:p w14:paraId="08EA457D" w14:textId="50144FFE" w:rsidR="00220A86" w:rsidRDefault="00220A86" w:rsidP="00220A86">
      <w:pPr>
        <w:pStyle w:val="FootnoteText"/>
      </w:pPr>
      <w:r>
        <w:rPr>
          <w:rStyle w:val="FootnoteReference"/>
        </w:rPr>
        <w:footnoteRef/>
      </w:r>
      <w:r>
        <w:t xml:space="preserve"> </w:t>
      </w:r>
      <w:r w:rsidRPr="0060318E">
        <w:t xml:space="preserve">Lloyd Bonfield, ‘Contrasting sources: court rolls and settlements as evidence of hereditary transmission of land amongst small landowners in early modern England’, </w:t>
      </w:r>
      <w:r w:rsidRPr="0060318E">
        <w:rPr>
          <w:i/>
          <w:iCs/>
        </w:rPr>
        <w:t xml:space="preserve">University of Illinois Law Review, </w:t>
      </w:r>
      <w:r w:rsidRPr="0060318E">
        <w:t xml:space="preserve">Vol. 1984, No. 3, (1984), </w:t>
      </w:r>
      <w:r w:rsidRPr="0060318E">
        <w:rPr>
          <w:i/>
          <w:iCs/>
        </w:rPr>
        <w:t xml:space="preserve">A Symposium in Legal History: English Common Law: Studies in the Sources, </w:t>
      </w:r>
      <w:r w:rsidRPr="0060318E">
        <w:t>pp.639-658</w:t>
      </w:r>
      <w:r>
        <w:t>, p.653</w:t>
      </w:r>
      <w:r w:rsidR="00D911C8">
        <w:t>.</w:t>
      </w:r>
    </w:p>
  </w:footnote>
  <w:footnote w:id="463">
    <w:p w14:paraId="1E787001" w14:textId="364DA9DA" w:rsidR="00220A86" w:rsidRDefault="00220A86" w:rsidP="00220A86">
      <w:pPr>
        <w:pStyle w:val="FootnoteText"/>
      </w:pPr>
      <w:r>
        <w:rPr>
          <w:rStyle w:val="FootnoteReference"/>
        </w:rPr>
        <w:footnoteRef/>
      </w:r>
      <w:r>
        <w:t xml:space="preserve"> </w:t>
      </w:r>
      <w:r w:rsidR="008F041E">
        <w:t>LA</w:t>
      </w:r>
      <w:r>
        <w:t xml:space="preserve">: WRW/K/R415A/49, Will of Christopher Bell of Over Kellet, yeoman, 1723; </w:t>
      </w:r>
      <w:r w:rsidRPr="00A271BD">
        <w:t xml:space="preserve">Christine Churches, ‘Women and property in early modern England: a case study’, </w:t>
      </w:r>
      <w:r w:rsidRPr="00A271BD">
        <w:rPr>
          <w:i/>
          <w:iCs/>
        </w:rPr>
        <w:t xml:space="preserve">Social History, </w:t>
      </w:r>
      <w:r w:rsidRPr="00A271BD">
        <w:t>Vol. 23, No. 2, (1998), pp.165-180, p.167</w:t>
      </w:r>
      <w:r w:rsidR="00D911C8">
        <w:t>.</w:t>
      </w:r>
    </w:p>
  </w:footnote>
  <w:footnote w:id="464">
    <w:p w14:paraId="0D6D948F" w14:textId="5C79E8AF" w:rsidR="00220A86" w:rsidRDefault="00220A86" w:rsidP="00220A86">
      <w:pPr>
        <w:pStyle w:val="FootnoteText"/>
      </w:pPr>
      <w:r>
        <w:rPr>
          <w:rStyle w:val="FootnoteReference"/>
        </w:rPr>
        <w:footnoteRef/>
      </w:r>
      <w:r>
        <w:t xml:space="preserve"> </w:t>
      </w:r>
      <w:r w:rsidRPr="00BE411B">
        <w:rPr>
          <w:lang w:val="en-US"/>
        </w:rPr>
        <w:t xml:space="preserve">Juliet Gayton, ‘Mortgages raised by rural English copyhold tenants 1605-1735’, in Chris Briggs and Jaco Zuijderduijn (eds), </w:t>
      </w:r>
      <w:r w:rsidRPr="00BE411B">
        <w:rPr>
          <w:i/>
          <w:iCs/>
          <w:lang w:val="en-US"/>
        </w:rPr>
        <w:t xml:space="preserve">Land and Credit: Mortgages in the Medieval and Early Modern European Countryside, </w:t>
      </w:r>
      <w:r w:rsidRPr="00BE411B">
        <w:rPr>
          <w:lang w:val="en-US"/>
        </w:rPr>
        <w:t>(Cham, 2018), pp.47-80</w:t>
      </w:r>
      <w:r>
        <w:t>, pp.48-49</w:t>
      </w:r>
      <w:r w:rsidR="00D911C8">
        <w:t>.</w:t>
      </w:r>
    </w:p>
  </w:footnote>
  <w:footnote w:id="465">
    <w:p w14:paraId="3FE8DC49" w14:textId="4BE06F45" w:rsidR="00220A86" w:rsidRDefault="00220A86" w:rsidP="00220A86">
      <w:pPr>
        <w:pStyle w:val="FootnoteText"/>
      </w:pPr>
      <w:r>
        <w:rPr>
          <w:rStyle w:val="FootnoteReference"/>
        </w:rPr>
        <w:footnoteRef/>
      </w:r>
      <w:r>
        <w:t xml:space="preserve"> Ibid., p.48</w:t>
      </w:r>
      <w:r w:rsidR="00D911C8">
        <w:t>.</w:t>
      </w:r>
    </w:p>
  </w:footnote>
  <w:footnote w:id="466">
    <w:p w14:paraId="6357A80C" w14:textId="77777777" w:rsidR="00220A86" w:rsidRDefault="00220A86" w:rsidP="00220A86">
      <w:pPr>
        <w:pStyle w:val="FootnoteText"/>
      </w:pPr>
      <w:r>
        <w:rPr>
          <w:rStyle w:val="FootnoteReference"/>
        </w:rPr>
        <w:footnoteRef/>
      </w:r>
      <w:r>
        <w:t xml:space="preserve"> CRO: WS 1717, Will of Henry Cherry of Sutton, yeoman, 1717; </w:t>
      </w:r>
      <w:r w:rsidRPr="00CA6B59">
        <w:t>CRO: WS 1726, Will of Thomas Frost of Wildboarclough, yeoman, 1726</w:t>
      </w:r>
      <w:r>
        <w:t xml:space="preserve">; </w:t>
      </w:r>
      <w:r w:rsidRPr="00133FD1">
        <w:t>CRO: WS 1742, Will of John Johnson of Sutton, yeoman, 1742</w:t>
      </w:r>
      <w:r>
        <w:t xml:space="preserve">; </w:t>
      </w:r>
      <w:r w:rsidRPr="00006AA6">
        <w:rPr>
          <w:lang w:val="en-US"/>
        </w:rPr>
        <w:t>Will of George Brocklehurst of Kettleshulme, yeoman, 1748, consulted with the permission of Sue Matthewson at Gap House on 20 February 2020</w:t>
      </w:r>
      <w:r>
        <w:t>. The four inscribed properties these testators were associated with were Ridge Hill Farmhouse, Lower Barn, Fern Lee Farmhouse and Gap House respectively.</w:t>
      </w:r>
    </w:p>
  </w:footnote>
  <w:footnote w:id="467">
    <w:p w14:paraId="34D6B1CC" w14:textId="7C1980E8" w:rsidR="00220A86" w:rsidRDefault="00220A86" w:rsidP="00220A86">
      <w:pPr>
        <w:pStyle w:val="FootnoteText"/>
      </w:pPr>
      <w:r>
        <w:rPr>
          <w:rStyle w:val="FootnoteReference"/>
        </w:rPr>
        <w:footnoteRef/>
      </w:r>
      <w:r>
        <w:t xml:space="preserve"> </w:t>
      </w:r>
      <w:r w:rsidRPr="00F7418F">
        <w:t>Adlington Estate Archive (hereafter AEA):</w:t>
      </w:r>
      <w:r w:rsidR="006B6A4B">
        <w:t xml:space="preserve"> </w:t>
      </w:r>
      <w:r w:rsidR="00E4140D" w:rsidRPr="00E4140D">
        <w:t>DLA 28/11</w:t>
      </w:r>
      <w:r w:rsidR="00E4140D">
        <w:t>,</w:t>
      </w:r>
      <w:r>
        <w:t xml:space="preserve"> </w:t>
      </w:r>
      <w:r w:rsidRPr="0059559F">
        <w:rPr>
          <w:lang w:val="en-US"/>
        </w:rPr>
        <w:t>Counterpart lease between John Legh of Adlington, esquire and Thomas Deane of Nether Alderley, yeoman, 24 January 1699</w:t>
      </w:r>
      <w:r>
        <w:t>; AEA: DLA 30/11,</w:t>
      </w:r>
      <w:r w:rsidRPr="006152AF">
        <w:rPr>
          <w:rFonts w:eastAsiaTheme="minorEastAsia" w:cstheme="minorBidi"/>
          <w:sz w:val="24"/>
          <w:szCs w:val="24"/>
          <w:lang w:val="en-US"/>
        </w:rPr>
        <w:t xml:space="preserve"> </w:t>
      </w:r>
      <w:r w:rsidRPr="006152AF">
        <w:rPr>
          <w:lang w:val="en-US"/>
        </w:rPr>
        <w:t>Counterpart lease between John Legh of Adlington, esquire and Thomas Deane of Butley, 24 June 1715</w:t>
      </w:r>
      <w:r w:rsidR="00D911C8">
        <w:rPr>
          <w:lang w:val="en-US"/>
        </w:rPr>
        <w:t>.</w:t>
      </w:r>
    </w:p>
  </w:footnote>
  <w:footnote w:id="468">
    <w:p w14:paraId="2B6FA5FE" w14:textId="5356DA8D" w:rsidR="00220A86" w:rsidRDefault="00220A86" w:rsidP="00220A86">
      <w:pPr>
        <w:pStyle w:val="FootnoteText"/>
      </w:pPr>
      <w:r>
        <w:rPr>
          <w:rStyle w:val="FootnoteReference"/>
        </w:rPr>
        <w:footnoteRef/>
      </w:r>
      <w:r>
        <w:t xml:space="preserve"> </w:t>
      </w:r>
      <w:r w:rsidRPr="00276F34">
        <w:t>Erickson, ‘Possession</w:t>
      </w:r>
      <w:r w:rsidR="00DB2AE0">
        <w:t>’</w:t>
      </w:r>
      <w:r>
        <w:t>, pp.372-373</w:t>
      </w:r>
      <w:r w:rsidR="00D911C8">
        <w:t>.</w:t>
      </w:r>
    </w:p>
  </w:footnote>
  <w:footnote w:id="469">
    <w:p w14:paraId="753FD4AA" w14:textId="7973321F" w:rsidR="00220A86" w:rsidRPr="00EE67ED" w:rsidRDefault="00220A86" w:rsidP="00220A86">
      <w:pPr>
        <w:pStyle w:val="FootnoteText"/>
      </w:pPr>
      <w:r>
        <w:rPr>
          <w:rStyle w:val="FootnoteReference"/>
        </w:rPr>
        <w:footnoteRef/>
      </w:r>
      <w:r>
        <w:t xml:space="preserve"> Pierre Bourdieu, </w:t>
      </w:r>
      <w:r>
        <w:rPr>
          <w:i/>
          <w:iCs/>
        </w:rPr>
        <w:t xml:space="preserve">Outline of a Theory of Practice, </w:t>
      </w:r>
      <w:r>
        <w:t>(Cambridge, 1977), pp.7-9</w:t>
      </w:r>
      <w:r w:rsidR="00D911C8">
        <w:t>.</w:t>
      </w:r>
    </w:p>
  </w:footnote>
  <w:footnote w:id="470">
    <w:p w14:paraId="2CCE8455" w14:textId="460B46D6" w:rsidR="00220A86" w:rsidRDefault="00220A86" w:rsidP="00220A86">
      <w:pPr>
        <w:pStyle w:val="FootnoteText"/>
      </w:pPr>
      <w:r>
        <w:rPr>
          <w:rStyle w:val="FootnoteReference"/>
        </w:rPr>
        <w:footnoteRef/>
      </w:r>
      <w:r>
        <w:t xml:space="preserve"> </w:t>
      </w:r>
      <w:r w:rsidR="00A375D9">
        <w:t>CRO</w:t>
      </w:r>
      <w:r>
        <w:t>: WS 1749, Will of Thomas Mason of Sutton, husbandman, 1748</w:t>
      </w:r>
      <w:r w:rsidR="00D911C8">
        <w:t>.</w:t>
      </w:r>
    </w:p>
  </w:footnote>
  <w:footnote w:id="471">
    <w:p w14:paraId="09B76D0D" w14:textId="39A963FF" w:rsidR="00220A86" w:rsidRDefault="00220A86" w:rsidP="00220A86">
      <w:pPr>
        <w:pStyle w:val="FootnoteText"/>
      </w:pPr>
      <w:r>
        <w:rPr>
          <w:rStyle w:val="FootnoteReference"/>
        </w:rPr>
        <w:footnoteRef/>
      </w:r>
      <w:r>
        <w:t xml:space="preserve"> Bonfield, ‘Contrasting sources’, p.658</w:t>
      </w:r>
      <w:r w:rsidR="00D911C8">
        <w:t>.</w:t>
      </w:r>
    </w:p>
  </w:footnote>
  <w:footnote w:id="472">
    <w:p w14:paraId="5CDF39BA" w14:textId="326E08D3" w:rsidR="00220A86" w:rsidRDefault="00220A86" w:rsidP="00220A86">
      <w:pPr>
        <w:pStyle w:val="FootnoteText"/>
      </w:pPr>
      <w:r>
        <w:rPr>
          <w:rStyle w:val="FootnoteReference"/>
        </w:rPr>
        <w:footnoteRef/>
      </w:r>
      <w:r>
        <w:t xml:space="preserve"> Sara Mendelson and Patricia Crawford, </w:t>
      </w:r>
      <w:r>
        <w:rPr>
          <w:i/>
          <w:iCs/>
        </w:rPr>
        <w:t xml:space="preserve">Women in Early Modern England, 1550-1720, </w:t>
      </w:r>
      <w:r>
        <w:t>(Oxford,</w:t>
      </w:r>
      <w:r>
        <w:rPr>
          <w:i/>
          <w:iCs/>
        </w:rPr>
        <w:t xml:space="preserve"> </w:t>
      </w:r>
      <w:r>
        <w:t>1998), p.</w:t>
      </w:r>
      <w:r w:rsidRPr="00731576">
        <w:t>198</w:t>
      </w:r>
      <w:r w:rsidR="00D911C8">
        <w:t>.</w:t>
      </w:r>
    </w:p>
  </w:footnote>
  <w:footnote w:id="473">
    <w:p w14:paraId="7AB682A3" w14:textId="425562AA" w:rsidR="00220A86" w:rsidRDefault="00220A86" w:rsidP="00220A86">
      <w:pPr>
        <w:pStyle w:val="FootnoteText"/>
      </w:pPr>
      <w:r>
        <w:rPr>
          <w:rStyle w:val="FootnoteReference"/>
        </w:rPr>
        <w:footnoteRef/>
      </w:r>
      <w:r>
        <w:t xml:space="preserve"> </w:t>
      </w:r>
      <w:r w:rsidRPr="00921BD2">
        <w:t xml:space="preserve">Lloyd Davies, ‘Women’s wills in early modern England’, in Andrew Buck, Margaret Ferguson and Nency Wright (eds), </w:t>
      </w:r>
      <w:r w:rsidRPr="00921BD2">
        <w:rPr>
          <w:i/>
          <w:iCs/>
        </w:rPr>
        <w:t xml:space="preserve">Women, Property, and the Letters of the Law in Early Modern England, </w:t>
      </w:r>
      <w:r w:rsidRPr="00921BD2">
        <w:t>(Toronto, 2004), pp.220-236, p.230;</w:t>
      </w:r>
      <w:r>
        <w:t xml:space="preserve"> </w:t>
      </w:r>
      <w:r w:rsidRPr="00FF0DE3">
        <w:rPr>
          <w:rFonts w:eastAsia="Calibri"/>
        </w:rPr>
        <w:t>Erickson, ‘Possession</w:t>
      </w:r>
      <w:r w:rsidR="00DB2AE0">
        <w:rPr>
          <w:rFonts w:eastAsia="Calibri"/>
        </w:rPr>
        <w:t>’</w:t>
      </w:r>
      <w:r w:rsidRPr="00FF0DE3">
        <w:t>, p.374</w:t>
      </w:r>
      <w:r w:rsidR="00D911C8">
        <w:t>.</w:t>
      </w:r>
    </w:p>
  </w:footnote>
  <w:footnote w:id="474">
    <w:p w14:paraId="46BEA0E6" w14:textId="60B6EFB1" w:rsidR="00220A86" w:rsidRPr="00A201DB" w:rsidRDefault="00220A86" w:rsidP="00220A86">
      <w:pPr>
        <w:pStyle w:val="FootnoteText"/>
      </w:pPr>
      <w:r w:rsidRPr="00A201DB">
        <w:rPr>
          <w:rStyle w:val="FootnoteReference"/>
        </w:rPr>
        <w:footnoteRef/>
      </w:r>
      <w:r w:rsidRPr="00A201DB">
        <w:t xml:space="preserve"> David Cressy, ‘Kinship and kin interaction in early modern England’, </w:t>
      </w:r>
      <w:r w:rsidRPr="00A201DB">
        <w:rPr>
          <w:i/>
          <w:iCs/>
        </w:rPr>
        <w:t xml:space="preserve">Past &amp; Present, </w:t>
      </w:r>
      <w:r w:rsidRPr="00A201DB">
        <w:t>No. 113, (1986), pp.38-69</w:t>
      </w:r>
      <w:r w:rsidR="00D911C8">
        <w:t>.</w:t>
      </w:r>
    </w:p>
  </w:footnote>
  <w:footnote w:id="475">
    <w:p w14:paraId="1A2F70CC" w14:textId="651654A1" w:rsidR="00220A86" w:rsidRDefault="00220A86" w:rsidP="00220A86">
      <w:pPr>
        <w:pStyle w:val="FootnoteText"/>
      </w:pPr>
      <w:r>
        <w:rPr>
          <w:rStyle w:val="FootnoteReference"/>
        </w:rPr>
        <w:footnoteRef/>
      </w:r>
      <w:r>
        <w:t xml:space="preserve"> Ibid., p.64</w:t>
      </w:r>
      <w:r w:rsidR="00D911C8">
        <w:t>.</w:t>
      </w:r>
    </w:p>
  </w:footnote>
  <w:footnote w:id="476">
    <w:p w14:paraId="29070266" w14:textId="24B9A3F1" w:rsidR="00220A86" w:rsidRDefault="00220A86" w:rsidP="00220A86">
      <w:pPr>
        <w:pStyle w:val="FootnoteText"/>
      </w:pPr>
      <w:r>
        <w:rPr>
          <w:rStyle w:val="FootnoteReference"/>
        </w:rPr>
        <w:footnoteRef/>
      </w:r>
      <w:r>
        <w:t xml:space="preserve"> Claudia Minett, ‘Patterns of bequest among the ‘middling sort’ in the parish of </w:t>
      </w:r>
      <w:proofErr w:type="spellStart"/>
      <w:r>
        <w:t>Giggleswick</w:t>
      </w:r>
      <w:proofErr w:type="spellEnd"/>
      <w:r>
        <w:t xml:space="preserve">: 1600-1750’, </w:t>
      </w:r>
      <w:r>
        <w:rPr>
          <w:i/>
          <w:iCs/>
        </w:rPr>
        <w:t xml:space="preserve">North Craven Heritage Trust Journal, </w:t>
      </w:r>
      <w:r>
        <w:t>(2017), pp.12-17</w:t>
      </w:r>
      <w:r w:rsidR="00D911C8">
        <w:t>.</w:t>
      </w:r>
    </w:p>
  </w:footnote>
  <w:footnote w:id="477">
    <w:p w14:paraId="0CF3D70E" w14:textId="77777777" w:rsidR="00220A86" w:rsidRDefault="00220A86" w:rsidP="00220A86">
      <w:pPr>
        <w:pStyle w:val="FootnoteText"/>
      </w:pPr>
      <w:r>
        <w:rPr>
          <w:rStyle w:val="FootnoteReference"/>
        </w:rPr>
        <w:footnoteRef/>
      </w:r>
      <w:r>
        <w:t xml:space="preserve"> With only four spinsters in the sample, Agnes’ bequests significantly raised the mean among her peers.</w:t>
      </w:r>
    </w:p>
  </w:footnote>
  <w:footnote w:id="478">
    <w:p w14:paraId="018DD8F4" w14:textId="7F5F9907" w:rsidR="00220A86" w:rsidRDefault="00220A86" w:rsidP="00220A86">
      <w:pPr>
        <w:pStyle w:val="FootnoteText"/>
      </w:pPr>
      <w:r>
        <w:rPr>
          <w:rStyle w:val="FootnoteReference"/>
        </w:rPr>
        <w:footnoteRef/>
      </w:r>
      <w:r>
        <w:t xml:space="preserve"> Erickson, ‘Possession’, p.372</w:t>
      </w:r>
      <w:r w:rsidR="00D911C8">
        <w:t>.</w:t>
      </w:r>
    </w:p>
  </w:footnote>
  <w:footnote w:id="479">
    <w:p w14:paraId="39C8CA34" w14:textId="407C65F1" w:rsidR="00220A86" w:rsidRDefault="00220A86" w:rsidP="00220A86">
      <w:pPr>
        <w:pStyle w:val="FootnoteText"/>
      </w:pPr>
      <w:r>
        <w:rPr>
          <w:rStyle w:val="FootnoteReference"/>
        </w:rPr>
        <w:footnoteRef/>
      </w:r>
      <w:r>
        <w:t xml:space="preserve"> </w:t>
      </w:r>
      <w:r w:rsidR="00B72FD8">
        <w:t xml:space="preserve">Ian </w:t>
      </w:r>
      <w:proofErr w:type="spellStart"/>
      <w:r w:rsidR="00B72FD8">
        <w:t>Cunnisson</w:t>
      </w:r>
      <w:proofErr w:type="spellEnd"/>
      <w:r w:rsidR="00B72FD8">
        <w:t xml:space="preserve"> (trans.), </w:t>
      </w:r>
      <w:r>
        <w:t xml:space="preserve">Marcel Mauss, </w:t>
      </w:r>
      <w:r>
        <w:rPr>
          <w:i/>
          <w:iCs/>
        </w:rPr>
        <w:t xml:space="preserve">The Gift: Forms and Functions of Exchange in Archaic Societies, </w:t>
      </w:r>
      <w:r>
        <w:t>(New York, 1967), p.41</w:t>
      </w:r>
      <w:r w:rsidR="00D911C8">
        <w:t>.</w:t>
      </w:r>
    </w:p>
  </w:footnote>
  <w:footnote w:id="480">
    <w:p w14:paraId="342E4AF3" w14:textId="117E9BFB" w:rsidR="00EB7701" w:rsidRPr="00543F1E" w:rsidRDefault="00EB7701" w:rsidP="00EB7701">
      <w:pPr>
        <w:pStyle w:val="FootnoteText"/>
      </w:pPr>
      <w:r>
        <w:rPr>
          <w:rStyle w:val="FootnoteReference"/>
        </w:rPr>
        <w:footnoteRef/>
      </w:r>
      <w:r>
        <w:t xml:space="preserve"> </w:t>
      </w:r>
      <w:r w:rsidRPr="007809B4">
        <w:t xml:space="preserve">Emmeline Garnett, ‘The Great Rebuilding and economic change in South Lonsdale 1660-1730’, </w:t>
      </w:r>
      <w:r w:rsidRPr="007809B4">
        <w:rPr>
          <w:i/>
          <w:iCs/>
        </w:rPr>
        <w:t xml:space="preserve">The Historic Society of Lancashire and Cheshire, </w:t>
      </w:r>
      <w:r w:rsidRPr="007809B4">
        <w:t>Vol. 137, (1987), pp.55-75</w:t>
      </w:r>
      <w:r>
        <w:t xml:space="preserve">; W. G. Hoskins, ‘The rebuilding of rural England, 1570-1640’, </w:t>
      </w:r>
      <w:r>
        <w:rPr>
          <w:i/>
          <w:iCs/>
        </w:rPr>
        <w:t xml:space="preserve">Past &amp; Present, </w:t>
      </w:r>
      <w:r>
        <w:t>Vol. 4, No. 1, (1953), pp.44-59</w:t>
      </w:r>
      <w:r w:rsidR="00D911C8">
        <w:t>.</w:t>
      </w:r>
    </w:p>
  </w:footnote>
  <w:footnote w:id="481">
    <w:p w14:paraId="4C3F68F7" w14:textId="4132982B" w:rsidR="000626E6" w:rsidRDefault="000626E6">
      <w:pPr>
        <w:pStyle w:val="FootnoteText"/>
      </w:pPr>
      <w:r>
        <w:rPr>
          <w:rStyle w:val="FootnoteReference"/>
        </w:rPr>
        <w:footnoteRef/>
      </w:r>
      <w:r>
        <w:t xml:space="preserve"> </w:t>
      </w:r>
      <w:r w:rsidRPr="000626E6">
        <w:t xml:space="preserve">Adrian Green, ‘Consumption and material culture’, in Keith Wrightson (ed.), </w:t>
      </w:r>
      <w:r w:rsidRPr="000626E6">
        <w:rPr>
          <w:i/>
          <w:iCs/>
        </w:rPr>
        <w:t xml:space="preserve">A Social History of England, 1500-1750, </w:t>
      </w:r>
      <w:r w:rsidRPr="000626E6">
        <w:t>(Cambridge, 2017), pp.242-266</w:t>
      </w:r>
      <w:r w:rsidR="00C7783A">
        <w:t>;</w:t>
      </w:r>
      <w:r w:rsidRPr="000626E6">
        <w:rPr>
          <w:sz w:val="24"/>
          <w:szCs w:val="24"/>
          <w:lang w:val="en-US"/>
        </w:rPr>
        <w:t xml:space="preserve"> </w:t>
      </w:r>
      <w:r w:rsidRPr="000626E6">
        <w:rPr>
          <w:lang w:val="en-US"/>
        </w:rPr>
        <w:t>Adrian Green, ‘Houses and households in County Durham and Newcastle c.1570-1730’, (Durham University, 2000; unpublished PhD thesis), [http://etheses.dur.ac.uk/1600/2/1600_v2.pdf?EThOS%20(BL); accessed 20</w:t>
      </w:r>
      <w:r w:rsidRPr="000626E6">
        <w:rPr>
          <w:vertAlign w:val="superscript"/>
          <w:lang w:val="en-US"/>
        </w:rPr>
        <w:t>th</w:t>
      </w:r>
      <w:r w:rsidRPr="000626E6">
        <w:rPr>
          <w:lang w:val="en-US"/>
        </w:rPr>
        <w:t xml:space="preserve"> May 2018], pp.172-176</w:t>
      </w:r>
      <w:r w:rsidR="00D911C8">
        <w:rPr>
          <w:lang w:val="en-US"/>
        </w:rPr>
        <w:t>.</w:t>
      </w:r>
    </w:p>
  </w:footnote>
  <w:footnote w:id="482">
    <w:p w14:paraId="6EFE1687" w14:textId="4D047500" w:rsidR="00EB7701" w:rsidRPr="00286B2E" w:rsidRDefault="00EB7701" w:rsidP="00EB7701">
      <w:pPr>
        <w:pStyle w:val="FootnoteText"/>
      </w:pPr>
      <w:r>
        <w:rPr>
          <w:rStyle w:val="FootnoteReference"/>
        </w:rPr>
        <w:footnoteRef/>
      </w:r>
      <w:r>
        <w:t xml:space="preserve"> Green, ‘Consumption and material culture’, p.252</w:t>
      </w:r>
      <w:r w:rsidR="00D911C8">
        <w:t>.</w:t>
      </w:r>
    </w:p>
  </w:footnote>
  <w:footnote w:id="483">
    <w:p w14:paraId="24B33979" w14:textId="3F095080" w:rsidR="00EB7701" w:rsidRDefault="00EB7701" w:rsidP="00EB7701">
      <w:pPr>
        <w:pStyle w:val="FootnoteText"/>
      </w:pPr>
      <w:r>
        <w:rPr>
          <w:rStyle w:val="FootnoteReference"/>
        </w:rPr>
        <w:footnoteRef/>
      </w:r>
      <w:r>
        <w:t xml:space="preserve"> </w:t>
      </w:r>
      <w:r w:rsidRPr="009C4C1E">
        <w:rPr>
          <w:lang w:val="en-US"/>
        </w:rPr>
        <w:t>Green, ‘Houses and households</w:t>
      </w:r>
      <w:r w:rsidR="00C7783A">
        <w:rPr>
          <w:lang w:val="en-US"/>
        </w:rPr>
        <w:t xml:space="preserve">’, </w:t>
      </w:r>
      <w:r w:rsidRPr="009C4C1E">
        <w:rPr>
          <w:lang w:val="en-US"/>
        </w:rPr>
        <w:t>pp.172-176</w:t>
      </w:r>
      <w:r w:rsidR="00D911C8">
        <w:rPr>
          <w:lang w:val="en-US"/>
        </w:rPr>
        <w:t>.</w:t>
      </w:r>
    </w:p>
  </w:footnote>
  <w:footnote w:id="484">
    <w:p w14:paraId="1821D317" w14:textId="77777777" w:rsidR="00302D44" w:rsidRDefault="00302D44" w:rsidP="00302D44">
      <w:pPr>
        <w:pStyle w:val="FootnoteText"/>
      </w:pPr>
      <w:r>
        <w:rPr>
          <w:rStyle w:val="FootnoteReference"/>
        </w:rPr>
        <w:footnoteRef/>
      </w:r>
      <w:r>
        <w:t xml:space="preserve"> All eleven properties considered are listed buildings. The names used to refer to all of them are derived from the National Heritage List for England (NHLE), since even where it is evident that these names were not used in the 1600s and 1700s, their original names were either not fixed or are not known.</w:t>
      </w:r>
    </w:p>
  </w:footnote>
  <w:footnote w:id="485">
    <w:p w14:paraId="307B9AEB" w14:textId="63620D9F" w:rsidR="00302D44" w:rsidRDefault="00302D44" w:rsidP="00302D44">
      <w:pPr>
        <w:pStyle w:val="FootnoteText"/>
      </w:pPr>
      <w:r>
        <w:rPr>
          <w:rStyle w:val="FootnoteReference"/>
        </w:rPr>
        <w:footnoteRef/>
      </w:r>
      <w:r>
        <w:t xml:space="preserve"> Lancashire Archives (hereafter LA): PR 3315/1/1, </w:t>
      </w:r>
      <w:r w:rsidR="00C92377">
        <w:rPr>
          <w:lang w:val="en-US"/>
        </w:rPr>
        <w:t>Parish Register of</w:t>
      </w:r>
      <w:r w:rsidRPr="00907F2D">
        <w:rPr>
          <w:lang w:val="en-US"/>
        </w:rPr>
        <w:t xml:space="preserve"> </w:t>
      </w:r>
      <w:r>
        <w:rPr>
          <w:lang w:val="en-US"/>
        </w:rPr>
        <w:t>Holy Trinity Church, Bolton-le-Sands</w:t>
      </w:r>
      <w:r w:rsidRPr="00907F2D">
        <w:rPr>
          <w:lang w:val="en-US"/>
        </w:rPr>
        <w:t>, 1642-1737</w:t>
      </w:r>
      <w:r>
        <w:rPr>
          <w:lang w:val="en-US"/>
        </w:rPr>
        <w:t xml:space="preserve">, </w:t>
      </w:r>
      <w:r>
        <w:t>Marriage of Richard Barker and Isabell Wither, 6 June 1685</w:t>
      </w:r>
      <w:r w:rsidR="00D911C8">
        <w:t>.</w:t>
      </w:r>
    </w:p>
  </w:footnote>
  <w:footnote w:id="486">
    <w:p w14:paraId="10F301A4" w14:textId="06756B6F" w:rsidR="00302D44" w:rsidRDefault="00302D44" w:rsidP="00302D44">
      <w:pPr>
        <w:pStyle w:val="FootnoteText"/>
      </w:pPr>
      <w:r>
        <w:rPr>
          <w:rStyle w:val="FootnoteReference"/>
        </w:rPr>
        <w:footnoteRef/>
      </w:r>
      <w:r>
        <w:t xml:space="preserve"> Ibid.</w:t>
      </w:r>
    </w:p>
  </w:footnote>
  <w:footnote w:id="487">
    <w:p w14:paraId="5592A301" w14:textId="43B185C5" w:rsidR="00302D44" w:rsidRPr="0070193B" w:rsidRDefault="00302D44" w:rsidP="00302D44">
      <w:pPr>
        <w:pStyle w:val="FootnoteText"/>
      </w:pPr>
      <w:r w:rsidRPr="0070193B">
        <w:rPr>
          <w:rStyle w:val="FootnoteReference"/>
        </w:rPr>
        <w:footnoteRef/>
      </w:r>
      <w:r w:rsidRPr="0070193B">
        <w:t xml:space="preserve"> </w:t>
      </w:r>
      <w:r>
        <w:t xml:space="preserve">LA: </w:t>
      </w:r>
      <w:r w:rsidRPr="00436816">
        <w:t xml:space="preserve">PR 3315/1/1, </w:t>
      </w:r>
      <w:r w:rsidR="00C92377">
        <w:rPr>
          <w:lang w:val="en-US"/>
        </w:rPr>
        <w:t>Parish Register of</w:t>
      </w:r>
      <w:r w:rsidRPr="00254AC8">
        <w:rPr>
          <w:lang w:val="en-US"/>
        </w:rPr>
        <w:t xml:space="preserve"> </w:t>
      </w:r>
      <w:r>
        <w:rPr>
          <w:lang w:val="en-US"/>
        </w:rPr>
        <w:t>Holy Trinity Church, Bolton-le-Sands</w:t>
      </w:r>
      <w:r w:rsidRPr="00254AC8">
        <w:rPr>
          <w:lang w:val="en-US"/>
        </w:rPr>
        <w:t>, 1642-1737</w:t>
      </w:r>
      <w:r w:rsidRPr="00436816">
        <w:t xml:space="preserve">, </w:t>
      </w:r>
      <w:r w:rsidRPr="0070193B">
        <w:t>Burial of Robert Barker, 9 July 1673</w:t>
      </w:r>
      <w:r w:rsidR="00D911C8">
        <w:t>.</w:t>
      </w:r>
    </w:p>
  </w:footnote>
  <w:footnote w:id="488">
    <w:p w14:paraId="75844091" w14:textId="0C65BDD2" w:rsidR="00302D44" w:rsidRPr="00C9792D" w:rsidRDefault="00302D44" w:rsidP="00302D44">
      <w:pPr>
        <w:pStyle w:val="FootnoteText"/>
      </w:pPr>
      <w:r w:rsidRPr="00C9792D">
        <w:rPr>
          <w:rStyle w:val="FootnoteReference"/>
        </w:rPr>
        <w:footnoteRef/>
      </w:r>
      <w:r w:rsidRPr="00C9792D">
        <w:t xml:space="preserve"> ‘Thwaite End Farmhouse’, Grade II Listed Building</w:t>
      </w:r>
      <w:r>
        <w:t xml:space="preserve"> in Bolton-le-Sands, Lancaster, List Entry No. 1362396 [</w:t>
      </w:r>
      <w:r w:rsidRPr="00C030B7">
        <w:t>https://historicengland.org.uk/listing/the-list/list-entry/1362396?section=official-list-entry</w:t>
      </w:r>
      <w:r>
        <w:t>; accessed 25 April 2024]</w:t>
      </w:r>
      <w:r w:rsidR="00D911C8">
        <w:t>.</w:t>
      </w:r>
    </w:p>
  </w:footnote>
  <w:footnote w:id="489">
    <w:p w14:paraId="6DADE765" w14:textId="362FE04E" w:rsidR="00302D44" w:rsidRDefault="00302D44" w:rsidP="00302D44">
      <w:pPr>
        <w:pStyle w:val="FootnoteText"/>
      </w:pPr>
      <w:r>
        <w:rPr>
          <w:rStyle w:val="FootnoteReference"/>
        </w:rPr>
        <w:footnoteRef/>
      </w:r>
      <w:r>
        <w:t xml:space="preserve"> Emmeline </w:t>
      </w:r>
      <w:r w:rsidRPr="00A70EDB">
        <w:t xml:space="preserve">Garnett, </w:t>
      </w:r>
      <w:r>
        <w:rPr>
          <w:i/>
          <w:iCs/>
        </w:rPr>
        <w:t xml:space="preserve">The </w:t>
      </w:r>
      <w:r w:rsidRPr="00A70EDB">
        <w:rPr>
          <w:i/>
          <w:iCs/>
        </w:rPr>
        <w:t>Dated Buildings</w:t>
      </w:r>
      <w:r>
        <w:rPr>
          <w:i/>
          <w:iCs/>
        </w:rPr>
        <w:t xml:space="preserve"> of South Lonsdale</w:t>
      </w:r>
      <w:r w:rsidRPr="00A70EDB">
        <w:rPr>
          <w:i/>
          <w:iCs/>
        </w:rPr>
        <w:t>,</w:t>
      </w:r>
      <w:r>
        <w:rPr>
          <w:i/>
          <w:iCs/>
        </w:rPr>
        <w:t xml:space="preserve"> </w:t>
      </w:r>
      <w:r>
        <w:t>(Lancaster, 1994),</w:t>
      </w:r>
      <w:r w:rsidRPr="00A70EDB">
        <w:rPr>
          <w:i/>
          <w:iCs/>
        </w:rPr>
        <w:t xml:space="preserve"> </w:t>
      </w:r>
      <w:r w:rsidRPr="00A70EDB">
        <w:t>p.21</w:t>
      </w:r>
      <w:r w:rsidR="00D911C8">
        <w:t>.</w:t>
      </w:r>
    </w:p>
  </w:footnote>
  <w:footnote w:id="490">
    <w:p w14:paraId="4392FD1C" w14:textId="65BCE0F5" w:rsidR="00302D44" w:rsidRDefault="00302D44" w:rsidP="00302D44">
      <w:pPr>
        <w:pStyle w:val="FootnoteText"/>
      </w:pPr>
      <w:r>
        <w:rPr>
          <w:rStyle w:val="FootnoteReference"/>
        </w:rPr>
        <w:footnoteRef/>
      </w:r>
      <w:r>
        <w:t xml:space="preserve"> LA: WRW/K/R413A/10, Inventory of Richard Barker of </w:t>
      </w:r>
      <w:proofErr w:type="spellStart"/>
      <w:r>
        <w:t>Thwayte</w:t>
      </w:r>
      <w:proofErr w:type="spellEnd"/>
      <w:r>
        <w:t xml:space="preserve"> End, occupation N/A, 1694</w:t>
      </w:r>
      <w:r w:rsidR="00D911C8">
        <w:t>.</w:t>
      </w:r>
    </w:p>
  </w:footnote>
  <w:footnote w:id="491">
    <w:p w14:paraId="7904F8E7" w14:textId="1A0F01EE" w:rsidR="00302D44" w:rsidRPr="00140A75" w:rsidRDefault="00302D44" w:rsidP="00302D44">
      <w:pPr>
        <w:pStyle w:val="FootnoteText"/>
      </w:pPr>
      <w:r>
        <w:rPr>
          <w:rStyle w:val="FootnoteReference"/>
        </w:rPr>
        <w:footnoteRef/>
      </w:r>
      <w:r>
        <w:t xml:space="preserve"> Garnett, </w:t>
      </w:r>
      <w:r>
        <w:rPr>
          <w:i/>
          <w:iCs/>
        </w:rPr>
        <w:t xml:space="preserve">Dated Buildings, </w:t>
      </w:r>
      <w:r>
        <w:t>p.21</w:t>
      </w:r>
      <w:r w:rsidR="00D911C8">
        <w:t>.</w:t>
      </w:r>
    </w:p>
  </w:footnote>
  <w:footnote w:id="492">
    <w:p w14:paraId="4ECDBF09" w14:textId="4CC9C2A7" w:rsidR="00302D44" w:rsidRPr="00FF7409" w:rsidRDefault="00302D44" w:rsidP="00302D44">
      <w:pPr>
        <w:pStyle w:val="FootnoteText"/>
      </w:pPr>
      <w:r>
        <w:rPr>
          <w:rStyle w:val="FootnoteReference"/>
        </w:rPr>
        <w:footnoteRef/>
      </w:r>
      <w:r>
        <w:t xml:space="preserve"> Arthur Raistrick, </w:t>
      </w:r>
      <w:r>
        <w:rPr>
          <w:i/>
          <w:iCs/>
        </w:rPr>
        <w:t xml:space="preserve">Old Yorkshire Dales, </w:t>
      </w:r>
      <w:r>
        <w:t>(London, 1971), pp.56-73, cited in Garnett, ‘The great rebuilding’, pp.68-9</w:t>
      </w:r>
      <w:r w:rsidR="00D911C8">
        <w:t>.</w:t>
      </w:r>
    </w:p>
  </w:footnote>
  <w:footnote w:id="493">
    <w:p w14:paraId="4626A5B2" w14:textId="0F726687" w:rsidR="00302D44" w:rsidRDefault="00302D44" w:rsidP="00302D44">
      <w:pPr>
        <w:pStyle w:val="FootnoteText"/>
      </w:pPr>
      <w:r>
        <w:rPr>
          <w:rStyle w:val="FootnoteReference"/>
        </w:rPr>
        <w:footnoteRef/>
      </w:r>
      <w:r>
        <w:t xml:space="preserve"> </w:t>
      </w:r>
      <w:r w:rsidRPr="006F6C4B">
        <w:t xml:space="preserve">Garnett, </w:t>
      </w:r>
      <w:r w:rsidRPr="006F6C4B">
        <w:rPr>
          <w:i/>
          <w:iCs/>
        </w:rPr>
        <w:t xml:space="preserve">Dated Buildings, </w:t>
      </w:r>
      <w:r w:rsidRPr="006F6C4B">
        <w:t>p.21</w:t>
      </w:r>
      <w:r w:rsidR="00B8629E">
        <w:t>.</w:t>
      </w:r>
    </w:p>
  </w:footnote>
  <w:footnote w:id="494">
    <w:p w14:paraId="53AF66F1" w14:textId="32D40E81" w:rsidR="00302D44" w:rsidRDefault="00302D44" w:rsidP="00302D44">
      <w:pPr>
        <w:pStyle w:val="FootnoteText"/>
      </w:pPr>
      <w:r>
        <w:rPr>
          <w:rStyle w:val="FootnoteReference"/>
        </w:rPr>
        <w:footnoteRef/>
      </w:r>
      <w:r>
        <w:t xml:space="preserve"> LA: WRW/K/R414A/10, Inventory of Isabell Barker </w:t>
      </w:r>
      <w:r w:rsidR="00397AB6" w:rsidRPr="00397AB6">
        <w:t>of Bolton-le-Sands</w:t>
      </w:r>
      <w:r>
        <w:t>, widow, 1703</w:t>
      </w:r>
      <w:r w:rsidR="00B8629E">
        <w:t>.</w:t>
      </w:r>
    </w:p>
  </w:footnote>
  <w:footnote w:id="495">
    <w:p w14:paraId="0B0D1E1F" w14:textId="77777777" w:rsidR="00302D44" w:rsidRDefault="00302D44" w:rsidP="00302D44">
      <w:pPr>
        <w:pStyle w:val="FootnoteText"/>
      </w:pPr>
      <w:r>
        <w:rPr>
          <w:rStyle w:val="FootnoteReference"/>
        </w:rPr>
        <w:footnoteRef/>
      </w:r>
      <w:r>
        <w:t xml:space="preserve"> As discussed in the previous chapter, Richard was a husbandman. The average assessed wealth among Bolton-le-Sands husbandmen was £46. While Richard’s inventoried wealth was below this average, Isabell’s assessed wealth was much higher, suggesting she was considerably better off than others within the same status group. If Richard’s debts stemmed from investment in rebuilding as Garnett suggests, it is conceivable that his inventory – produced following his premature death – offers a skewed view of the couple’s finances before they had the opportunity to recover. In any case, the inventories of other inscribers in the core sample do not reveal similar debts, suggesting outlay of funds for rebuilding was not the universal reason for lower overall wealth among inscribing couples.</w:t>
      </w:r>
    </w:p>
  </w:footnote>
  <w:footnote w:id="496">
    <w:p w14:paraId="11493453" w14:textId="0C3D2CF4" w:rsidR="00302D44" w:rsidRDefault="00302D44" w:rsidP="00302D44">
      <w:pPr>
        <w:pStyle w:val="FootnoteText"/>
      </w:pPr>
      <w:r>
        <w:rPr>
          <w:rStyle w:val="FootnoteReference"/>
        </w:rPr>
        <w:footnoteRef/>
      </w:r>
      <w:r>
        <w:t xml:space="preserve"> </w:t>
      </w:r>
      <w:r w:rsidRPr="00E25679">
        <w:rPr>
          <w:lang w:val="en-US"/>
        </w:rPr>
        <w:t xml:space="preserve">Mary Hodges, ‘Widows of the ‘middling sort’ and their assets in two seventeenth-century towns’, in Tom Arkell, Nesta Evans and Nigel Goose (eds), </w:t>
      </w:r>
      <w:r w:rsidRPr="00E25679">
        <w:rPr>
          <w:i/>
          <w:iCs/>
          <w:lang w:val="en-US"/>
        </w:rPr>
        <w:t>When</w:t>
      </w:r>
      <w:r w:rsidRPr="00E25679">
        <w:rPr>
          <w:lang w:val="en-US"/>
        </w:rPr>
        <w:t xml:space="preserve"> </w:t>
      </w:r>
      <w:r w:rsidRPr="00E25679">
        <w:rPr>
          <w:i/>
          <w:iCs/>
          <w:lang w:val="en-US"/>
        </w:rPr>
        <w:t xml:space="preserve">Death Do Us Part: Understanding and Interpreting the Probate Records of Early Modern England, </w:t>
      </w:r>
      <w:r w:rsidRPr="00E25679">
        <w:rPr>
          <w:lang w:val="en-US"/>
        </w:rPr>
        <w:t>(Oxford, 2000), pp.306-324</w:t>
      </w:r>
      <w:r>
        <w:rPr>
          <w:lang w:val="en-US"/>
        </w:rPr>
        <w:t>, p.312</w:t>
      </w:r>
      <w:r w:rsidR="00B8629E">
        <w:rPr>
          <w:lang w:val="en-US"/>
        </w:rPr>
        <w:t>.</w:t>
      </w:r>
    </w:p>
  </w:footnote>
  <w:footnote w:id="497">
    <w:p w14:paraId="40691C4F" w14:textId="21F24810" w:rsidR="00302D44" w:rsidRDefault="00302D44" w:rsidP="00302D44">
      <w:pPr>
        <w:pStyle w:val="FootnoteText"/>
      </w:pPr>
      <w:r>
        <w:rPr>
          <w:rStyle w:val="FootnoteReference"/>
        </w:rPr>
        <w:footnoteRef/>
      </w:r>
      <w:r>
        <w:t xml:space="preserve"> Amy Louise</w:t>
      </w:r>
      <w:r w:rsidRPr="00AD4A0F">
        <w:rPr>
          <w:rFonts w:ascii="Aptos" w:hAnsi="Aptos"/>
          <w:b/>
          <w:bCs/>
          <w:sz w:val="22"/>
          <w:szCs w:val="22"/>
        </w:rPr>
        <w:t xml:space="preserve"> </w:t>
      </w:r>
      <w:r w:rsidRPr="00635863">
        <w:t xml:space="preserve">Erickson, </w:t>
      </w:r>
      <w:r w:rsidRPr="00635863">
        <w:rPr>
          <w:i/>
          <w:iCs/>
        </w:rPr>
        <w:t xml:space="preserve">Women and Property in Early Modern England, </w:t>
      </w:r>
      <w:r w:rsidRPr="00635863">
        <w:t>(London, 1993)</w:t>
      </w:r>
      <w:r>
        <w:t>, p.182</w:t>
      </w:r>
      <w:r w:rsidR="00B8629E">
        <w:t>.</w:t>
      </w:r>
    </w:p>
  </w:footnote>
  <w:footnote w:id="498">
    <w:p w14:paraId="1B6FD978" w14:textId="66C342DC" w:rsidR="00302D44" w:rsidRDefault="00302D44" w:rsidP="00302D44">
      <w:pPr>
        <w:pStyle w:val="FootnoteText"/>
      </w:pPr>
      <w:r>
        <w:rPr>
          <w:rStyle w:val="FootnoteReference"/>
        </w:rPr>
        <w:footnoteRef/>
      </w:r>
      <w:r>
        <w:t xml:space="preserve"> Ibid.; </w:t>
      </w:r>
      <w:r w:rsidRPr="008B45BF">
        <w:t xml:space="preserve">Amy Louise Erickson, ‘Possession - and the other one-tenth of the law: assessing women’s ownership and economic roles in early modern England’, </w:t>
      </w:r>
      <w:r w:rsidRPr="008B45BF">
        <w:rPr>
          <w:i/>
          <w:iCs/>
        </w:rPr>
        <w:t xml:space="preserve">Women’s History Review, </w:t>
      </w:r>
      <w:r w:rsidRPr="008B45BF">
        <w:t>Vol. 16, No. 3, (2007), pp.369-385</w:t>
      </w:r>
      <w:r>
        <w:t>, p.371</w:t>
      </w:r>
      <w:r w:rsidR="00B8629E">
        <w:t>.</w:t>
      </w:r>
    </w:p>
  </w:footnote>
  <w:footnote w:id="499">
    <w:p w14:paraId="2CF6911C" w14:textId="6BE8E2D6" w:rsidR="00302D44" w:rsidRDefault="00302D44" w:rsidP="00302D44">
      <w:pPr>
        <w:pStyle w:val="FootnoteText"/>
      </w:pPr>
      <w:r>
        <w:rPr>
          <w:rStyle w:val="FootnoteReference"/>
        </w:rPr>
        <w:footnoteRef/>
      </w:r>
      <w:r>
        <w:t xml:space="preserve"> LA: </w:t>
      </w:r>
      <w:r w:rsidRPr="00861FCB">
        <w:t>WRW/K/R414A/10</w:t>
      </w:r>
      <w:r>
        <w:t>, Inventory of Isabell Barker of Bolton-le-Sands, widow, 1703</w:t>
      </w:r>
      <w:r w:rsidR="00B8629E">
        <w:t>.</w:t>
      </w:r>
    </w:p>
  </w:footnote>
  <w:footnote w:id="500">
    <w:p w14:paraId="0A29A1B6" w14:textId="703FE673" w:rsidR="00302D44" w:rsidRDefault="00302D44" w:rsidP="00302D44">
      <w:pPr>
        <w:pStyle w:val="FootnoteText"/>
      </w:pPr>
      <w:r>
        <w:rPr>
          <w:rStyle w:val="FootnoteReference"/>
        </w:rPr>
        <w:footnoteRef/>
      </w:r>
      <w:r>
        <w:t xml:space="preserve"> Elizabeth Hallam, ‘Turning the hourglass: gender relations at the deathbed in early modern Canterbury’, </w:t>
      </w:r>
      <w:r w:rsidRPr="00B705DB">
        <w:rPr>
          <w:i/>
          <w:iCs/>
        </w:rPr>
        <w:t>Mortality</w:t>
      </w:r>
      <w:r>
        <w:t>, Vol. 1, No.1, (1996), pp.61-82, p</w:t>
      </w:r>
      <w:r w:rsidR="00B8629E">
        <w:t>.</w:t>
      </w:r>
      <w:r w:rsidRPr="00B705DB">
        <w:t>80</w:t>
      </w:r>
      <w:r w:rsidR="00B8629E">
        <w:t>.</w:t>
      </w:r>
    </w:p>
  </w:footnote>
  <w:footnote w:id="501">
    <w:p w14:paraId="7A2D81FB" w14:textId="5E78CC9A" w:rsidR="00302D44" w:rsidRDefault="00302D44" w:rsidP="00302D44">
      <w:pPr>
        <w:pStyle w:val="FootnoteText"/>
      </w:pPr>
      <w:r>
        <w:rPr>
          <w:rStyle w:val="FootnoteReference"/>
        </w:rPr>
        <w:footnoteRef/>
      </w:r>
      <w:r>
        <w:t xml:space="preserve"> LA: PR 3315/1/1, </w:t>
      </w:r>
      <w:r w:rsidR="00C92377">
        <w:rPr>
          <w:lang w:val="en-US"/>
        </w:rPr>
        <w:t>Parish Register of</w:t>
      </w:r>
      <w:r w:rsidRPr="00254AC8">
        <w:rPr>
          <w:lang w:val="en-US"/>
        </w:rPr>
        <w:t xml:space="preserve"> </w:t>
      </w:r>
      <w:r>
        <w:rPr>
          <w:lang w:val="en-US"/>
        </w:rPr>
        <w:t>Holy Trinity Church, Bolton-le-Sands</w:t>
      </w:r>
      <w:r w:rsidRPr="00254AC8">
        <w:rPr>
          <w:lang w:val="en-US"/>
        </w:rPr>
        <w:t>, 1642-1737</w:t>
      </w:r>
      <w:r>
        <w:rPr>
          <w:lang w:val="en-US"/>
        </w:rPr>
        <w:t xml:space="preserve">, </w:t>
      </w:r>
      <w:r>
        <w:t>Burial of John Barker, 27 November 1716</w:t>
      </w:r>
      <w:r w:rsidR="00B8629E">
        <w:t>.</w:t>
      </w:r>
    </w:p>
  </w:footnote>
  <w:footnote w:id="502">
    <w:p w14:paraId="3EE0633C" w14:textId="5B4E0F7A" w:rsidR="00302D44" w:rsidRDefault="00302D44" w:rsidP="00302D44">
      <w:pPr>
        <w:pStyle w:val="FootnoteText"/>
      </w:pPr>
      <w:r>
        <w:rPr>
          <w:rStyle w:val="FootnoteReference"/>
        </w:rPr>
        <w:footnoteRef/>
      </w:r>
      <w:r>
        <w:t xml:space="preserve"> LA: </w:t>
      </w:r>
      <w:r w:rsidRPr="00C16038">
        <w:t xml:space="preserve">WRW/K/R414A/10, Will of Isabell Barker of </w:t>
      </w:r>
      <w:r>
        <w:t>Bolton-le-Sands</w:t>
      </w:r>
      <w:r w:rsidRPr="00C16038">
        <w:t>, widow, 1703</w:t>
      </w:r>
      <w:r>
        <w:t xml:space="preserve">; LA: </w:t>
      </w:r>
      <w:r w:rsidRPr="00C24AE7">
        <w:rPr>
          <w:lang w:val="en-US"/>
        </w:rPr>
        <w:t>WRW/K/R415A/11,</w:t>
      </w:r>
      <w:r>
        <w:t xml:space="preserve"> Inventory of John Barker of Thwaite End, Bolton-le-Sands, husbandman, 1716</w:t>
      </w:r>
      <w:r w:rsidR="00B8629E">
        <w:t>.</w:t>
      </w:r>
    </w:p>
  </w:footnote>
  <w:footnote w:id="503">
    <w:p w14:paraId="414BC1C0" w14:textId="5CB4ABDC" w:rsidR="00302D44" w:rsidRDefault="00302D44" w:rsidP="00302D44">
      <w:pPr>
        <w:pStyle w:val="FootnoteText"/>
      </w:pPr>
      <w:r>
        <w:rPr>
          <w:rStyle w:val="FootnoteReference"/>
        </w:rPr>
        <w:footnoteRef/>
      </w:r>
      <w:r>
        <w:t xml:space="preserve"> LA: </w:t>
      </w:r>
      <w:r w:rsidRPr="00F34860">
        <w:rPr>
          <w:lang w:val="en-US"/>
        </w:rPr>
        <w:t>WRW/K/R415A/11</w:t>
      </w:r>
      <w:r>
        <w:rPr>
          <w:lang w:val="en-US"/>
        </w:rPr>
        <w:t xml:space="preserve">, </w:t>
      </w:r>
      <w:r>
        <w:t>Will of John Barker of Thwaite End, Bolton-le-Sands, husbandman, 1716</w:t>
      </w:r>
      <w:r w:rsidR="00B8629E">
        <w:t>.</w:t>
      </w:r>
    </w:p>
  </w:footnote>
  <w:footnote w:id="504">
    <w:p w14:paraId="1254AB22" w14:textId="0DAB43F1" w:rsidR="00302D44" w:rsidRPr="001E50BB" w:rsidRDefault="00302D44" w:rsidP="00302D44">
      <w:pPr>
        <w:pStyle w:val="FootnoteText"/>
      </w:pPr>
      <w:r>
        <w:rPr>
          <w:rStyle w:val="FootnoteReference"/>
        </w:rPr>
        <w:footnoteRef/>
      </w:r>
      <w:r>
        <w:t xml:space="preserve"> John </w:t>
      </w:r>
      <w:proofErr w:type="spellStart"/>
      <w:r>
        <w:t>Rastell</w:t>
      </w:r>
      <w:proofErr w:type="spellEnd"/>
      <w:r>
        <w:t xml:space="preserve"> and William </w:t>
      </w:r>
      <w:proofErr w:type="spellStart"/>
      <w:r>
        <w:t>Rastell</w:t>
      </w:r>
      <w:proofErr w:type="spellEnd"/>
      <w:r>
        <w:t xml:space="preserve">, </w:t>
      </w:r>
      <w:r>
        <w:rPr>
          <w:i/>
          <w:iCs/>
        </w:rPr>
        <w:t xml:space="preserve">Les </w:t>
      </w:r>
      <w:proofErr w:type="spellStart"/>
      <w:r>
        <w:rPr>
          <w:i/>
          <w:iCs/>
        </w:rPr>
        <w:t>termes</w:t>
      </w:r>
      <w:proofErr w:type="spellEnd"/>
      <w:r>
        <w:rPr>
          <w:i/>
          <w:iCs/>
        </w:rPr>
        <w:t xml:space="preserve"> de la ley, </w:t>
      </w:r>
      <w:r>
        <w:t>(</w:t>
      </w:r>
      <w:r w:rsidR="00AE1328">
        <w:t xml:space="preserve">London, </w:t>
      </w:r>
      <w:r>
        <w:t>1641), f. 199</w:t>
      </w:r>
      <w:r w:rsidR="00B8629E">
        <w:t>.</w:t>
      </w:r>
    </w:p>
  </w:footnote>
  <w:footnote w:id="505">
    <w:p w14:paraId="1F0D3CDE" w14:textId="1A321062" w:rsidR="001B64AA" w:rsidRDefault="001B64AA" w:rsidP="001B64AA">
      <w:pPr>
        <w:pStyle w:val="FootnoteText"/>
      </w:pPr>
      <w:r>
        <w:rPr>
          <w:rStyle w:val="FootnoteReference"/>
        </w:rPr>
        <w:footnoteRef/>
      </w:r>
      <w:r>
        <w:t xml:space="preserve"> </w:t>
      </w:r>
      <w:r w:rsidRPr="00287230">
        <w:rPr>
          <w:lang w:val="en-US"/>
        </w:rPr>
        <w:t>Adrian Green, ‘Houses and households in County Durham and Newcastle c.1570-1730’, (Durham University, 2000), unpublished PhD thesis [http://etheses.dur.ac.uk/1600/2/1600_v2.pdf?EThOS%20(BL); accessed 20 February 2020], pp.172-173</w:t>
      </w:r>
      <w:r w:rsidR="00B8629E">
        <w:rPr>
          <w:lang w:val="en-US"/>
        </w:rPr>
        <w:t>.</w:t>
      </w:r>
    </w:p>
  </w:footnote>
  <w:footnote w:id="506">
    <w:p w14:paraId="5535FCA9" w14:textId="7E5A1AD6" w:rsidR="00302D44" w:rsidRPr="00846B13" w:rsidRDefault="00302D44" w:rsidP="00302D44">
      <w:pPr>
        <w:pStyle w:val="FootnoteText"/>
      </w:pPr>
      <w:r>
        <w:rPr>
          <w:rStyle w:val="FootnoteReference"/>
        </w:rPr>
        <w:footnoteRef/>
      </w:r>
      <w:r>
        <w:t xml:space="preserve"> Barbara Hutton and Joyce Martin, </w:t>
      </w:r>
      <w:r>
        <w:rPr>
          <w:i/>
          <w:iCs/>
        </w:rPr>
        <w:t xml:space="preserve">Doorways in the Dales, </w:t>
      </w:r>
      <w:r>
        <w:t>(York, 1986)</w:t>
      </w:r>
      <w:r w:rsidR="00B8629E">
        <w:t>.</w:t>
      </w:r>
    </w:p>
  </w:footnote>
  <w:footnote w:id="507">
    <w:p w14:paraId="132AB9E9" w14:textId="61C47CF9" w:rsidR="00302D44" w:rsidRDefault="00302D44" w:rsidP="00302D44">
      <w:pPr>
        <w:pStyle w:val="FootnoteText"/>
      </w:pPr>
      <w:r>
        <w:rPr>
          <w:rStyle w:val="FootnoteReference"/>
        </w:rPr>
        <w:footnoteRef/>
      </w:r>
      <w:r>
        <w:t xml:space="preserve"> </w:t>
      </w:r>
      <w:r w:rsidRPr="00126403">
        <w:rPr>
          <w:lang w:val="en-US"/>
        </w:rPr>
        <w:t xml:space="preserve">LA: PR 3315/1/1, </w:t>
      </w:r>
      <w:r w:rsidR="00C92377">
        <w:rPr>
          <w:lang w:val="en-US"/>
        </w:rPr>
        <w:t>Parish Register of</w:t>
      </w:r>
      <w:r>
        <w:rPr>
          <w:lang w:val="en-US"/>
        </w:rPr>
        <w:t xml:space="preserve"> Holy Trinity Church, Bolton-le-Sands,</w:t>
      </w:r>
      <w:r w:rsidRPr="00126403">
        <w:rPr>
          <w:lang w:val="en-US"/>
        </w:rPr>
        <w:t xml:space="preserve"> 1642-1737, </w:t>
      </w:r>
      <w:r>
        <w:t>Baptism of Thomas Greene, 28 July 1681</w:t>
      </w:r>
      <w:r w:rsidR="00B8629E">
        <w:t>.</w:t>
      </w:r>
    </w:p>
  </w:footnote>
  <w:footnote w:id="508">
    <w:p w14:paraId="692AE34D" w14:textId="2377CE45" w:rsidR="00302D44" w:rsidRPr="00AC68B2" w:rsidRDefault="00302D44" w:rsidP="00302D44">
      <w:pPr>
        <w:pStyle w:val="FootnoteText"/>
      </w:pPr>
      <w:r>
        <w:rPr>
          <w:rStyle w:val="FootnoteReference"/>
        </w:rPr>
        <w:footnoteRef/>
      </w:r>
      <w:r>
        <w:t xml:space="preserve"> LA: PR 3262/1/1, </w:t>
      </w:r>
      <w:r w:rsidR="00C92377">
        <w:t>Parish Register of</w:t>
      </w:r>
      <w:r>
        <w:t xml:space="preserve"> St Mary’s Church, Lancaster, 1599-1691, Baptism of Mary Simpson, 4 August 1658; Garnett, </w:t>
      </w:r>
      <w:r>
        <w:rPr>
          <w:i/>
          <w:iCs/>
        </w:rPr>
        <w:t xml:space="preserve">Dated Buildings, </w:t>
      </w:r>
      <w:r>
        <w:t>p.153</w:t>
      </w:r>
      <w:r w:rsidR="00A80E54" w:rsidRPr="00A80E54">
        <w:t>; ‘Former mayors of the city of Lancaster’, Lancaster City Council [https://www.lancaster.gov.uk/the-council-and-democracy/civic-and-ceremonial/former-mayors-of-the-city-of-lancaster</w:t>
      </w:r>
      <w:r>
        <w:t>; accessed 16 April 2024]</w:t>
      </w:r>
      <w:r w:rsidR="00B8629E">
        <w:t>.</w:t>
      </w:r>
    </w:p>
  </w:footnote>
  <w:footnote w:id="509">
    <w:p w14:paraId="2D5F0200" w14:textId="703E5CB7" w:rsidR="00302D44" w:rsidRPr="00C43805" w:rsidRDefault="00302D44" w:rsidP="00302D44">
      <w:pPr>
        <w:pStyle w:val="FootnoteText"/>
      </w:pPr>
      <w:r>
        <w:rPr>
          <w:rStyle w:val="FootnoteReference"/>
        </w:rPr>
        <w:footnoteRef/>
      </w:r>
      <w:r>
        <w:t xml:space="preserve"> William Farrer, ‘Townships: Slyne-with-Hest’, in </w:t>
      </w:r>
      <w:r>
        <w:rPr>
          <w:i/>
          <w:iCs/>
        </w:rPr>
        <w:t xml:space="preserve">A History of the County of Lancaster, Vol. 8, </w:t>
      </w:r>
      <w:r>
        <w:t>(London, 1914), pp.136-139, [</w:t>
      </w:r>
      <w:r w:rsidRPr="00816F70">
        <w:t>https://www.british-history.ac.uk/vch/lancs/vol8/pp136-139</w:t>
      </w:r>
      <w:r>
        <w:t xml:space="preserve">; online edition </w:t>
      </w:r>
      <w:r w:rsidRPr="00816F70">
        <w:t>accessed 14 May 2024]</w:t>
      </w:r>
      <w:r w:rsidR="00B8629E">
        <w:t>.</w:t>
      </w:r>
    </w:p>
  </w:footnote>
  <w:footnote w:id="510">
    <w:p w14:paraId="30DC8B99" w14:textId="22354254" w:rsidR="00302D44" w:rsidRPr="00665164" w:rsidRDefault="00302D44" w:rsidP="00302D44">
      <w:pPr>
        <w:pStyle w:val="FootnoteText"/>
      </w:pPr>
      <w:r>
        <w:rPr>
          <w:rStyle w:val="FootnoteReference"/>
        </w:rPr>
        <w:footnoteRef/>
      </w:r>
      <w:r>
        <w:t xml:space="preserve"> Garnett, </w:t>
      </w:r>
      <w:r>
        <w:rPr>
          <w:i/>
          <w:iCs/>
        </w:rPr>
        <w:t xml:space="preserve">Dated Buildings, </w:t>
      </w:r>
      <w:r>
        <w:t>p.153</w:t>
      </w:r>
      <w:r w:rsidR="00B8629E">
        <w:t>.</w:t>
      </w:r>
    </w:p>
  </w:footnote>
  <w:footnote w:id="511">
    <w:p w14:paraId="17E43F02" w14:textId="11C7347C" w:rsidR="00302D44" w:rsidRDefault="00302D44" w:rsidP="00302D44">
      <w:pPr>
        <w:pStyle w:val="FootnoteText"/>
      </w:pPr>
      <w:r>
        <w:rPr>
          <w:rStyle w:val="FootnoteReference"/>
        </w:rPr>
        <w:footnoteRef/>
      </w:r>
      <w:r>
        <w:t xml:space="preserve"> </w:t>
      </w:r>
      <w:r w:rsidRPr="00907F2D">
        <w:rPr>
          <w:vertAlign w:val="superscript"/>
          <w:lang w:val="en-US"/>
        </w:rPr>
        <w:footnoteRef/>
      </w:r>
      <w:r w:rsidRPr="00907F2D">
        <w:rPr>
          <w:lang w:val="en-US"/>
        </w:rPr>
        <w:t xml:space="preserve"> LA: PR 3315/1/1, </w:t>
      </w:r>
      <w:r w:rsidR="00C92377">
        <w:rPr>
          <w:lang w:val="en-US"/>
        </w:rPr>
        <w:t>Parish Register of</w:t>
      </w:r>
      <w:r w:rsidRPr="00907F2D">
        <w:rPr>
          <w:lang w:val="en-US"/>
        </w:rPr>
        <w:t xml:space="preserve"> </w:t>
      </w:r>
      <w:r>
        <w:rPr>
          <w:lang w:val="en-US"/>
        </w:rPr>
        <w:t>Holy Trinity Church, Bolton-le-Sands</w:t>
      </w:r>
      <w:r w:rsidRPr="00907F2D">
        <w:rPr>
          <w:lang w:val="en-US"/>
        </w:rPr>
        <w:t xml:space="preserve">, 1642-1737, </w:t>
      </w:r>
      <w:r w:rsidRPr="0027650D">
        <w:t>Baptism of Thomas Greene, 28 July 1681</w:t>
      </w:r>
      <w:r w:rsidR="00B8629E">
        <w:t>.</w:t>
      </w:r>
    </w:p>
  </w:footnote>
  <w:footnote w:id="512">
    <w:p w14:paraId="2A51DBB6" w14:textId="4844C85B" w:rsidR="00302D44" w:rsidRDefault="00302D44" w:rsidP="00302D44">
      <w:pPr>
        <w:pStyle w:val="FootnoteText"/>
      </w:pPr>
      <w:r>
        <w:rPr>
          <w:rStyle w:val="FootnoteReference"/>
        </w:rPr>
        <w:footnoteRef/>
      </w:r>
      <w:r>
        <w:t xml:space="preserve"> LA: QSJ 8/14/3, Sacrament Certificate, 18 April 1680; LA: QSJ 8/14/75, Sacrament Certificate, 26 December 1680; LA: QSJ 8/22/1, Sacrament Certificate, 2 January 1686</w:t>
      </w:r>
      <w:r w:rsidR="00B8629E">
        <w:t>.</w:t>
      </w:r>
    </w:p>
  </w:footnote>
  <w:footnote w:id="513">
    <w:p w14:paraId="2166A07F" w14:textId="08629041" w:rsidR="00302D44" w:rsidRDefault="00302D44" w:rsidP="00302D44">
      <w:pPr>
        <w:pStyle w:val="FootnoteText"/>
      </w:pPr>
      <w:r>
        <w:rPr>
          <w:rStyle w:val="FootnoteReference"/>
        </w:rPr>
        <w:footnoteRef/>
      </w:r>
      <w:r>
        <w:t xml:space="preserve"> </w:t>
      </w:r>
      <w:r w:rsidR="00A778FA" w:rsidRPr="00A778FA">
        <w:t xml:space="preserve">Colin Haydon, ‘Religious minorities in England’, in H. T. Dickinson (ed.), </w:t>
      </w:r>
      <w:r w:rsidR="00A778FA" w:rsidRPr="00A778FA">
        <w:rPr>
          <w:i/>
          <w:iCs/>
        </w:rPr>
        <w:t xml:space="preserve">A Companion to Eighteenth-Century Britain, </w:t>
      </w:r>
      <w:r w:rsidR="00A778FA" w:rsidRPr="00A778FA">
        <w:t>(Oxford, 2002), pp.241-251</w:t>
      </w:r>
      <w:r>
        <w:t>, p.241</w:t>
      </w:r>
      <w:r w:rsidR="00B8629E">
        <w:t>.</w:t>
      </w:r>
    </w:p>
  </w:footnote>
  <w:footnote w:id="514">
    <w:p w14:paraId="7927F7A2" w14:textId="4A8917CA" w:rsidR="00302D44" w:rsidRDefault="00302D44" w:rsidP="00302D44">
      <w:pPr>
        <w:pStyle w:val="FootnoteText"/>
      </w:pPr>
      <w:r>
        <w:rPr>
          <w:rStyle w:val="FootnoteReference"/>
        </w:rPr>
        <w:footnoteRef/>
      </w:r>
      <w:r>
        <w:t xml:space="preserve"> Thomas </w:t>
      </w:r>
      <w:proofErr w:type="spellStart"/>
      <w:r>
        <w:t>Cann</w:t>
      </w:r>
      <w:proofErr w:type="spellEnd"/>
      <w:r>
        <w:t xml:space="preserve"> Hughes (ed.), </w:t>
      </w:r>
      <w:r>
        <w:rPr>
          <w:i/>
          <w:iCs/>
        </w:rPr>
        <w:t xml:space="preserve">The Rolls of the Freemen of the Borough of Lancaster, 1688-1840, Part I, </w:t>
      </w:r>
      <w:r>
        <w:t>(Lancaster, 1935), pp.121-122</w:t>
      </w:r>
      <w:r w:rsidR="00B8629E">
        <w:t>.</w:t>
      </w:r>
    </w:p>
  </w:footnote>
  <w:footnote w:id="515">
    <w:p w14:paraId="0D53F758" w14:textId="49FB58C3" w:rsidR="00302D44" w:rsidRDefault="00302D44" w:rsidP="00302D44">
      <w:pPr>
        <w:pStyle w:val="FootnoteText"/>
      </w:pPr>
      <w:r>
        <w:rPr>
          <w:rStyle w:val="FootnoteReference"/>
        </w:rPr>
        <w:footnoteRef/>
      </w:r>
      <w:r>
        <w:t xml:space="preserve"> LA: QSP/712/11, Summons, 1692</w:t>
      </w:r>
      <w:r w:rsidR="00B8629E">
        <w:t>.</w:t>
      </w:r>
    </w:p>
  </w:footnote>
  <w:footnote w:id="516">
    <w:p w14:paraId="69449740" w14:textId="4630F539" w:rsidR="00302D44" w:rsidRPr="009104AF" w:rsidRDefault="00302D44" w:rsidP="00302D44">
      <w:pPr>
        <w:pStyle w:val="FootnoteText"/>
      </w:pPr>
      <w:r>
        <w:rPr>
          <w:rStyle w:val="FootnoteReference"/>
        </w:rPr>
        <w:footnoteRef/>
      </w:r>
      <w:r>
        <w:t xml:space="preserve"> Keith Wrightson, </w:t>
      </w:r>
      <w:r>
        <w:rPr>
          <w:i/>
          <w:iCs/>
        </w:rPr>
        <w:t xml:space="preserve">English Society, 1580-1680, </w:t>
      </w:r>
      <w:r>
        <w:t>(Abingdon, 1982),</w:t>
      </w:r>
      <w:r>
        <w:rPr>
          <w:i/>
          <w:iCs/>
        </w:rPr>
        <w:t xml:space="preserve"> </w:t>
      </w:r>
      <w:r>
        <w:t>p.32</w:t>
      </w:r>
      <w:r w:rsidR="00B8629E">
        <w:t>.</w:t>
      </w:r>
    </w:p>
  </w:footnote>
  <w:footnote w:id="517">
    <w:p w14:paraId="076B5981" w14:textId="30C46551" w:rsidR="00302D44" w:rsidRDefault="00302D44" w:rsidP="00302D44">
      <w:pPr>
        <w:pStyle w:val="FootnoteText"/>
      </w:pPr>
      <w:r>
        <w:rPr>
          <w:rStyle w:val="FootnoteReference"/>
        </w:rPr>
        <w:footnoteRef/>
      </w:r>
      <w:r>
        <w:t xml:space="preserve"> Ibid.</w:t>
      </w:r>
    </w:p>
  </w:footnote>
  <w:footnote w:id="518">
    <w:p w14:paraId="3C5568E1" w14:textId="5F3C6279" w:rsidR="00302D44" w:rsidRDefault="00302D44" w:rsidP="00302D44">
      <w:pPr>
        <w:pStyle w:val="FootnoteText"/>
      </w:pPr>
      <w:r>
        <w:rPr>
          <w:rStyle w:val="FootnoteReference"/>
        </w:rPr>
        <w:footnoteRef/>
      </w:r>
      <w:r>
        <w:t xml:space="preserve"> LA: DDGR Box C1, Letters to the Greene family at Slyne, 1706-1776, William Greene to Thomas Greene, 14 June 1711</w:t>
      </w:r>
      <w:r w:rsidR="00B8629E">
        <w:t>.</w:t>
      </w:r>
    </w:p>
  </w:footnote>
  <w:footnote w:id="519">
    <w:p w14:paraId="33A5505D" w14:textId="2A9AA2D6" w:rsidR="00302D44" w:rsidRPr="00B62804" w:rsidRDefault="00302D44" w:rsidP="00302D44">
      <w:pPr>
        <w:pStyle w:val="FootnoteText"/>
      </w:pPr>
      <w:r>
        <w:rPr>
          <w:rStyle w:val="FootnoteReference"/>
        </w:rPr>
        <w:footnoteRef/>
      </w:r>
      <w:r>
        <w:t xml:space="preserve"> Garnett, </w:t>
      </w:r>
      <w:r>
        <w:rPr>
          <w:i/>
          <w:iCs/>
        </w:rPr>
        <w:t xml:space="preserve">Dated Buildings, </w:t>
      </w:r>
      <w:r>
        <w:t>p.154</w:t>
      </w:r>
      <w:r w:rsidR="00B8629E">
        <w:t>.</w:t>
      </w:r>
    </w:p>
  </w:footnote>
  <w:footnote w:id="520">
    <w:p w14:paraId="6808C458" w14:textId="0965AE48" w:rsidR="00302D44" w:rsidRDefault="00302D44" w:rsidP="00302D44">
      <w:pPr>
        <w:pStyle w:val="FootnoteText"/>
      </w:pPr>
      <w:r>
        <w:rPr>
          <w:rStyle w:val="FootnoteReference"/>
        </w:rPr>
        <w:footnoteRef/>
      </w:r>
      <w:r>
        <w:t xml:space="preserve"> LA: DDGR Box C1,</w:t>
      </w:r>
      <w:r w:rsidRPr="00DF3499">
        <w:rPr>
          <w:rFonts w:eastAsiaTheme="minorEastAsia" w:cstheme="minorBidi"/>
          <w:sz w:val="24"/>
          <w:szCs w:val="24"/>
          <w:lang w:val="en-US"/>
        </w:rPr>
        <w:t xml:space="preserve"> </w:t>
      </w:r>
      <w:r w:rsidRPr="00DF3499">
        <w:rPr>
          <w:lang w:val="en-US"/>
        </w:rPr>
        <w:t>Letters to the Greene family at Slyne, 1706-1776,</w:t>
      </w:r>
      <w:r>
        <w:t xml:space="preserve"> William Greene to Cornelius Greene, 24 November 1711</w:t>
      </w:r>
      <w:r w:rsidR="00B8629E">
        <w:t>.</w:t>
      </w:r>
    </w:p>
  </w:footnote>
  <w:footnote w:id="521">
    <w:p w14:paraId="33614587" w14:textId="77777777" w:rsidR="00302D44" w:rsidRPr="00873598" w:rsidRDefault="00302D44" w:rsidP="00302D44">
      <w:pPr>
        <w:pStyle w:val="FootnoteText"/>
      </w:pPr>
      <w:r>
        <w:rPr>
          <w:rStyle w:val="FootnoteReference"/>
        </w:rPr>
        <w:footnoteRef/>
      </w:r>
      <w:r>
        <w:t xml:space="preserve"> Heysham was MP for Lancaster </w:t>
      </w:r>
      <w:r w:rsidRPr="00764FBA">
        <w:t>1698-1715</w:t>
      </w:r>
      <w:r>
        <w:t>,</w:t>
      </w:r>
      <w:r w:rsidRPr="00764FBA">
        <w:t xml:space="preserve"> </w:t>
      </w:r>
      <w:r>
        <w:t>MP</w:t>
      </w:r>
      <w:r w:rsidRPr="00764FBA">
        <w:t xml:space="preserve"> </w:t>
      </w:r>
      <w:r>
        <w:t xml:space="preserve">for the </w:t>
      </w:r>
      <w:r w:rsidRPr="00764FBA">
        <w:t>City of London 1715-22, and London alderman 1720-23</w:t>
      </w:r>
      <w:r>
        <w:t xml:space="preserve">: ‘Heysham, Robert (1663-1723), of London and </w:t>
      </w:r>
      <w:proofErr w:type="spellStart"/>
      <w:r>
        <w:t>Stagenhoe</w:t>
      </w:r>
      <w:proofErr w:type="spellEnd"/>
      <w:r>
        <w:t xml:space="preserve">, Herts.’, in David Hayton, Eveline Cruickshanks, Stuart Handley (eds), </w:t>
      </w:r>
      <w:r>
        <w:rPr>
          <w:i/>
          <w:iCs/>
        </w:rPr>
        <w:t xml:space="preserve">The History of Parliament: the House of Commons 1690-1715, </w:t>
      </w:r>
      <w:r>
        <w:t>(Cambridge, 2002), [</w:t>
      </w:r>
      <w:r w:rsidRPr="00F67EDF">
        <w:t>https://historyofparliamentonline.org/volume/1690-1715/member/heysham-robert-1663-1723</w:t>
      </w:r>
      <w:r>
        <w:t>;</w:t>
      </w:r>
      <w:r w:rsidRPr="00F67EDF">
        <w:t xml:space="preserve"> </w:t>
      </w:r>
      <w:r>
        <w:t xml:space="preserve">online edition accessed 8 April 2024]; </w:t>
      </w:r>
      <w:r w:rsidRPr="003C774E">
        <w:t xml:space="preserve">Arun Thomas and Asokan Mundon, ‘Robert Adams: the real founder of English East India Company’s supremacy in Malabar’, </w:t>
      </w:r>
      <w:r w:rsidRPr="003C774E">
        <w:rPr>
          <w:i/>
          <w:iCs/>
        </w:rPr>
        <w:t xml:space="preserve">Journal of Humanities and Social Science, </w:t>
      </w:r>
      <w:r w:rsidRPr="003C774E">
        <w:t>Vol. 20, No. 5, (2015), pp.19-26</w:t>
      </w:r>
      <w:r>
        <w:t>;</w:t>
      </w:r>
      <w:r w:rsidRPr="003345D6">
        <w:t xml:space="preserve"> </w:t>
      </w:r>
      <w:r w:rsidRPr="003345D6">
        <w:rPr>
          <w:lang w:val="en-US"/>
        </w:rPr>
        <w:t xml:space="preserve">Brian </w:t>
      </w:r>
      <w:proofErr w:type="spellStart"/>
      <w:r w:rsidRPr="003345D6">
        <w:rPr>
          <w:lang w:val="en-US"/>
        </w:rPr>
        <w:t>Refford</w:t>
      </w:r>
      <w:proofErr w:type="spellEnd"/>
      <w:r w:rsidRPr="003345D6">
        <w:rPr>
          <w:lang w:val="en-US"/>
        </w:rPr>
        <w:t xml:space="preserve">, </w:t>
      </w:r>
      <w:r w:rsidRPr="003345D6">
        <w:rPr>
          <w:i/>
          <w:iCs/>
          <w:lang w:val="en-US"/>
        </w:rPr>
        <w:t xml:space="preserve">The Bonds of Trade: Commerce and Community in the Liverpool Slave Trade, 1695-1775, </w:t>
      </w:r>
      <w:r w:rsidRPr="003345D6">
        <w:rPr>
          <w:lang w:val="en-US"/>
        </w:rPr>
        <w:t>(San Diego, 2008), p.22</w:t>
      </w:r>
      <w:r>
        <w:rPr>
          <w:lang w:val="en-US"/>
        </w:rPr>
        <w:t>.</w:t>
      </w:r>
      <w:r>
        <w:t xml:space="preserve"> N.B.: Heysham and Johnson were both heavily involved in the trade in enslaved people. Heysham was the most prominent independent trader</w:t>
      </w:r>
      <w:r w:rsidRPr="003C774E">
        <w:t xml:space="preserve"> </w:t>
      </w:r>
      <w:r>
        <w:t>in enslaved people during Anne’s reign, and Johnson was one of the earliest traders in enslaved people to operate out of Liverpool.</w:t>
      </w:r>
    </w:p>
  </w:footnote>
  <w:footnote w:id="522">
    <w:p w14:paraId="35B5128D" w14:textId="476609FB" w:rsidR="00302D44" w:rsidRDefault="00302D44" w:rsidP="00302D44">
      <w:pPr>
        <w:pStyle w:val="FootnoteText"/>
      </w:pPr>
      <w:r>
        <w:rPr>
          <w:rStyle w:val="FootnoteReference"/>
        </w:rPr>
        <w:footnoteRef/>
      </w:r>
      <w:r>
        <w:t xml:space="preserve"> Ian Warren, ‘The English landed elite and the social environment of London c.1580-1700: the cradle of an aristocratic culture?’, </w:t>
      </w:r>
      <w:r>
        <w:rPr>
          <w:i/>
          <w:iCs/>
        </w:rPr>
        <w:t xml:space="preserve">English Historical Review, </w:t>
      </w:r>
      <w:r>
        <w:t>Vol. 116, No. 518, (2011), pp.44-75, p.55</w:t>
      </w:r>
      <w:r w:rsidR="00C7264E">
        <w:t>.</w:t>
      </w:r>
    </w:p>
  </w:footnote>
  <w:footnote w:id="523">
    <w:p w14:paraId="7E958223" w14:textId="3099CBFC" w:rsidR="00302D44" w:rsidRDefault="00302D44" w:rsidP="00302D44">
      <w:pPr>
        <w:pStyle w:val="FootnoteText"/>
      </w:pPr>
      <w:r>
        <w:rPr>
          <w:rStyle w:val="FootnoteReference"/>
        </w:rPr>
        <w:footnoteRef/>
      </w:r>
      <w:r>
        <w:t xml:space="preserve"> LA: </w:t>
      </w:r>
      <w:r w:rsidRPr="00DF3499">
        <w:t xml:space="preserve">DDGR Box C1, </w:t>
      </w:r>
      <w:r w:rsidRPr="00DF3499">
        <w:rPr>
          <w:lang w:val="en-US"/>
        </w:rPr>
        <w:t xml:space="preserve">Letters to the Greene family at Slyne, 1706-1776, </w:t>
      </w:r>
      <w:r w:rsidRPr="00DF3499">
        <w:t>William Greene to Cornelius Greene, 24 November 1711</w:t>
      </w:r>
      <w:r w:rsidR="00C7264E">
        <w:t>.</w:t>
      </w:r>
    </w:p>
  </w:footnote>
  <w:footnote w:id="524">
    <w:p w14:paraId="48AE6D87" w14:textId="1733484F" w:rsidR="00302D44" w:rsidRPr="006A5E1A" w:rsidRDefault="00302D44" w:rsidP="00302D44">
      <w:pPr>
        <w:pStyle w:val="FootnoteText"/>
      </w:pPr>
      <w:r>
        <w:rPr>
          <w:rStyle w:val="FootnoteReference"/>
        </w:rPr>
        <w:footnoteRef/>
      </w:r>
      <w:r>
        <w:t xml:space="preserve"> Wrightson, </w:t>
      </w:r>
      <w:r>
        <w:rPr>
          <w:i/>
          <w:iCs/>
        </w:rPr>
        <w:t>English Society</w:t>
      </w:r>
      <w:r>
        <w:t>, p.36</w:t>
      </w:r>
      <w:r w:rsidR="00C7264E">
        <w:t>.</w:t>
      </w:r>
    </w:p>
  </w:footnote>
  <w:footnote w:id="525">
    <w:p w14:paraId="66ACB4C6" w14:textId="2569B64C" w:rsidR="00302D44" w:rsidRDefault="00302D44" w:rsidP="00302D44">
      <w:pPr>
        <w:pStyle w:val="FootnoteText"/>
      </w:pPr>
      <w:r>
        <w:rPr>
          <w:rStyle w:val="FootnoteReference"/>
        </w:rPr>
        <w:footnoteRef/>
      </w:r>
      <w:r>
        <w:t xml:space="preserve"> </w:t>
      </w:r>
      <w:r w:rsidRPr="00DF3499">
        <w:rPr>
          <w:lang w:val="en-US"/>
        </w:rPr>
        <w:t>LA: DDGR Box C1, Letters to the Greene family at Slyne, 1706-1776, William Greene to Cornelius Greene, 24 November 1711</w:t>
      </w:r>
      <w:r w:rsidR="00C7264E">
        <w:rPr>
          <w:lang w:val="en-US"/>
        </w:rPr>
        <w:t>.</w:t>
      </w:r>
    </w:p>
  </w:footnote>
  <w:footnote w:id="526">
    <w:p w14:paraId="0A9FFCE1" w14:textId="638352E8" w:rsidR="00302D44" w:rsidRDefault="00302D44" w:rsidP="00302D44">
      <w:pPr>
        <w:pStyle w:val="FootnoteText"/>
      </w:pPr>
      <w:r>
        <w:rPr>
          <w:rStyle w:val="FootnoteReference"/>
        </w:rPr>
        <w:footnoteRef/>
      </w:r>
      <w:r>
        <w:t xml:space="preserve"> </w:t>
      </w:r>
      <w:r w:rsidRPr="000351B8">
        <w:rPr>
          <w:lang w:val="en-US"/>
        </w:rPr>
        <w:t xml:space="preserve">LA: PR 3315/1/1, </w:t>
      </w:r>
      <w:r w:rsidR="00C92377">
        <w:rPr>
          <w:lang w:val="en-US"/>
        </w:rPr>
        <w:t>Parish Register of</w:t>
      </w:r>
      <w:r w:rsidRPr="000351B8">
        <w:rPr>
          <w:lang w:val="en-US"/>
        </w:rPr>
        <w:t xml:space="preserve"> </w:t>
      </w:r>
      <w:r>
        <w:rPr>
          <w:lang w:val="en-US"/>
        </w:rPr>
        <w:t>Holy Trinity Church, Bolton-le-Sands</w:t>
      </w:r>
      <w:r w:rsidRPr="000351B8">
        <w:rPr>
          <w:lang w:val="en-US"/>
        </w:rPr>
        <w:t xml:space="preserve">, 1642-1737, </w:t>
      </w:r>
      <w:r>
        <w:rPr>
          <w:lang w:val="en-US"/>
        </w:rPr>
        <w:t>Burial</w:t>
      </w:r>
      <w:r>
        <w:t xml:space="preserve"> of Cornelius Greene, 12 December 1712</w:t>
      </w:r>
      <w:r w:rsidR="00C7264E">
        <w:t>.</w:t>
      </w:r>
    </w:p>
  </w:footnote>
  <w:footnote w:id="527">
    <w:p w14:paraId="36B4FB43" w14:textId="349D5485" w:rsidR="00302D44" w:rsidRDefault="00302D44" w:rsidP="00302D44">
      <w:pPr>
        <w:pStyle w:val="FootnoteText"/>
      </w:pPr>
      <w:r>
        <w:rPr>
          <w:rStyle w:val="FootnoteReference"/>
        </w:rPr>
        <w:footnoteRef/>
      </w:r>
      <w:r>
        <w:t xml:space="preserve"> Robin Law, ‘William’s Fort: </w:t>
      </w:r>
      <w:proofErr w:type="gramStart"/>
      <w:r>
        <w:t>the</w:t>
      </w:r>
      <w:proofErr w:type="gramEnd"/>
      <w:r>
        <w:t xml:space="preserve"> English fort at Ouidah, 1680s-1960s’, in John Kwadwo Osei-Tutu (ed.), </w:t>
      </w:r>
      <w:r>
        <w:rPr>
          <w:i/>
          <w:iCs/>
        </w:rPr>
        <w:t xml:space="preserve">Forts, Castles and Society in West Africa: Gold Coast and Dahomey, 1450-1960, </w:t>
      </w:r>
      <w:r>
        <w:t>(Leiden, 2018), pp.119-147, p.120</w:t>
      </w:r>
      <w:r w:rsidR="00C7264E">
        <w:t>.</w:t>
      </w:r>
    </w:p>
  </w:footnote>
  <w:footnote w:id="528">
    <w:p w14:paraId="581803AB" w14:textId="32FD25BB" w:rsidR="00302D44" w:rsidRDefault="00302D44" w:rsidP="00302D44">
      <w:pPr>
        <w:pStyle w:val="FootnoteText"/>
      </w:pPr>
      <w:r>
        <w:rPr>
          <w:rStyle w:val="FootnoteReference"/>
        </w:rPr>
        <w:footnoteRef/>
      </w:r>
      <w:r>
        <w:t xml:space="preserve"> </w:t>
      </w:r>
      <w:r w:rsidRPr="000351B8">
        <w:rPr>
          <w:lang w:val="en-US"/>
        </w:rPr>
        <w:t>LA: DDGR Box C1, Letters to the Greene family at Slyne, 1706-1776</w:t>
      </w:r>
      <w:r>
        <w:rPr>
          <w:lang w:val="en-US"/>
        </w:rPr>
        <w:t xml:space="preserve">, </w:t>
      </w:r>
      <w:r>
        <w:t>Richard Greene to Thomas Greene, 21 January 1721</w:t>
      </w:r>
      <w:r w:rsidR="00C7264E">
        <w:t>.</w:t>
      </w:r>
    </w:p>
  </w:footnote>
  <w:footnote w:id="529">
    <w:p w14:paraId="2C519828" w14:textId="12C04723" w:rsidR="00302D44" w:rsidRPr="00684D5B" w:rsidRDefault="00302D44" w:rsidP="00302D44">
      <w:pPr>
        <w:pStyle w:val="FootnoteText"/>
      </w:pPr>
      <w:r>
        <w:rPr>
          <w:rStyle w:val="FootnoteReference"/>
        </w:rPr>
        <w:footnoteRef/>
      </w:r>
      <w:r>
        <w:t xml:space="preserve"> Wrightson, </w:t>
      </w:r>
      <w:r>
        <w:rPr>
          <w:i/>
          <w:iCs/>
        </w:rPr>
        <w:t xml:space="preserve">English Society, </w:t>
      </w:r>
      <w:r>
        <w:t>p.35</w:t>
      </w:r>
      <w:r w:rsidR="00C7264E">
        <w:t>.</w:t>
      </w:r>
    </w:p>
  </w:footnote>
  <w:footnote w:id="530">
    <w:p w14:paraId="5146F29F" w14:textId="7575D4DD" w:rsidR="00302D44" w:rsidRPr="006422DA" w:rsidRDefault="00302D44" w:rsidP="00302D44">
      <w:pPr>
        <w:pStyle w:val="FootnoteText"/>
      </w:pPr>
      <w:r>
        <w:rPr>
          <w:rStyle w:val="FootnoteReference"/>
        </w:rPr>
        <w:footnoteRef/>
      </w:r>
      <w:r>
        <w:t xml:space="preserve"> ‘Greene, Thomas (1794-1872), of Slyne and Whittington Hall, Lancs’, in David Fisher, </w:t>
      </w:r>
      <w:r>
        <w:rPr>
          <w:i/>
          <w:iCs/>
        </w:rPr>
        <w:t xml:space="preserve">The History of Parliament: the House of Commons 1820-1832, </w:t>
      </w:r>
      <w:r>
        <w:t>(Cambridge, 2009), [</w:t>
      </w:r>
      <w:r w:rsidRPr="00AE3FE6">
        <w:t>https://www.historyofparliamentonline.org/volume/1820-1832/member/greene-thomas-1794-1872</w:t>
      </w:r>
      <w:r>
        <w:t>; online edition accessed 10 April 2024]</w:t>
      </w:r>
      <w:r w:rsidR="00C7264E">
        <w:t>.</w:t>
      </w:r>
    </w:p>
  </w:footnote>
  <w:footnote w:id="531">
    <w:p w14:paraId="29D6B187" w14:textId="4474299B" w:rsidR="00302D44" w:rsidRPr="00E04571" w:rsidRDefault="00302D44" w:rsidP="00302D44">
      <w:pPr>
        <w:pStyle w:val="FootnoteText"/>
        <w:rPr>
          <w:i/>
          <w:iCs/>
        </w:rPr>
      </w:pPr>
      <w:r>
        <w:rPr>
          <w:rStyle w:val="FootnoteReference"/>
        </w:rPr>
        <w:footnoteRef/>
      </w:r>
      <w:r>
        <w:t xml:space="preserve"> Farrer, ‘Slyne’, </w:t>
      </w:r>
      <w:r>
        <w:rPr>
          <w:i/>
          <w:iCs/>
        </w:rPr>
        <w:t>VCH</w:t>
      </w:r>
      <w:r w:rsidR="00C7264E">
        <w:rPr>
          <w:i/>
          <w:iCs/>
        </w:rPr>
        <w:t>.</w:t>
      </w:r>
    </w:p>
  </w:footnote>
  <w:footnote w:id="532">
    <w:p w14:paraId="2C6553DF" w14:textId="376CFAF2" w:rsidR="00302D44" w:rsidRDefault="00302D44" w:rsidP="00302D44">
      <w:pPr>
        <w:pStyle w:val="FootnoteText"/>
      </w:pPr>
      <w:r>
        <w:rPr>
          <w:rStyle w:val="FootnoteReference"/>
        </w:rPr>
        <w:footnoteRef/>
      </w:r>
      <w:r>
        <w:t xml:space="preserve"> </w:t>
      </w:r>
      <w:r w:rsidRPr="00C960BE">
        <w:t xml:space="preserve">Garnett, </w:t>
      </w:r>
      <w:r w:rsidRPr="00C960BE">
        <w:rPr>
          <w:i/>
          <w:iCs/>
        </w:rPr>
        <w:t xml:space="preserve">Dated Buildings, </w:t>
      </w:r>
      <w:r w:rsidRPr="00C960BE">
        <w:t>p.154</w:t>
      </w:r>
      <w:r w:rsidR="00C7264E">
        <w:t>.</w:t>
      </w:r>
    </w:p>
  </w:footnote>
  <w:footnote w:id="533">
    <w:p w14:paraId="6EE0E7C3" w14:textId="6AE3F55F" w:rsidR="00302D44" w:rsidRDefault="00302D44" w:rsidP="00302D44">
      <w:pPr>
        <w:pStyle w:val="FootnoteText"/>
      </w:pPr>
      <w:r>
        <w:rPr>
          <w:rStyle w:val="FootnoteReference"/>
        </w:rPr>
        <w:footnoteRef/>
      </w:r>
      <w:r>
        <w:t xml:space="preserve"> ‘Hall Farmhouse’, Grade II Listed Building in Over Kellet, Lancaster, List Entry No. 1071870, [</w:t>
      </w:r>
      <w:r w:rsidRPr="005A3677">
        <w:t>https://historicengland.org.uk/listing/the-list/list-entry/1071870?section=official-list-entry</w:t>
      </w:r>
      <w:r>
        <w:t>; accessed 21 May 2024]</w:t>
      </w:r>
      <w:r w:rsidR="00C7264E">
        <w:t>.</w:t>
      </w:r>
    </w:p>
  </w:footnote>
  <w:footnote w:id="534">
    <w:p w14:paraId="45281F19" w14:textId="46492716" w:rsidR="00302D44" w:rsidRDefault="00302D44" w:rsidP="00302D44">
      <w:pPr>
        <w:pStyle w:val="FootnoteText"/>
      </w:pPr>
      <w:r>
        <w:rPr>
          <w:rStyle w:val="FootnoteReference"/>
        </w:rPr>
        <w:footnoteRef/>
      </w:r>
      <w:r>
        <w:t xml:space="preserve"> LA: WRW/K/</w:t>
      </w:r>
      <w:r w:rsidRPr="00542C61">
        <w:t>R436A/61</w:t>
      </w:r>
      <w:r>
        <w:t>,</w:t>
      </w:r>
      <w:r>
        <w:rPr>
          <w:b/>
          <w:bCs/>
        </w:rPr>
        <w:t xml:space="preserve"> </w:t>
      </w:r>
      <w:r>
        <w:t>Inventory of Robert Gibson of Over Kellet, yeoman, 12 July 1725</w:t>
      </w:r>
      <w:r w:rsidR="00C7264E">
        <w:t>.</w:t>
      </w:r>
    </w:p>
  </w:footnote>
  <w:footnote w:id="535">
    <w:p w14:paraId="2F3DD448" w14:textId="7F6D4E48" w:rsidR="00302D44" w:rsidRDefault="00302D44" w:rsidP="00302D44">
      <w:pPr>
        <w:pStyle w:val="FootnoteText"/>
      </w:pPr>
      <w:r>
        <w:rPr>
          <w:rStyle w:val="FootnoteReference"/>
        </w:rPr>
        <w:footnoteRef/>
      </w:r>
      <w:r>
        <w:t xml:space="preserve"> LA: ARR/2/4/10/111, Tithe </w:t>
      </w:r>
      <w:r w:rsidR="00C21BCF">
        <w:t>D</w:t>
      </w:r>
      <w:r>
        <w:t>ispute,</w:t>
      </w:r>
      <w:r w:rsidR="00C21BCF">
        <w:t xml:space="preserve"> Archdeaconry of Richmond,</w:t>
      </w:r>
      <w:r>
        <w:t xml:space="preserve"> 1721-1</w:t>
      </w:r>
      <w:r w:rsidR="00C7264E">
        <w:t>.</w:t>
      </w:r>
    </w:p>
  </w:footnote>
  <w:footnote w:id="536">
    <w:p w14:paraId="72058B98" w14:textId="631AD1E8" w:rsidR="00302D44" w:rsidRDefault="00302D44" w:rsidP="00302D44">
      <w:pPr>
        <w:pStyle w:val="FootnoteText"/>
      </w:pPr>
      <w:r>
        <w:rPr>
          <w:rStyle w:val="FootnoteReference"/>
        </w:rPr>
        <w:footnoteRef/>
      </w:r>
      <w:r>
        <w:t xml:space="preserve"> Ibid.</w:t>
      </w:r>
    </w:p>
  </w:footnote>
  <w:footnote w:id="537">
    <w:p w14:paraId="59C94452" w14:textId="1F611173" w:rsidR="00302D44" w:rsidRDefault="00302D44" w:rsidP="00302D44">
      <w:pPr>
        <w:pStyle w:val="FootnoteText"/>
      </w:pPr>
      <w:r>
        <w:rPr>
          <w:rStyle w:val="FootnoteReference"/>
        </w:rPr>
        <w:footnoteRef/>
      </w:r>
      <w:r>
        <w:t xml:space="preserve"> LA: </w:t>
      </w:r>
      <w:r w:rsidRPr="00542C61">
        <w:t>WRW/K/R436A/61</w:t>
      </w:r>
      <w:r>
        <w:t>, Will of Robert Gibson of Over Kellet, yeoman, 3 May 1725</w:t>
      </w:r>
      <w:r w:rsidR="00C7264E">
        <w:t>.</w:t>
      </w:r>
    </w:p>
  </w:footnote>
  <w:footnote w:id="538">
    <w:p w14:paraId="194EF29B" w14:textId="69E734D4" w:rsidR="00302D44" w:rsidRDefault="00302D44" w:rsidP="00302D44">
      <w:pPr>
        <w:pStyle w:val="FootnoteText"/>
      </w:pPr>
      <w:r>
        <w:rPr>
          <w:rStyle w:val="FootnoteReference"/>
        </w:rPr>
        <w:footnoteRef/>
      </w:r>
      <w:r>
        <w:t xml:space="preserve"> LA: ARR/37/97/2, Testimonial Letters</w:t>
      </w:r>
      <w:r w:rsidR="00AD11A8">
        <w:t xml:space="preserve"> for James Smith, Rector of Halton,</w:t>
      </w:r>
      <w:r>
        <w:t xml:space="preserve"> 1705</w:t>
      </w:r>
      <w:r w:rsidR="00C7264E">
        <w:t>.</w:t>
      </w:r>
    </w:p>
  </w:footnote>
  <w:footnote w:id="539">
    <w:p w14:paraId="04BDDE9B" w14:textId="65E290DD" w:rsidR="00302D44" w:rsidRDefault="00302D44" w:rsidP="00302D44">
      <w:pPr>
        <w:pStyle w:val="FootnoteText"/>
      </w:pPr>
      <w:r>
        <w:rPr>
          <w:rStyle w:val="FootnoteReference"/>
        </w:rPr>
        <w:footnoteRef/>
      </w:r>
      <w:r>
        <w:t xml:space="preserve"> LA: DDX/103, Papers of the Wilson family of Elswick, 1700s-1900s, cited and transcribed in Frances Gerald Gomez, ‘The endowed schools of Lancashire from the seventeenth to the early nineteenth century’, (University of Leeds, 1987</w:t>
      </w:r>
      <w:r w:rsidR="003E66F7">
        <w:t xml:space="preserve">; </w:t>
      </w:r>
      <w:r w:rsidR="003E66F7" w:rsidRPr="003E66F7">
        <w:t>unpublished PhD thesis</w:t>
      </w:r>
      <w:r>
        <w:t>), p.84</w:t>
      </w:r>
      <w:r w:rsidR="00C7264E">
        <w:t>.</w:t>
      </w:r>
    </w:p>
  </w:footnote>
  <w:footnote w:id="540">
    <w:p w14:paraId="03119FED" w14:textId="3FDC650C" w:rsidR="00302D44" w:rsidRDefault="00302D44" w:rsidP="00302D44">
      <w:pPr>
        <w:pStyle w:val="FootnoteText"/>
      </w:pPr>
      <w:r>
        <w:rPr>
          <w:rStyle w:val="FootnoteReference"/>
        </w:rPr>
        <w:footnoteRef/>
      </w:r>
      <w:r>
        <w:t>LA: ARR/37/97/2, Testimonial Letters, 1705</w:t>
      </w:r>
      <w:r w:rsidR="00C7264E">
        <w:t>.</w:t>
      </w:r>
    </w:p>
  </w:footnote>
  <w:footnote w:id="541">
    <w:p w14:paraId="563102BD" w14:textId="051D5362" w:rsidR="00302D44" w:rsidRDefault="00302D44" w:rsidP="00302D44">
      <w:pPr>
        <w:pStyle w:val="FootnoteText"/>
      </w:pPr>
      <w:r>
        <w:rPr>
          <w:rStyle w:val="FootnoteReference"/>
        </w:rPr>
        <w:footnoteRef/>
      </w:r>
      <w:r>
        <w:t xml:space="preserve"> </w:t>
      </w:r>
      <w:r w:rsidRPr="00116449">
        <w:rPr>
          <w:lang w:val="en-US"/>
        </w:rPr>
        <w:t>Garnett, ‘Great rebuilding’, p.66</w:t>
      </w:r>
      <w:r w:rsidR="00C7264E">
        <w:rPr>
          <w:lang w:val="en-US"/>
        </w:rPr>
        <w:t>.</w:t>
      </w:r>
    </w:p>
  </w:footnote>
  <w:footnote w:id="542">
    <w:p w14:paraId="3142FCFB" w14:textId="511477CB" w:rsidR="00302D44" w:rsidRDefault="00302D44" w:rsidP="00302D44">
      <w:pPr>
        <w:pStyle w:val="FootnoteText"/>
      </w:pPr>
      <w:r>
        <w:rPr>
          <w:rStyle w:val="FootnoteReference"/>
        </w:rPr>
        <w:footnoteRef/>
      </w:r>
      <w:r>
        <w:t xml:space="preserve"> LA: PR 3328, </w:t>
      </w:r>
      <w:r w:rsidR="00C92377">
        <w:t>Parish Register of</w:t>
      </w:r>
      <w:r>
        <w:t xml:space="preserve"> St Cuthbert’s Church, </w:t>
      </w:r>
      <w:r w:rsidRPr="00265512">
        <w:rPr>
          <w:lang w:val="en-US"/>
        </w:rPr>
        <w:t>Over Kellet,</w:t>
      </w:r>
      <w:r>
        <w:t xml:space="preserve"> 1653-1812, Baptism of Richard Gibson, 28 October 1704</w:t>
      </w:r>
      <w:r w:rsidR="00C7264E">
        <w:t>.</w:t>
      </w:r>
    </w:p>
  </w:footnote>
  <w:footnote w:id="543">
    <w:p w14:paraId="71EFFE60" w14:textId="1944927F" w:rsidR="00302D44" w:rsidRDefault="00302D44" w:rsidP="00302D44">
      <w:pPr>
        <w:pStyle w:val="FootnoteText"/>
      </w:pPr>
      <w:r>
        <w:rPr>
          <w:rStyle w:val="FootnoteReference"/>
        </w:rPr>
        <w:footnoteRef/>
      </w:r>
      <w:r>
        <w:t xml:space="preserve"> </w:t>
      </w:r>
      <w:r w:rsidRPr="000E2B7D">
        <w:t>Garnett</w:t>
      </w:r>
      <w:r>
        <w:t>, ‘Great rebuilding’, p.66</w:t>
      </w:r>
      <w:r w:rsidR="00C7264E">
        <w:t>.</w:t>
      </w:r>
    </w:p>
  </w:footnote>
  <w:footnote w:id="544">
    <w:p w14:paraId="1EFE96DF" w14:textId="76B4CD41" w:rsidR="00302D44" w:rsidRDefault="00302D44" w:rsidP="00302D44">
      <w:pPr>
        <w:pStyle w:val="FootnoteText"/>
      </w:pPr>
      <w:r>
        <w:rPr>
          <w:rStyle w:val="FootnoteReference"/>
        </w:rPr>
        <w:footnoteRef/>
      </w:r>
      <w:r>
        <w:t xml:space="preserve"> </w:t>
      </w:r>
      <w:r>
        <w:rPr>
          <w:lang w:val="en-US"/>
        </w:rPr>
        <w:t>Tony</w:t>
      </w:r>
      <w:r w:rsidRPr="00D75638">
        <w:rPr>
          <w:lang w:val="en-US"/>
        </w:rPr>
        <w:t xml:space="preserve"> Wrigley and R</w:t>
      </w:r>
      <w:r>
        <w:rPr>
          <w:lang w:val="en-US"/>
        </w:rPr>
        <w:t>oger</w:t>
      </w:r>
      <w:r w:rsidRPr="00D75638">
        <w:rPr>
          <w:lang w:val="en-US"/>
        </w:rPr>
        <w:t xml:space="preserve"> Schoﬁeld, </w:t>
      </w:r>
      <w:r w:rsidRPr="00D75638">
        <w:rPr>
          <w:i/>
          <w:iCs/>
          <w:lang w:val="en-US"/>
        </w:rPr>
        <w:t>The Population History of England, 1541–1871: A</w:t>
      </w:r>
      <w:r w:rsidRPr="00D75638">
        <w:rPr>
          <w:lang w:val="en-US"/>
        </w:rPr>
        <w:t xml:space="preserve"> </w:t>
      </w:r>
      <w:r w:rsidRPr="00D75638">
        <w:rPr>
          <w:i/>
          <w:iCs/>
          <w:lang w:val="en-US"/>
        </w:rPr>
        <w:t>Reconstruction</w:t>
      </w:r>
      <w:r>
        <w:rPr>
          <w:i/>
          <w:iCs/>
          <w:lang w:val="en-US"/>
        </w:rPr>
        <w:t>,</w:t>
      </w:r>
      <w:r w:rsidRPr="00D75638">
        <w:rPr>
          <w:lang w:val="en-US"/>
        </w:rPr>
        <w:t xml:space="preserve"> (Cambridge, 1981)</w:t>
      </w:r>
      <w:r w:rsidR="00C7264E">
        <w:rPr>
          <w:lang w:val="en-US"/>
        </w:rPr>
        <w:t>.</w:t>
      </w:r>
    </w:p>
  </w:footnote>
  <w:footnote w:id="545">
    <w:p w14:paraId="27EEB55E" w14:textId="11331C85" w:rsidR="00302D44" w:rsidRDefault="00302D44" w:rsidP="00302D44">
      <w:pPr>
        <w:pStyle w:val="FootnoteText"/>
      </w:pPr>
      <w:r>
        <w:rPr>
          <w:rStyle w:val="FootnoteReference"/>
        </w:rPr>
        <w:footnoteRef/>
      </w:r>
      <w:r>
        <w:t xml:space="preserve"> </w:t>
      </w:r>
      <w:r w:rsidRPr="00A648D6">
        <w:rPr>
          <w:lang w:val="en-US"/>
        </w:rPr>
        <w:t xml:space="preserve">Joanne </w:t>
      </w:r>
      <w:proofErr w:type="spellStart"/>
      <w:r w:rsidRPr="00A648D6">
        <w:rPr>
          <w:lang w:val="en-US"/>
        </w:rPr>
        <w:t>Begiato</w:t>
      </w:r>
      <w:proofErr w:type="spellEnd"/>
      <w:r w:rsidRPr="00A648D6">
        <w:rPr>
          <w:lang w:val="en-US"/>
        </w:rPr>
        <w:t>, ‘</w:t>
      </w:r>
      <w:r>
        <w:rPr>
          <w:lang w:val="en-US"/>
        </w:rPr>
        <w:t>“</w:t>
      </w:r>
      <w:r w:rsidRPr="00A648D6">
        <w:rPr>
          <w:lang w:val="en-US"/>
        </w:rPr>
        <w:t xml:space="preserve">So now you are wed enough”:  clandestine unions in the north-west of England in the first half of the eighteenth century’, in Michael Lobban, Joanne </w:t>
      </w:r>
      <w:proofErr w:type="spellStart"/>
      <w:r w:rsidRPr="00A648D6">
        <w:rPr>
          <w:lang w:val="en-US"/>
        </w:rPr>
        <w:t>Begiato</w:t>
      </w:r>
      <w:proofErr w:type="spellEnd"/>
      <w:r w:rsidRPr="00A648D6">
        <w:rPr>
          <w:lang w:val="en-US"/>
        </w:rPr>
        <w:t xml:space="preserve"> and Adrian Green (eds), </w:t>
      </w:r>
      <w:r w:rsidRPr="00A648D6">
        <w:rPr>
          <w:i/>
          <w:iCs/>
          <w:lang w:val="en-US"/>
        </w:rPr>
        <w:t xml:space="preserve">Law, Lawyers and Litigants in Early Modern England: Essays in Memory of Christopher W. Brooks, </w:t>
      </w:r>
      <w:r w:rsidRPr="00A648D6">
        <w:rPr>
          <w:lang w:val="en-US"/>
        </w:rPr>
        <w:t>(Cambridge, 2019), pp.207-228, p.210</w:t>
      </w:r>
      <w:r>
        <w:rPr>
          <w:lang w:val="en-US"/>
        </w:rPr>
        <w:t xml:space="preserve">; </w:t>
      </w:r>
      <w:r w:rsidRPr="00D40D58">
        <w:t xml:space="preserve">Steven King, ‘Chance encounters? Paths to household formation in early modern England’, </w:t>
      </w:r>
      <w:r w:rsidRPr="00FD5E8C">
        <w:rPr>
          <w:i/>
          <w:iCs/>
        </w:rPr>
        <w:t>International Review of Social History</w:t>
      </w:r>
      <w:r>
        <w:rPr>
          <w:i/>
          <w:iCs/>
        </w:rPr>
        <w:t xml:space="preserve">, </w:t>
      </w:r>
      <w:r>
        <w:t>Vol.</w:t>
      </w:r>
      <w:r w:rsidRPr="00FD5E8C">
        <w:rPr>
          <w:i/>
          <w:iCs/>
        </w:rPr>
        <w:t xml:space="preserve"> </w:t>
      </w:r>
      <w:r w:rsidRPr="00FD5E8C">
        <w:t>44</w:t>
      </w:r>
      <w:r>
        <w:t>,</w:t>
      </w:r>
      <w:r w:rsidRPr="00D40D58">
        <w:t xml:space="preserve"> (1999), </w:t>
      </w:r>
      <w:r>
        <w:t>pp.</w:t>
      </w:r>
      <w:r w:rsidRPr="00D40D58">
        <w:t>23</w:t>
      </w:r>
      <w:r>
        <w:t>-</w:t>
      </w:r>
      <w:r w:rsidRPr="00D40D58">
        <w:t>46, p. 26</w:t>
      </w:r>
      <w:r>
        <w:t xml:space="preserve">; </w:t>
      </w:r>
      <w:r w:rsidRPr="00FD5E8C">
        <w:t xml:space="preserve">Emma Griffin, ‘A conundrum resolved? Rethinking courtship, marriage and population growth in eighteenth-century England’, </w:t>
      </w:r>
      <w:r w:rsidRPr="00FD5E8C">
        <w:rPr>
          <w:i/>
          <w:iCs/>
        </w:rPr>
        <w:t xml:space="preserve">Past </w:t>
      </w:r>
      <w:r>
        <w:rPr>
          <w:i/>
          <w:iCs/>
        </w:rPr>
        <w:t>&amp;</w:t>
      </w:r>
      <w:r w:rsidRPr="00FD5E8C">
        <w:rPr>
          <w:i/>
          <w:iCs/>
        </w:rPr>
        <w:t xml:space="preserve"> Present</w:t>
      </w:r>
      <w:r>
        <w:rPr>
          <w:i/>
          <w:iCs/>
        </w:rPr>
        <w:t xml:space="preserve">, </w:t>
      </w:r>
      <w:r>
        <w:t>Vol.</w:t>
      </w:r>
      <w:r w:rsidRPr="00FD5E8C">
        <w:t xml:space="preserve"> 215</w:t>
      </w:r>
      <w:r>
        <w:t>,</w:t>
      </w:r>
      <w:r w:rsidRPr="00FD5E8C">
        <w:t xml:space="preserve"> (2012), </w:t>
      </w:r>
      <w:r>
        <w:t>pp.</w:t>
      </w:r>
      <w:r w:rsidRPr="00FD5E8C">
        <w:t>125</w:t>
      </w:r>
      <w:r>
        <w:t>-</w:t>
      </w:r>
      <w:r w:rsidRPr="00FD5E8C">
        <w:t>164, pp. 153–154</w:t>
      </w:r>
      <w:r w:rsidR="00C7264E">
        <w:t>.</w:t>
      </w:r>
    </w:p>
  </w:footnote>
  <w:footnote w:id="546">
    <w:p w14:paraId="0BB08E26" w14:textId="70D9CEFD" w:rsidR="00302D44" w:rsidRDefault="00302D44" w:rsidP="00302D44">
      <w:pPr>
        <w:pStyle w:val="FootnoteText"/>
      </w:pPr>
      <w:r>
        <w:rPr>
          <w:rStyle w:val="FootnoteReference"/>
        </w:rPr>
        <w:footnoteRef/>
      </w:r>
      <w:r>
        <w:t xml:space="preserve"> </w:t>
      </w:r>
      <w:r>
        <w:rPr>
          <w:lang w:val="en-US"/>
        </w:rPr>
        <w:t>Garnett, ‘Great rebuilding’, p.66</w:t>
      </w:r>
      <w:r w:rsidR="00C7264E">
        <w:rPr>
          <w:lang w:val="en-US"/>
        </w:rPr>
        <w:t>.</w:t>
      </w:r>
    </w:p>
  </w:footnote>
  <w:footnote w:id="547">
    <w:p w14:paraId="0F4A07B9" w14:textId="6EE6B459" w:rsidR="00302D44" w:rsidRDefault="00302D44" w:rsidP="00302D44">
      <w:pPr>
        <w:pStyle w:val="FootnoteText"/>
      </w:pPr>
      <w:r>
        <w:rPr>
          <w:rStyle w:val="FootnoteReference"/>
        </w:rPr>
        <w:footnoteRef/>
      </w:r>
      <w:r>
        <w:t xml:space="preserve"> </w:t>
      </w:r>
      <w:r w:rsidRPr="0043734F">
        <w:rPr>
          <w:lang w:val="en-US"/>
        </w:rPr>
        <w:t xml:space="preserve">LA: PR 3328, Parish Register </w:t>
      </w:r>
      <w:r w:rsidR="005E6903">
        <w:rPr>
          <w:lang w:val="en-US"/>
        </w:rPr>
        <w:t>of</w:t>
      </w:r>
      <w:r w:rsidRPr="0043734F">
        <w:rPr>
          <w:lang w:val="en-US"/>
        </w:rPr>
        <w:t xml:space="preserve"> St Cuthbert’s Church, Over Kellet, 1653-1812,</w:t>
      </w:r>
      <w:r>
        <w:rPr>
          <w:lang w:val="en-US"/>
        </w:rPr>
        <w:t xml:space="preserve"> Baptism of Robert Gibson, 2 October 1670</w:t>
      </w:r>
      <w:r w:rsidR="00C7264E">
        <w:rPr>
          <w:lang w:val="en-US"/>
        </w:rPr>
        <w:t>.</w:t>
      </w:r>
    </w:p>
  </w:footnote>
  <w:footnote w:id="548">
    <w:p w14:paraId="2616F55D" w14:textId="23A19EAA" w:rsidR="00302D44" w:rsidRDefault="00302D44" w:rsidP="00302D44">
      <w:pPr>
        <w:pStyle w:val="FootnoteText"/>
      </w:pPr>
      <w:r>
        <w:rPr>
          <w:rStyle w:val="FootnoteReference"/>
        </w:rPr>
        <w:footnoteRef/>
      </w:r>
      <w:r>
        <w:t xml:space="preserve"> </w:t>
      </w:r>
      <w:r w:rsidRPr="00A25071">
        <w:rPr>
          <w:lang w:val="en-US"/>
        </w:rPr>
        <w:t>LA: PR 3328, Parish Register of St Cuthbert</w:t>
      </w:r>
      <w:r>
        <w:rPr>
          <w:lang w:val="en-US"/>
        </w:rPr>
        <w:t>’s Church,</w:t>
      </w:r>
      <w:r w:rsidRPr="00A25071">
        <w:rPr>
          <w:lang w:val="en-US"/>
        </w:rPr>
        <w:t xml:space="preserve"> Over Kellet, 1653-1812, </w:t>
      </w:r>
      <w:r>
        <w:t>Burial of Richard Gibson, 17 July 1699</w:t>
      </w:r>
      <w:r w:rsidR="00C7264E">
        <w:t>.</w:t>
      </w:r>
    </w:p>
  </w:footnote>
  <w:footnote w:id="549">
    <w:p w14:paraId="59CFAA41" w14:textId="0A509BA1" w:rsidR="00302D44" w:rsidRDefault="00302D44" w:rsidP="00302D44">
      <w:pPr>
        <w:pStyle w:val="FootnoteText"/>
      </w:pPr>
      <w:r>
        <w:rPr>
          <w:rStyle w:val="FootnoteReference"/>
        </w:rPr>
        <w:footnoteRef/>
      </w:r>
      <w:r>
        <w:t xml:space="preserve"> LA: </w:t>
      </w:r>
      <w:r w:rsidRPr="006B18CD">
        <w:rPr>
          <w:lang w:val="en-US"/>
        </w:rPr>
        <w:t>WRW/K/R436A/61, Will of Robert Gibson</w:t>
      </w:r>
      <w:r>
        <w:rPr>
          <w:lang w:val="en-US"/>
        </w:rPr>
        <w:t xml:space="preserve"> of Over Kellet, yeoman, 1725</w:t>
      </w:r>
      <w:r w:rsidR="00C7264E">
        <w:rPr>
          <w:lang w:val="en-US"/>
        </w:rPr>
        <w:t>.</w:t>
      </w:r>
    </w:p>
  </w:footnote>
  <w:footnote w:id="550">
    <w:p w14:paraId="0EC365AB" w14:textId="516F27FC" w:rsidR="00302D44" w:rsidRPr="00BB5BD4" w:rsidRDefault="00302D44" w:rsidP="00302D44">
      <w:pPr>
        <w:pStyle w:val="FootnoteText"/>
      </w:pPr>
      <w:r>
        <w:rPr>
          <w:rStyle w:val="FootnoteReference"/>
        </w:rPr>
        <w:footnoteRef/>
      </w:r>
      <w:r>
        <w:t xml:space="preserve"> Erickson, </w:t>
      </w:r>
      <w:r>
        <w:rPr>
          <w:i/>
          <w:iCs/>
        </w:rPr>
        <w:t xml:space="preserve">Women and Property, </w:t>
      </w:r>
      <w:r>
        <w:t>p.182</w:t>
      </w:r>
      <w:r w:rsidR="00C7264E">
        <w:t>.</w:t>
      </w:r>
    </w:p>
  </w:footnote>
  <w:footnote w:id="551">
    <w:p w14:paraId="792013BB" w14:textId="305DC6BD" w:rsidR="00302D44" w:rsidRPr="00A07604" w:rsidRDefault="00302D44" w:rsidP="00302D44">
      <w:pPr>
        <w:pStyle w:val="FootnoteText"/>
      </w:pPr>
      <w:r>
        <w:rPr>
          <w:rStyle w:val="FootnoteReference"/>
        </w:rPr>
        <w:footnoteRef/>
      </w:r>
      <w:r>
        <w:t xml:space="preserve"> Erickson, </w:t>
      </w:r>
      <w:r>
        <w:rPr>
          <w:i/>
          <w:iCs/>
        </w:rPr>
        <w:t xml:space="preserve">Women and Property, </w:t>
      </w:r>
      <w:r>
        <w:t>pp.182-186</w:t>
      </w:r>
      <w:r w:rsidR="00C7264E">
        <w:t>.</w:t>
      </w:r>
    </w:p>
  </w:footnote>
  <w:footnote w:id="552">
    <w:p w14:paraId="5EA1D921" w14:textId="189E127C" w:rsidR="00302D44" w:rsidRDefault="00302D44" w:rsidP="00302D44">
      <w:pPr>
        <w:pStyle w:val="FootnoteText"/>
      </w:pPr>
      <w:r>
        <w:rPr>
          <w:rStyle w:val="FootnoteReference"/>
        </w:rPr>
        <w:footnoteRef/>
      </w:r>
      <w:r>
        <w:t xml:space="preserve"> </w:t>
      </w:r>
      <w:r w:rsidRPr="00EF4794">
        <w:rPr>
          <w:lang w:val="en-US"/>
        </w:rPr>
        <w:t xml:space="preserve">LA: PR 3315/1/1, </w:t>
      </w:r>
      <w:r w:rsidR="00C92377">
        <w:rPr>
          <w:lang w:val="en-US"/>
        </w:rPr>
        <w:t>Parish Register of</w:t>
      </w:r>
      <w:r w:rsidRPr="00EF4794">
        <w:rPr>
          <w:lang w:val="en-US"/>
        </w:rPr>
        <w:t xml:space="preserve"> </w:t>
      </w:r>
      <w:r>
        <w:rPr>
          <w:lang w:val="en-US"/>
        </w:rPr>
        <w:t>Holy Trinity Church, Bolton-le-Sands</w:t>
      </w:r>
      <w:r w:rsidRPr="00EF4794">
        <w:rPr>
          <w:lang w:val="en-US"/>
        </w:rPr>
        <w:t xml:space="preserve">, 1642-1737, </w:t>
      </w:r>
      <w:r>
        <w:t>Marriage of William Hall and Jennet Ashton, 26 May 1687</w:t>
      </w:r>
      <w:r w:rsidR="00C7264E">
        <w:t>.</w:t>
      </w:r>
    </w:p>
  </w:footnote>
  <w:footnote w:id="553">
    <w:p w14:paraId="0213ABEC" w14:textId="0337E004" w:rsidR="00302D44" w:rsidRDefault="00302D44" w:rsidP="00302D44">
      <w:pPr>
        <w:pStyle w:val="FootnoteText"/>
      </w:pPr>
      <w:r>
        <w:rPr>
          <w:rStyle w:val="FootnoteReference"/>
        </w:rPr>
        <w:footnoteRef/>
      </w:r>
      <w:r>
        <w:t xml:space="preserve"> </w:t>
      </w:r>
      <w:r w:rsidRPr="00EF4794">
        <w:rPr>
          <w:lang w:val="en-US"/>
        </w:rPr>
        <w:t xml:space="preserve">LA: PR 3315/1/1, </w:t>
      </w:r>
      <w:r w:rsidR="00C92377">
        <w:rPr>
          <w:lang w:val="en-US"/>
        </w:rPr>
        <w:t>Parish Register of</w:t>
      </w:r>
      <w:r w:rsidRPr="00EF4794">
        <w:rPr>
          <w:lang w:val="en-US"/>
        </w:rPr>
        <w:t xml:space="preserve"> </w:t>
      </w:r>
      <w:r>
        <w:rPr>
          <w:lang w:val="en-US"/>
        </w:rPr>
        <w:t>Holy Trinity Church, Bolton-le-Sands</w:t>
      </w:r>
      <w:r w:rsidRPr="00EF4794">
        <w:rPr>
          <w:lang w:val="en-US"/>
        </w:rPr>
        <w:t xml:space="preserve">, 1642-1737, </w:t>
      </w:r>
      <w:r>
        <w:t>Burial of John Hall, 5 August 1672</w:t>
      </w:r>
      <w:r w:rsidR="00C7264E">
        <w:t>.</w:t>
      </w:r>
    </w:p>
  </w:footnote>
  <w:footnote w:id="554">
    <w:p w14:paraId="47B7238C" w14:textId="11999913" w:rsidR="00302D44" w:rsidRDefault="00302D44" w:rsidP="00302D44">
      <w:pPr>
        <w:pStyle w:val="FootnoteText"/>
      </w:pPr>
      <w:r>
        <w:rPr>
          <w:rStyle w:val="FootnoteReference"/>
        </w:rPr>
        <w:footnoteRef/>
      </w:r>
      <w:r>
        <w:t xml:space="preserve"> </w:t>
      </w:r>
      <w:r w:rsidRPr="00EF4794">
        <w:rPr>
          <w:lang w:val="en-US"/>
        </w:rPr>
        <w:t xml:space="preserve">LA: PR 3315/1/1, </w:t>
      </w:r>
      <w:r w:rsidR="00C92377">
        <w:rPr>
          <w:lang w:val="en-US"/>
        </w:rPr>
        <w:t>Parish Register of</w:t>
      </w:r>
      <w:r w:rsidRPr="00EF4794">
        <w:rPr>
          <w:lang w:val="en-US"/>
        </w:rPr>
        <w:t xml:space="preserve"> </w:t>
      </w:r>
      <w:r>
        <w:rPr>
          <w:lang w:val="en-US"/>
        </w:rPr>
        <w:t>Holy Trinity Church, Bolton-le-Sands</w:t>
      </w:r>
      <w:r w:rsidRPr="00EF4794">
        <w:rPr>
          <w:lang w:val="en-US"/>
        </w:rPr>
        <w:t xml:space="preserve">, 1642-1737, </w:t>
      </w:r>
      <w:r>
        <w:t>Burial of Jana Hall, 5 August 1699</w:t>
      </w:r>
      <w:r w:rsidR="00C7264E">
        <w:t>.</w:t>
      </w:r>
    </w:p>
  </w:footnote>
  <w:footnote w:id="555">
    <w:p w14:paraId="57DB8F25" w14:textId="4C923A68" w:rsidR="00302D44" w:rsidRPr="00291B8A" w:rsidRDefault="00302D44" w:rsidP="00302D44">
      <w:pPr>
        <w:pStyle w:val="FootnoteText"/>
      </w:pPr>
      <w:r>
        <w:rPr>
          <w:rStyle w:val="FootnoteReference"/>
        </w:rPr>
        <w:footnoteRef/>
      </w:r>
      <w:r>
        <w:t xml:space="preserve"> Garnett, </w:t>
      </w:r>
      <w:r>
        <w:rPr>
          <w:i/>
          <w:iCs/>
        </w:rPr>
        <w:t xml:space="preserve">Dated Buildings, </w:t>
      </w:r>
      <w:r>
        <w:t>p.20, p.21</w:t>
      </w:r>
      <w:r w:rsidR="00C7264E">
        <w:t>.</w:t>
      </w:r>
    </w:p>
  </w:footnote>
  <w:footnote w:id="556">
    <w:p w14:paraId="1D0F74C1" w14:textId="20D783B8" w:rsidR="00302D44" w:rsidRDefault="00302D44" w:rsidP="00302D44">
      <w:pPr>
        <w:pStyle w:val="FootnoteText"/>
      </w:pPr>
      <w:r w:rsidRPr="00C30513">
        <w:rPr>
          <w:rStyle w:val="FootnoteReference"/>
        </w:rPr>
        <w:footnoteRef/>
      </w:r>
      <w:r w:rsidRPr="00C30513">
        <w:t xml:space="preserve"> </w:t>
      </w:r>
      <w:r w:rsidRPr="001D7531">
        <w:rPr>
          <w:lang w:val="en-US"/>
        </w:rPr>
        <w:t xml:space="preserve">The National Archives (hereafter TNA): </w:t>
      </w:r>
      <w:r w:rsidRPr="00C30513">
        <w:rPr>
          <w:lang w:val="en-US"/>
        </w:rPr>
        <w:t>E179/132/355, Hearth Tax Assessment for Lancashire, Lonsdale Hundred, 29 September 1673 – 19 November 1674, rot 7</w:t>
      </w:r>
      <w:r w:rsidR="00C7264E">
        <w:rPr>
          <w:lang w:val="en-US"/>
        </w:rPr>
        <w:t>.</w:t>
      </w:r>
    </w:p>
  </w:footnote>
  <w:footnote w:id="557">
    <w:p w14:paraId="74FEE2AE" w14:textId="4737D6B2" w:rsidR="00302D44" w:rsidRDefault="00302D44" w:rsidP="00302D44">
      <w:pPr>
        <w:pStyle w:val="FootnoteText"/>
      </w:pPr>
      <w:r>
        <w:rPr>
          <w:rStyle w:val="FootnoteReference"/>
        </w:rPr>
        <w:footnoteRef/>
      </w:r>
      <w:r>
        <w:t xml:space="preserve"> LA: WRW/K/R441A/11, Inventory of John Hall of Boulton Holmes, (occupation not given), 1672. Again, </w:t>
      </w:r>
      <w:r>
        <w:rPr>
          <w:lang w:val="en-US"/>
        </w:rPr>
        <w:t>s</w:t>
      </w:r>
      <w:r w:rsidRPr="008D4B42">
        <w:rPr>
          <w:lang w:val="en-US"/>
        </w:rPr>
        <w:t>ince Jane outlived h</w:t>
      </w:r>
      <w:r>
        <w:rPr>
          <w:lang w:val="en-US"/>
        </w:rPr>
        <w:t>er husband</w:t>
      </w:r>
      <w:r w:rsidRPr="008D4B42">
        <w:rPr>
          <w:lang w:val="en-US"/>
        </w:rPr>
        <w:t>, it is important to note that this may not be an accurate representation of the couple’s joint assets.</w:t>
      </w:r>
    </w:p>
  </w:footnote>
  <w:footnote w:id="558">
    <w:p w14:paraId="714B33DB" w14:textId="06E4FED1" w:rsidR="00302D44" w:rsidRDefault="00302D44" w:rsidP="00302D44">
      <w:pPr>
        <w:pStyle w:val="FootnoteText"/>
      </w:pPr>
      <w:r>
        <w:rPr>
          <w:rStyle w:val="FootnoteReference"/>
        </w:rPr>
        <w:footnoteRef/>
      </w:r>
      <w:r>
        <w:t xml:space="preserve"> </w:t>
      </w:r>
      <w:r w:rsidRPr="00095D3C">
        <w:rPr>
          <w:lang w:val="en-US"/>
        </w:rPr>
        <w:t xml:space="preserve">LA: PR 3315/1/1, </w:t>
      </w:r>
      <w:r w:rsidR="00C92377">
        <w:rPr>
          <w:lang w:val="en-US"/>
        </w:rPr>
        <w:t>Parish Register of</w:t>
      </w:r>
      <w:r w:rsidRPr="00095D3C">
        <w:rPr>
          <w:lang w:val="en-US"/>
        </w:rPr>
        <w:t xml:space="preserve"> </w:t>
      </w:r>
      <w:r>
        <w:rPr>
          <w:lang w:val="en-US"/>
        </w:rPr>
        <w:t>Holy Trinity Church, Bolton-le-Sands</w:t>
      </w:r>
      <w:r w:rsidRPr="00095D3C">
        <w:rPr>
          <w:lang w:val="en-US"/>
        </w:rPr>
        <w:t xml:space="preserve">, 1642-1737, </w:t>
      </w:r>
      <w:r>
        <w:t xml:space="preserve">Burial of Jennet Hall, 25 July 1721; </w:t>
      </w:r>
      <w:r w:rsidRPr="00095D3C">
        <w:rPr>
          <w:lang w:val="en-US"/>
        </w:rPr>
        <w:t xml:space="preserve">LA: PR 3315/1/1, </w:t>
      </w:r>
      <w:r w:rsidR="00C92377">
        <w:rPr>
          <w:lang w:val="en-US"/>
        </w:rPr>
        <w:t>Parish Register of</w:t>
      </w:r>
      <w:r w:rsidRPr="00095D3C">
        <w:rPr>
          <w:lang w:val="en-US"/>
        </w:rPr>
        <w:t xml:space="preserve"> </w:t>
      </w:r>
      <w:r>
        <w:rPr>
          <w:lang w:val="en-US"/>
        </w:rPr>
        <w:t>Holy Trinity Church, Bolton-le-Sands</w:t>
      </w:r>
      <w:r w:rsidRPr="00095D3C">
        <w:rPr>
          <w:lang w:val="en-US"/>
        </w:rPr>
        <w:t>, 1642-1737,</w:t>
      </w:r>
      <w:r>
        <w:t xml:space="preserve"> Burial of William Hall, 28 April 1728</w:t>
      </w:r>
      <w:r w:rsidR="00C7264E">
        <w:t>.</w:t>
      </w:r>
    </w:p>
  </w:footnote>
  <w:footnote w:id="559">
    <w:p w14:paraId="6D114221" w14:textId="1A104AA8" w:rsidR="00302D44" w:rsidRDefault="00302D44" w:rsidP="00302D44">
      <w:pPr>
        <w:pStyle w:val="FootnoteText"/>
      </w:pPr>
      <w:r>
        <w:rPr>
          <w:rStyle w:val="FootnoteReference"/>
        </w:rPr>
        <w:footnoteRef/>
      </w:r>
      <w:r>
        <w:t xml:space="preserve"> LA: WRW/K/R444/21, Inventory of William Hall of Bolton Holmes, yeoman, 1728</w:t>
      </w:r>
      <w:r w:rsidR="00C7264E">
        <w:t>.</w:t>
      </w:r>
    </w:p>
  </w:footnote>
  <w:footnote w:id="560">
    <w:p w14:paraId="4A22E9A5" w14:textId="7E0CC161" w:rsidR="00302D44" w:rsidRDefault="00302D44" w:rsidP="00302D44">
      <w:pPr>
        <w:pStyle w:val="FootnoteText"/>
        <w:jc w:val="both"/>
      </w:pPr>
      <w:r>
        <w:rPr>
          <w:rStyle w:val="FootnoteReference"/>
        </w:rPr>
        <w:footnoteRef/>
      </w:r>
      <w:r>
        <w:t xml:space="preserve"> LA: WRW/K/R444/21, Will of William Hall of Bolton Holmes, yeoman, 1727</w:t>
      </w:r>
      <w:r w:rsidR="00C7264E">
        <w:t>.</w:t>
      </w:r>
    </w:p>
  </w:footnote>
  <w:footnote w:id="561">
    <w:p w14:paraId="386A29F2" w14:textId="600E3DC1" w:rsidR="00302D44" w:rsidRDefault="00302D44" w:rsidP="00302D44">
      <w:pPr>
        <w:pStyle w:val="FootnoteText"/>
      </w:pPr>
      <w:r>
        <w:rPr>
          <w:rStyle w:val="FootnoteReference"/>
        </w:rPr>
        <w:footnoteRef/>
      </w:r>
      <w:r>
        <w:t xml:space="preserve"> Ibid.</w:t>
      </w:r>
    </w:p>
  </w:footnote>
  <w:footnote w:id="562">
    <w:p w14:paraId="5BD7FBEF" w14:textId="4A63A8D7" w:rsidR="00302D44" w:rsidRDefault="00302D44" w:rsidP="00302D44">
      <w:pPr>
        <w:pStyle w:val="FootnoteText"/>
      </w:pPr>
      <w:r>
        <w:rPr>
          <w:rStyle w:val="FootnoteReference"/>
        </w:rPr>
        <w:footnoteRef/>
      </w:r>
      <w:r>
        <w:t xml:space="preserve"> </w:t>
      </w:r>
      <w:r w:rsidRPr="004860F1">
        <w:t xml:space="preserve">Lloyd Bonfield, ‘Contrasting sources: court rolls and settlements as evidence of hereditary transmission of land amongst small landowners in early modern England’, </w:t>
      </w:r>
      <w:r w:rsidRPr="004860F1">
        <w:rPr>
          <w:i/>
          <w:iCs/>
        </w:rPr>
        <w:t xml:space="preserve">University of Illinois Law Review, </w:t>
      </w:r>
      <w:r w:rsidRPr="004860F1">
        <w:t xml:space="preserve">Vol. 1984, No. 3, (1984), </w:t>
      </w:r>
      <w:r w:rsidRPr="004860F1">
        <w:rPr>
          <w:i/>
          <w:iCs/>
        </w:rPr>
        <w:t xml:space="preserve">A Symposium in Legal History: English Common Law: Studies in the Sources, </w:t>
      </w:r>
      <w:r w:rsidRPr="004860F1">
        <w:t>pp.639-658</w:t>
      </w:r>
      <w:r>
        <w:t>, p.653</w:t>
      </w:r>
      <w:r w:rsidR="00C7264E">
        <w:t>.</w:t>
      </w:r>
    </w:p>
  </w:footnote>
  <w:footnote w:id="563">
    <w:p w14:paraId="07E8E38F" w14:textId="2517D961" w:rsidR="00302D44" w:rsidRDefault="00302D44" w:rsidP="00302D44">
      <w:pPr>
        <w:pStyle w:val="FootnoteText"/>
      </w:pPr>
      <w:r>
        <w:rPr>
          <w:rStyle w:val="FootnoteReference"/>
        </w:rPr>
        <w:footnoteRef/>
      </w:r>
      <w:r>
        <w:t xml:space="preserve"> Ibid., p.658</w:t>
      </w:r>
      <w:r w:rsidR="00C44181">
        <w:t>.</w:t>
      </w:r>
    </w:p>
  </w:footnote>
  <w:footnote w:id="564">
    <w:p w14:paraId="0C6E8F5D" w14:textId="1EFB365B" w:rsidR="00302D44" w:rsidRDefault="00302D44" w:rsidP="00302D44">
      <w:pPr>
        <w:pStyle w:val="FootnoteText"/>
      </w:pPr>
      <w:r>
        <w:rPr>
          <w:rStyle w:val="FootnoteReference"/>
        </w:rPr>
        <w:footnoteRef/>
      </w:r>
      <w:r>
        <w:t xml:space="preserve"> </w:t>
      </w:r>
      <w:r w:rsidRPr="00095D3C">
        <w:rPr>
          <w:lang w:val="en-US"/>
        </w:rPr>
        <w:t xml:space="preserve">LA: PR 3315/1/1, </w:t>
      </w:r>
      <w:r w:rsidR="00C92377">
        <w:rPr>
          <w:lang w:val="en-US"/>
        </w:rPr>
        <w:t>Parish Register of</w:t>
      </w:r>
      <w:r w:rsidRPr="00095D3C">
        <w:rPr>
          <w:lang w:val="en-US"/>
        </w:rPr>
        <w:t xml:space="preserve"> </w:t>
      </w:r>
      <w:r>
        <w:rPr>
          <w:lang w:val="en-US"/>
        </w:rPr>
        <w:t>Holy Trinity Church, Bolton-le-Sands</w:t>
      </w:r>
      <w:r w:rsidRPr="00095D3C">
        <w:rPr>
          <w:lang w:val="en-US"/>
        </w:rPr>
        <w:t xml:space="preserve">, 1642-1737, </w:t>
      </w:r>
      <w:r>
        <w:t>Baptism of Jennet Ashton, 27 May 1659</w:t>
      </w:r>
      <w:r w:rsidR="00C44181">
        <w:t>.</w:t>
      </w:r>
    </w:p>
  </w:footnote>
  <w:footnote w:id="565">
    <w:p w14:paraId="087E8EEC" w14:textId="26610BEA" w:rsidR="00302D44" w:rsidRDefault="00302D44" w:rsidP="00302D44">
      <w:pPr>
        <w:pStyle w:val="FootnoteText"/>
      </w:pPr>
      <w:r>
        <w:rPr>
          <w:rStyle w:val="FootnoteReference"/>
        </w:rPr>
        <w:footnoteRef/>
      </w:r>
      <w:r>
        <w:t xml:space="preserve"> </w:t>
      </w:r>
      <w:r w:rsidRPr="00095D3C">
        <w:rPr>
          <w:lang w:val="en-US"/>
        </w:rPr>
        <w:t xml:space="preserve">LA: PR 3315/1/1, </w:t>
      </w:r>
      <w:r w:rsidR="00C92377">
        <w:rPr>
          <w:lang w:val="en-US"/>
        </w:rPr>
        <w:t>Parish Register of</w:t>
      </w:r>
      <w:r w:rsidRPr="00095D3C">
        <w:rPr>
          <w:lang w:val="en-US"/>
        </w:rPr>
        <w:t xml:space="preserve"> </w:t>
      </w:r>
      <w:r>
        <w:rPr>
          <w:lang w:val="en-US"/>
        </w:rPr>
        <w:t>Holy Trinity Church, Bolton-le-Sands</w:t>
      </w:r>
      <w:r w:rsidRPr="00095D3C">
        <w:rPr>
          <w:lang w:val="en-US"/>
        </w:rPr>
        <w:t xml:space="preserve">, 1642-1737, </w:t>
      </w:r>
      <w:r>
        <w:t xml:space="preserve">Burial of Mary Ashton, October 1672; </w:t>
      </w:r>
      <w:r w:rsidRPr="00095D3C">
        <w:rPr>
          <w:lang w:val="en-US"/>
        </w:rPr>
        <w:t xml:space="preserve">LA: PR 3315/1/1, </w:t>
      </w:r>
      <w:r w:rsidR="00C92377">
        <w:rPr>
          <w:lang w:val="en-US"/>
        </w:rPr>
        <w:t>Parish Register of</w:t>
      </w:r>
      <w:r w:rsidRPr="00095D3C">
        <w:rPr>
          <w:lang w:val="en-US"/>
        </w:rPr>
        <w:t xml:space="preserve"> </w:t>
      </w:r>
      <w:r>
        <w:rPr>
          <w:lang w:val="en-US"/>
        </w:rPr>
        <w:t>Holy Trinity Church, Bolton-le-Sands</w:t>
      </w:r>
      <w:r w:rsidRPr="00095D3C">
        <w:rPr>
          <w:lang w:val="en-US"/>
        </w:rPr>
        <w:t xml:space="preserve">, 1642-1737, </w:t>
      </w:r>
      <w:r>
        <w:t>Burial of Randolph Ashton, 1 October 1674</w:t>
      </w:r>
      <w:r w:rsidR="00C44181">
        <w:t>.</w:t>
      </w:r>
    </w:p>
  </w:footnote>
  <w:footnote w:id="566">
    <w:p w14:paraId="7A3DA6AF" w14:textId="7412D517" w:rsidR="00302D44" w:rsidRDefault="00302D44" w:rsidP="00302D44">
      <w:pPr>
        <w:pStyle w:val="FootnoteText"/>
      </w:pPr>
      <w:r>
        <w:rPr>
          <w:rStyle w:val="FootnoteReference"/>
        </w:rPr>
        <w:footnoteRef/>
      </w:r>
      <w:r>
        <w:t xml:space="preserve"> </w:t>
      </w:r>
      <w:r w:rsidR="00666CDA" w:rsidRPr="00666CDA">
        <w:rPr>
          <w:lang w:val="en-US"/>
        </w:rPr>
        <w:t>LA: PR 3315/1/1, Parish Register of Holy Trinity Church, Bolton-le-Sands, 1642-1737</w:t>
      </w:r>
      <w:r w:rsidR="00666CDA">
        <w:rPr>
          <w:lang w:val="en-US"/>
        </w:rPr>
        <w:t xml:space="preserve">, </w:t>
      </w:r>
      <w:r>
        <w:t>Marriage of Thomas Singleton and Elizabeth Ashton, 3 July 1680</w:t>
      </w:r>
      <w:r w:rsidR="00C44181">
        <w:t>.</w:t>
      </w:r>
    </w:p>
  </w:footnote>
  <w:footnote w:id="567">
    <w:p w14:paraId="2A307532" w14:textId="1185BF55" w:rsidR="00302D44" w:rsidRDefault="00302D44" w:rsidP="00302D44">
      <w:pPr>
        <w:pStyle w:val="FootnoteText"/>
      </w:pPr>
      <w:r>
        <w:rPr>
          <w:rStyle w:val="FootnoteReference"/>
        </w:rPr>
        <w:footnoteRef/>
      </w:r>
      <w:r>
        <w:t xml:space="preserve"> </w:t>
      </w:r>
      <w:r w:rsidR="00666CDA" w:rsidRPr="00666CDA">
        <w:rPr>
          <w:lang w:val="en-US"/>
        </w:rPr>
        <w:t>LA: PR 3315/1/1, Parish Register of Holy Trinity Church, Bolton-le-Sands, 1642-1737</w:t>
      </w:r>
      <w:r w:rsidR="00666CDA">
        <w:rPr>
          <w:lang w:val="en-US"/>
        </w:rPr>
        <w:t xml:space="preserve">, </w:t>
      </w:r>
      <w:r>
        <w:t>Marriage of Robert Bradd and Anne Ashton, 23</w:t>
      </w:r>
      <w:r w:rsidRPr="00E3636D">
        <w:rPr>
          <w:vertAlign w:val="superscript"/>
        </w:rPr>
        <w:t>rd</w:t>
      </w:r>
      <w:r>
        <w:t xml:space="preserve"> (month illegible) 1692</w:t>
      </w:r>
      <w:r w:rsidR="00C44181">
        <w:t>.</w:t>
      </w:r>
    </w:p>
  </w:footnote>
  <w:footnote w:id="568">
    <w:p w14:paraId="200CCF1D" w14:textId="5309C99D" w:rsidR="00302D44" w:rsidRDefault="00302D44" w:rsidP="00302D44">
      <w:pPr>
        <w:pStyle w:val="FootnoteText"/>
      </w:pPr>
      <w:r>
        <w:rPr>
          <w:rStyle w:val="FootnoteReference"/>
        </w:rPr>
        <w:footnoteRef/>
      </w:r>
      <w:r>
        <w:t xml:space="preserve"> LA: DDC/73, Conveyance for surrender and sale between Francis Ashton of Hest Bank, yeoman, and Henry Coward of Lancaster, ironmonger, 15 February 1686; LA: DDC/74, Conveyance for surrender and sale between Francis Ashton of Hest Bank, yeoman, and Jane Drinkall of Warton, widow, 8 October 1687</w:t>
      </w:r>
      <w:r w:rsidR="00C44181">
        <w:t>.</w:t>
      </w:r>
    </w:p>
  </w:footnote>
  <w:footnote w:id="569">
    <w:p w14:paraId="26725E1C" w14:textId="39886C8B" w:rsidR="00302D44" w:rsidRDefault="00302D44" w:rsidP="00302D44">
      <w:pPr>
        <w:pStyle w:val="FootnoteText"/>
      </w:pPr>
      <w:r>
        <w:rPr>
          <w:rStyle w:val="FootnoteReference"/>
        </w:rPr>
        <w:footnoteRef/>
      </w:r>
      <w:r>
        <w:t xml:space="preserve"> </w:t>
      </w:r>
      <w:r w:rsidRPr="003E2E5C">
        <w:rPr>
          <w:lang w:val="en-US"/>
        </w:rPr>
        <w:t xml:space="preserve">LA: PR 3315/1/1, </w:t>
      </w:r>
      <w:r w:rsidR="00C92377">
        <w:rPr>
          <w:lang w:val="en-US"/>
        </w:rPr>
        <w:t>Parish Register of</w:t>
      </w:r>
      <w:r w:rsidRPr="003E2E5C">
        <w:rPr>
          <w:lang w:val="en-US"/>
        </w:rPr>
        <w:t xml:space="preserve"> </w:t>
      </w:r>
      <w:r>
        <w:rPr>
          <w:lang w:val="en-US"/>
        </w:rPr>
        <w:t>Holy Trinity Church, Bolton-le-Sands</w:t>
      </w:r>
      <w:r w:rsidRPr="003E2E5C">
        <w:rPr>
          <w:lang w:val="en-US"/>
        </w:rPr>
        <w:t xml:space="preserve">, 1642-1737, </w:t>
      </w:r>
      <w:r>
        <w:t>Marriage of William Wilkinson and Elizabeth Holme, 25 April 1687</w:t>
      </w:r>
      <w:r w:rsidR="00C44181">
        <w:t>.</w:t>
      </w:r>
    </w:p>
  </w:footnote>
  <w:footnote w:id="570">
    <w:p w14:paraId="0C911218" w14:textId="6DBDBA04" w:rsidR="00302D44" w:rsidRDefault="00302D44" w:rsidP="00302D44">
      <w:pPr>
        <w:pStyle w:val="FootnoteText"/>
      </w:pPr>
      <w:r>
        <w:rPr>
          <w:rStyle w:val="FootnoteReference"/>
        </w:rPr>
        <w:footnoteRef/>
      </w:r>
      <w:r>
        <w:t xml:space="preserve"> </w:t>
      </w:r>
      <w:r w:rsidRPr="003E2E5C">
        <w:rPr>
          <w:lang w:val="en-US"/>
        </w:rPr>
        <w:t xml:space="preserve">LA: PR 3315/1/1, </w:t>
      </w:r>
      <w:r w:rsidR="00C92377">
        <w:rPr>
          <w:lang w:val="en-US"/>
        </w:rPr>
        <w:t>Parish Register of</w:t>
      </w:r>
      <w:r w:rsidRPr="003E2E5C">
        <w:rPr>
          <w:lang w:val="en-US"/>
        </w:rPr>
        <w:t xml:space="preserve"> </w:t>
      </w:r>
      <w:r>
        <w:rPr>
          <w:lang w:val="en-US"/>
        </w:rPr>
        <w:t>Holy Trinity Church, Bolton-le-Sands</w:t>
      </w:r>
      <w:r w:rsidRPr="003E2E5C">
        <w:rPr>
          <w:lang w:val="en-US"/>
        </w:rPr>
        <w:t xml:space="preserve">, 1642-1737, </w:t>
      </w:r>
      <w:r>
        <w:t>Marriage of William Wilkinson and Elizabeth Holme, 25 April 1687</w:t>
      </w:r>
      <w:r w:rsidR="00C44181">
        <w:t>.</w:t>
      </w:r>
    </w:p>
  </w:footnote>
  <w:footnote w:id="571">
    <w:p w14:paraId="346FE5DB" w14:textId="41B8E889" w:rsidR="00302D44" w:rsidRPr="006C5D3B" w:rsidRDefault="00302D44" w:rsidP="00302D44">
      <w:pPr>
        <w:pStyle w:val="FootnoteText"/>
      </w:pPr>
      <w:r>
        <w:rPr>
          <w:rStyle w:val="FootnoteReference"/>
        </w:rPr>
        <w:footnoteRef/>
      </w:r>
      <w:r>
        <w:t xml:space="preserve"> Garnett, </w:t>
      </w:r>
      <w:r>
        <w:rPr>
          <w:i/>
          <w:iCs/>
        </w:rPr>
        <w:t xml:space="preserve">Dated Buildings, </w:t>
      </w:r>
      <w:r>
        <w:t>p.21</w:t>
      </w:r>
      <w:r w:rsidR="00C44181">
        <w:t>.</w:t>
      </w:r>
    </w:p>
  </w:footnote>
  <w:footnote w:id="572">
    <w:p w14:paraId="43D1D2CF" w14:textId="22961B06" w:rsidR="00302D44" w:rsidRDefault="00302D44" w:rsidP="00302D44">
      <w:pPr>
        <w:pStyle w:val="FootnoteText"/>
      </w:pPr>
      <w:r>
        <w:rPr>
          <w:rStyle w:val="FootnoteReference"/>
        </w:rPr>
        <w:footnoteRef/>
      </w:r>
      <w:r>
        <w:t xml:space="preserve"> </w:t>
      </w:r>
      <w:r w:rsidRPr="00AE523A">
        <w:t xml:space="preserve">Colin R. Chapman, </w:t>
      </w:r>
      <w:r w:rsidRPr="00AE523A">
        <w:rPr>
          <w:i/>
          <w:iCs/>
        </w:rPr>
        <w:t xml:space="preserve">Marriage Laws, Rites, Records and Customs, </w:t>
      </w:r>
      <w:r w:rsidRPr="00AE523A">
        <w:t>(Dursley, 1996)</w:t>
      </w:r>
      <w:r>
        <w:t>,</w:t>
      </w:r>
      <w:r>
        <w:rPr>
          <w:b/>
          <w:bCs/>
        </w:rPr>
        <w:t xml:space="preserve"> </w:t>
      </w:r>
      <w:r>
        <w:t>p.32</w:t>
      </w:r>
      <w:r w:rsidR="00C44181">
        <w:t>.</w:t>
      </w:r>
    </w:p>
  </w:footnote>
  <w:footnote w:id="573">
    <w:p w14:paraId="63911747" w14:textId="186BF8EE" w:rsidR="00302D44" w:rsidRDefault="00302D44" w:rsidP="00302D44">
      <w:pPr>
        <w:pStyle w:val="FootnoteText"/>
      </w:pPr>
      <w:r>
        <w:rPr>
          <w:rStyle w:val="FootnoteReference"/>
        </w:rPr>
        <w:footnoteRef/>
      </w:r>
      <w:r>
        <w:t xml:space="preserve"> Ibid.</w:t>
      </w:r>
    </w:p>
  </w:footnote>
  <w:footnote w:id="574">
    <w:p w14:paraId="5036F4F4" w14:textId="73977A7C" w:rsidR="00302D44" w:rsidRDefault="00302D44" w:rsidP="00302D44">
      <w:pPr>
        <w:pStyle w:val="FootnoteText"/>
      </w:pPr>
      <w:r>
        <w:rPr>
          <w:rStyle w:val="FootnoteReference"/>
        </w:rPr>
        <w:footnoteRef/>
      </w:r>
      <w:r>
        <w:t xml:space="preserve"> </w:t>
      </w:r>
      <w:r w:rsidRPr="001F6A18">
        <w:rPr>
          <w:lang w:val="en-US"/>
        </w:rPr>
        <w:t xml:space="preserve">David Cressy, </w:t>
      </w:r>
      <w:r w:rsidRPr="001F6A18">
        <w:rPr>
          <w:i/>
          <w:iCs/>
          <w:lang w:val="en-US"/>
        </w:rPr>
        <w:t xml:space="preserve">Birth, Marriage and Death: Ritual, Religion and the </w:t>
      </w:r>
      <w:proofErr w:type="gramStart"/>
      <w:r w:rsidRPr="001F6A18">
        <w:rPr>
          <w:i/>
          <w:iCs/>
          <w:lang w:val="en-US"/>
        </w:rPr>
        <w:t>Life-Cycle</w:t>
      </w:r>
      <w:proofErr w:type="gramEnd"/>
      <w:r w:rsidRPr="001F6A18">
        <w:rPr>
          <w:i/>
          <w:iCs/>
          <w:lang w:val="en-US"/>
        </w:rPr>
        <w:t xml:space="preserve"> in Tudor and Stuart England, </w:t>
      </w:r>
      <w:r w:rsidRPr="001F6A18">
        <w:rPr>
          <w:lang w:val="en-US"/>
        </w:rPr>
        <w:t>(Oxford, 1997),</w:t>
      </w:r>
      <w:r>
        <w:rPr>
          <w:lang w:val="en-US"/>
        </w:rPr>
        <w:t xml:space="preserve"> pp.267-276</w:t>
      </w:r>
      <w:r w:rsidR="00C44181">
        <w:rPr>
          <w:lang w:val="en-US"/>
        </w:rPr>
        <w:t>.</w:t>
      </w:r>
    </w:p>
  </w:footnote>
  <w:footnote w:id="575">
    <w:p w14:paraId="67601FA3" w14:textId="1542E7ED" w:rsidR="00302D44" w:rsidRDefault="00302D44" w:rsidP="00302D44">
      <w:pPr>
        <w:pStyle w:val="FootnoteText"/>
      </w:pPr>
      <w:r>
        <w:rPr>
          <w:rStyle w:val="FootnoteReference"/>
        </w:rPr>
        <w:footnoteRef/>
      </w:r>
      <w:r>
        <w:t xml:space="preserve"> </w:t>
      </w:r>
      <w:r>
        <w:rPr>
          <w:lang w:val="en-US"/>
        </w:rPr>
        <w:t>Ibid.,</w:t>
      </w:r>
      <w:r w:rsidRPr="001F6A18">
        <w:rPr>
          <w:i/>
          <w:iCs/>
          <w:lang w:val="en-US"/>
        </w:rPr>
        <w:t xml:space="preserve"> </w:t>
      </w:r>
      <w:r>
        <w:rPr>
          <w:lang w:val="en-US"/>
        </w:rPr>
        <w:t>p.271</w:t>
      </w:r>
      <w:r w:rsidR="00C44181">
        <w:rPr>
          <w:lang w:val="en-US"/>
        </w:rPr>
        <w:t>.</w:t>
      </w:r>
    </w:p>
  </w:footnote>
  <w:footnote w:id="576">
    <w:p w14:paraId="6DAA98BD" w14:textId="42C832C2" w:rsidR="00302D44" w:rsidRDefault="00302D44" w:rsidP="00302D44">
      <w:pPr>
        <w:pStyle w:val="FootnoteText"/>
      </w:pPr>
      <w:r>
        <w:rPr>
          <w:rStyle w:val="FootnoteReference"/>
        </w:rPr>
        <w:footnoteRef/>
      </w:r>
      <w:r>
        <w:t xml:space="preserve"> William Gouge, </w:t>
      </w:r>
      <w:r>
        <w:rPr>
          <w:i/>
          <w:iCs/>
        </w:rPr>
        <w:t xml:space="preserve">Of </w:t>
      </w:r>
      <w:proofErr w:type="spellStart"/>
      <w:r>
        <w:rPr>
          <w:i/>
          <w:iCs/>
        </w:rPr>
        <w:t>domesticall</w:t>
      </w:r>
      <w:proofErr w:type="spellEnd"/>
      <w:r>
        <w:rPr>
          <w:i/>
          <w:iCs/>
        </w:rPr>
        <w:t xml:space="preserve"> duties eight treatises, </w:t>
      </w:r>
      <w:r>
        <w:t>(London, 1622),</w:t>
      </w:r>
      <w:r>
        <w:rPr>
          <w:i/>
          <w:iCs/>
        </w:rPr>
        <w:t xml:space="preserve"> </w:t>
      </w:r>
      <w:r>
        <w:t>p.202</w:t>
      </w:r>
      <w:r w:rsidR="00C44181">
        <w:t>.</w:t>
      </w:r>
    </w:p>
  </w:footnote>
  <w:footnote w:id="577">
    <w:p w14:paraId="44B27369" w14:textId="15501725" w:rsidR="00302D44" w:rsidRDefault="00302D44" w:rsidP="00302D44">
      <w:pPr>
        <w:pStyle w:val="FootnoteText"/>
      </w:pPr>
      <w:r>
        <w:rPr>
          <w:rStyle w:val="FootnoteReference"/>
        </w:rPr>
        <w:footnoteRef/>
      </w:r>
      <w:r>
        <w:t xml:space="preserve"> </w:t>
      </w:r>
      <w:r w:rsidRPr="008A6A57">
        <w:rPr>
          <w:lang w:val="en-US"/>
        </w:rPr>
        <w:t xml:space="preserve">Christine Peters, ‘Gender, sacrament and ritual: the making and meaning of marriage in late medieval and early modern England’, </w:t>
      </w:r>
      <w:r w:rsidRPr="008A6A57">
        <w:rPr>
          <w:i/>
          <w:iCs/>
          <w:lang w:val="en-US"/>
        </w:rPr>
        <w:t xml:space="preserve">Past &amp; Present, </w:t>
      </w:r>
      <w:r w:rsidRPr="008A6A57">
        <w:rPr>
          <w:lang w:val="en-US"/>
        </w:rPr>
        <w:t>No. 169, (2000), pp.63-96</w:t>
      </w:r>
      <w:r>
        <w:rPr>
          <w:lang w:val="en-US"/>
        </w:rPr>
        <w:t>,</w:t>
      </w:r>
      <w:r w:rsidRPr="008A6A57">
        <w:rPr>
          <w:b/>
          <w:bCs/>
          <w:lang w:val="en-US"/>
        </w:rPr>
        <w:t xml:space="preserve"> </w:t>
      </w:r>
      <w:r>
        <w:rPr>
          <w:lang w:val="en-US"/>
        </w:rPr>
        <w:t>p.</w:t>
      </w:r>
      <w:r>
        <w:t>83</w:t>
      </w:r>
      <w:r w:rsidR="00C44181">
        <w:t>.</w:t>
      </w:r>
    </w:p>
  </w:footnote>
  <w:footnote w:id="578">
    <w:p w14:paraId="0D025A97" w14:textId="3C9491AD" w:rsidR="00302D44" w:rsidRPr="007339D0" w:rsidRDefault="00302D44" w:rsidP="00302D44">
      <w:pPr>
        <w:pStyle w:val="FootnoteText"/>
      </w:pPr>
      <w:r>
        <w:rPr>
          <w:rStyle w:val="FootnoteReference"/>
        </w:rPr>
        <w:footnoteRef/>
      </w:r>
      <w:r>
        <w:t xml:space="preserve"> Cressy, </w:t>
      </w:r>
      <w:r>
        <w:rPr>
          <w:i/>
          <w:iCs/>
        </w:rPr>
        <w:t xml:space="preserve">Birth, Marriage and Death, </w:t>
      </w:r>
      <w:r>
        <w:t>pp.268-269</w:t>
      </w:r>
      <w:r w:rsidR="00C44181">
        <w:t>.</w:t>
      </w:r>
    </w:p>
  </w:footnote>
  <w:footnote w:id="579">
    <w:p w14:paraId="2E5A055C" w14:textId="2AA56C45" w:rsidR="00302D44" w:rsidRPr="00656459" w:rsidRDefault="00302D44" w:rsidP="00302D44">
      <w:pPr>
        <w:pStyle w:val="FootnoteText"/>
      </w:pPr>
      <w:r>
        <w:rPr>
          <w:rStyle w:val="FootnoteReference"/>
        </w:rPr>
        <w:footnoteRef/>
      </w:r>
      <w:r>
        <w:t xml:space="preserve"> Daniel Rogers, </w:t>
      </w:r>
      <w:proofErr w:type="spellStart"/>
      <w:r>
        <w:rPr>
          <w:i/>
          <w:iCs/>
        </w:rPr>
        <w:t>Matrimoniall</w:t>
      </w:r>
      <w:proofErr w:type="spellEnd"/>
      <w:r>
        <w:rPr>
          <w:i/>
          <w:iCs/>
        </w:rPr>
        <w:t xml:space="preserve"> Honour: </w:t>
      </w:r>
      <w:proofErr w:type="gramStart"/>
      <w:r>
        <w:rPr>
          <w:i/>
          <w:iCs/>
        </w:rPr>
        <w:t>Or,</w:t>
      </w:r>
      <w:proofErr w:type="gramEnd"/>
      <w:r>
        <w:rPr>
          <w:i/>
          <w:iCs/>
        </w:rPr>
        <w:t xml:space="preserve"> the </w:t>
      </w:r>
      <w:proofErr w:type="spellStart"/>
      <w:r>
        <w:rPr>
          <w:i/>
          <w:iCs/>
        </w:rPr>
        <w:t>mutuall</w:t>
      </w:r>
      <w:proofErr w:type="spellEnd"/>
      <w:r>
        <w:rPr>
          <w:i/>
          <w:iCs/>
        </w:rPr>
        <w:t xml:space="preserve"> Crowne and comfort of godly, </w:t>
      </w:r>
      <w:proofErr w:type="spellStart"/>
      <w:r>
        <w:rPr>
          <w:i/>
          <w:iCs/>
        </w:rPr>
        <w:t>loyall</w:t>
      </w:r>
      <w:proofErr w:type="spellEnd"/>
      <w:r>
        <w:rPr>
          <w:i/>
          <w:iCs/>
        </w:rPr>
        <w:t xml:space="preserve">, and chaste Marriage, </w:t>
      </w:r>
      <w:r>
        <w:t>(London, 1642), pp.104-106</w:t>
      </w:r>
      <w:r w:rsidR="00C44181">
        <w:t>.</w:t>
      </w:r>
    </w:p>
  </w:footnote>
  <w:footnote w:id="580">
    <w:p w14:paraId="4E8C5E3B" w14:textId="2737656A" w:rsidR="00302D44" w:rsidRDefault="00302D44" w:rsidP="00302D44">
      <w:pPr>
        <w:pStyle w:val="FootnoteText"/>
        <w:tabs>
          <w:tab w:val="left" w:pos="900"/>
        </w:tabs>
      </w:pPr>
      <w:r>
        <w:rPr>
          <w:rStyle w:val="FootnoteReference"/>
        </w:rPr>
        <w:footnoteRef/>
      </w:r>
      <w:r>
        <w:t xml:space="preserve"> Henry Swinburne, </w:t>
      </w:r>
      <w:r w:rsidR="001C1180" w:rsidRPr="001C1180">
        <w:rPr>
          <w:i/>
          <w:iCs/>
        </w:rPr>
        <w:t xml:space="preserve">A treatise of spousals, or matrimonial contracts wherein all the questions relating to that subject are ingeniously debated and resolved, </w:t>
      </w:r>
      <w:r>
        <w:t>(London, 1686), p.A2</w:t>
      </w:r>
      <w:r w:rsidR="00C44181">
        <w:t>.</w:t>
      </w:r>
      <w:r>
        <w:tab/>
      </w:r>
    </w:p>
  </w:footnote>
  <w:footnote w:id="581">
    <w:p w14:paraId="7A07E608" w14:textId="133A5EE4" w:rsidR="00302D44" w:rsidRDefault="00302D44" w:rsidP="00302D44">
      <w:pPr>
        <w:pStyle w:val="FootnoteText"/>
      </w:pPr>
      <w:r>
        <w:rPr>
          <w:rStyle w:val="FootnoteReference"/>
        </w:rPr>
        <w:footnoteRef/>
      </w:r>
      <w:r>
        <w:t xml:space="preserve"> Peters, ‘Gender, sacrament and ritual’, p.86</w:t>
      </w:r>
      <w:r w:rsidR="00C44181">
        <w:t>.</w:t>
      </w:r>
    </w:p>
  </w:footnote>
  <w:footnote w:id="582">
    <w:p w14:paraId="1C10B0A0" w14:textId="4156F9F7" w:rsidR="00302D44" w:rsidRDefault="00302D44" w:rsidP="00302D44">
      <w:pPr>
        <w:pStyle w:val="FootnoteText"/>
      </w:pPr>
      <w:r>
        <w:rPr>
          <w:rStyle w:val="FootnoteReference"/>
        </w:rPr>
        <w:footnoteRef/>
      </w:r>
      <w:r>
        <w:t xml:space="preserve"> </w:t>
      </w:r>
      <w:r w:rsidRPr="003108BC">
        <w:rPr>
          <w:lang w:val="en-US"/>
        </w:rPr>
        <w:t xml:space="preserve">E. K. M. Jarman (ed.), </w:t>
      </w:r>
      <w:r w:rsidRPr="003108BC">
        <w:rPr>
          <w:i/>
          <w:iCs/>
          <w:lang w:val="en-US"/>
        </w:rPr>
        <w:t xml:space="preserve">The Record Society of Lancashire and Cheshire: Volume </w:t>
      </w:r>
      <w:proofErr w:type="gramStart"/>
      <w:r w:rsidRPr="003108BC">
        <w:rPr>
          <w:i/>
          <w:iCs/>
          <w:lang w:val="en-US"/>
        </w:rPr>
        <w:t>146,Justice</w:t>
      </w:r>
      <w:proofErr w:type="gramEnd"/>
      <w:r w:rsidRPr="003108BC">
        <w:rPr>
          <w:i/>
          <w:iCs/>
          <w:lang w:val="en-US"/>
        </w:rPr>
        <w:t xml:space="preserve"> and Conciliation in a Tudor Church Court: Depositions from EDC 2/6, Deposition Book of the Consistory Court of Chester, September 1558 – March 1559, </w:t>
      </w:r>
      <w:r w:rsidRPr="003108BC">
        <w:rPr>
          <w:lang w:val="en-US"/>
        </w:rPr>
        <w:t>(Lancaster, 2012)</w:t>
      </w:r>
      <w:r>
        <w:rPr>
          <w:lang w:val="en-US"/>
        </w:rPr>
        <w:t xml:space="preserve">, </w:t>
      </w:r>
      <w:proofErr w:type="spellStart"/>
      <w:r>
        <w:rPr>
          <w:lang w:val="en-US"/>
        </w:rPr>
        <w:t>p.xxxi</w:t>
      </w:r>
      <w:proofErr w:type="spellEnd"/>
      <w:r>
        <w:rPr>
          <w:lang w:val="en-US"/>
        </w:rPr>
        <w:t>, p.71</w:t>
      </w:r>
      <w:r w:rsidR="00C44181">
        <w:rPr>
          <w:lang w:val="en-US"/>
        </w:rPr>
        <w:t>.</w:t>
      </w:r>
    </w:p>
  </w:footnote>
  <w:footnote w:id="583">
    <w:p w14:paraId="4754BD5F" w14:textId="40C047DB" w:rsidR="00302D44" w:rsidRDefault="00302D44" w:rsidP="00302D44">
      <w:pPr>
        <w:pStyle w:val="FootnoteText"/>
      </w:pPr>
      <w:r>
        <w:rPr>
          <w:rStyle w:val="FootnoteReference"/>
        </w:rPr>
        <w:footnoteRef/>
      </w:r>
      <w:r>
        <w:t xml:space="preserve"> </w:t>
      </w:r>
      <w:r w:rsidRPr="00F7402D">
        <w:rPr>
          <w:lang w:val="en-US"/>
        </w:rPr>
        <w:t xml:space="preserve">Chapman, </w:t>
      </w:r>
      <w:r w:rsidRPr="00F7402D">
        <w:rPr>
          <w:i/>
          <w:iCs/>
          <w:lang w:val="en-US"/>
        </w:rPr>
        <w:t>Marriage Laws,</w:t>
      </w:r>
      <w:r w:rsidRPr="00F7402D">
        <w:rPr>
          <w:b/>
          <w:bCs/>
          <w:lang w:val="en-US"/>
        </w:rPr>
        <w:t xml:space="preserve"> </w:t>
      </w:r>
      <w:r>
        <w:rPr>
          <w:lang w:val="en-US"/>
        </w:rPr>
        <w:t>p.</w:t>
      </w:r>
      <w:r>
        <w:t>33</w:t>
      </w:r>
      <w:r w:rsidR="00C44181">
        <w:t>.</w:t>
      </w:r>
    </w:p>
  </w:footnote>
  <w:footnote w:id="584">
    <w:p w14:paraId="18F1B7C9" w14:textId="2B916F35" w:rsidR="00302D44" w:rsidRDefault="00302D44" w:rsidP="00302D44">
      <w:pPr>
        <w:pStyle w:val="FootnoteText"/>
      </w:pPr>
      <w:r>
        <w:rPr>
          <w:rStyle w:val="FootnoteReference"/>
        </w:rPr>
        <w:footnoteRef/>
      </w:r>
      <w:r>
        <w:t xml:space="preserve"> </w:t>
      </w:r>
      <w:proofErr w:type="spellStart"/>
      <w:r>
        <w:t>Begiato</w:t>
      </w:r>
      <w:proofErr w:type="spellEnd"/>
      <w:r>
        <w:t>, ‘“So now you are wed enough”’, p.214</w:t>
      </w:r>
      <w:r w:rsidR="00C44181">
        <w:t>.</w:t>
      </w:r>
    </w:p>
  </w:footnote>
  <w:footnote w:id="585">
    <w:p w14:paraId="0C245E6F" w14:textId="05640525" w:rsidR="00302D44" w:rsidRDefault="00302D44" w:rsidP="00302D44">
      <w:pPr>
        <w:pStyle w:val="FootnoteText"/>
      </w:pPr>
      <w:r>
        <w:rPr>
          <w:rStyle w:val="FootnoteReference"/>
        </w:rPr>
        <w:footnoteRef/>
      </w:r>
      <w:r>
        <w:t xml:space="preserve"> </w:t>
      </w:r>
      <w:r w:rsidRPr="00F3041A">
        <w:rPr>
          <w:lang w:val="en-US"/>
        </w:rPr>
        <w:t xml:space="preserve">Cressy, </w:t>
      </w:r>
      <w:r w:rsidRPr="00F3041A">
        <w:rPr>
          <w:i/>
          <w:iCs/>
          <w:lang w:val="en-US"/>
        </w:rPr>
        <w:t xml:space="preserve">Birth, Marriage and Death, </w:t>
      </w:r>
      <w:r>
        <w:rPr>
          <w:lang w:val="en-US"/>
        </w:rPr>
        <w:t>p.</w:t>
      </w:r>
      <w:r>
        <w:t>276</w:t>
      </w:r>
      <w:r w:rsidR="00C44181">
        <w:t>.</w:t>
      </w:r>
    </w:p>
  </w:footnote>
  <w:footnote w:id="586">
    <w:p w14:paraId="6A477594" w14:textId="75F82820" w:rsidR="00302D44" w:rsidRPr="00924E38" w:rsidRDefault="00302D44" w:rsidP="00302D44">
      <w:pPr>
        <w:pStyle w:val="FootnoteText"/>
      </w:pPr>
      <w:r>
        <w:rPr>
          <w:rStyle w:val="FootnoteReference"/>
        </w:rPr>
        <w:footnoteRef/>
      </w:r>
      <w:r>
        <w:t xml:space="preserve"> N. H., </w:t>
      </w:r>
      <w:r>
        <w:rPr>
          <w:i/>
          <w:iCs/>
        </w:rPr>
        <w:t xml:space="preserve">The Ladies Dictionary, </w:t>
      </w:r>
      <w:r>
        <w:t>(London, 1694), p.349</w:t>
      </w:r>
      <w:r w:rsidR="00C44181">
        <w:t>.</w:t>
      </w:r>
    </w:p>
  </w:footnote>
  <w:footnote w:id="587">
    <w:p w14:paraId="5276A3E1" w14:textId="69261B74" w:rsidR="00302D44" w:rsidRDefault="00302D44" w:rsidP="00302D44">
      <w:pPr>
        <w:pStyle w:val="FootnoteText"/>
      </w:pPr>
      <w:r>
        <w:rPr>
          <w:rStyle w:val="FootnoteReference"/>
        </w:rPr>
        <w:footnoteRef/>
      </w:r>
      <w:r>
        <w:t xml:space="preserve"> </w:t>
      </w:r>
      <w:r w:rsidRPr="00DA7B38">
        <w:rPr>
          <w:lang w:val="en-US"/>
        </w:rPr>
        <w:t xml:space="preserve">Cressy, </w:t>
      </w:r>
      <w:r w:rsidRPr="00DA7B38">
        <w:rPr>
          <w:i/>
          <w:iCs/>
          <w:lang w:val="en-US"/>
        </w:rPr>
        <w:t xml:space="preserve">Birth, Marriage and Death, </w:t>
      </w:r>
      <w:r>
        <w:rPr>
          <w:lang w:val="en-US"/>
        </w:rPr>
        <w:t>p.</w:t>
      </w:r>
      <w:r>
        <w:t>273</w:t>
      </w:r>
      <w:r w:rsidR="00C44181">
        <w:t>.</w:t>
      </w:r>
    </w:p>
  </w:footnote>
  <w:footnote w:id="588">
    <w:p w14:paraId="2C79C4E8" w14:textId="4C283E8C" w:rsidR="00302D44" w:rsidRDefault="00302D44" w:rsidP="00302D44">
      <w:pPr>
        <w:pStyle w:val="FootnoteText"/>
      </w:pPr>
      <w:r>
        <w:rPr>
          <w:rStyle w:val="FootnoteReference"/>
        </w:rPr>
        <w:footnoteRef/>
      </w:r>
      <w:r>
        <w:t xml:space="preserve"> ‘Old Hall and Nos 1 and 2 Old Hall Cottages’, Grade II Listed Building in Over Kellet, Lancashire, List Entry No. 1362443 [</w:t>
      </w:r>
      <w:r w:rsidRPr="009811E6">
        <w:t>https://historicengland.org.uk/listing/the-list/list-entry/1362443?section=official-list-entry</w:t>
      </w:r>
      <w:r>
        <w:t>; accessed 15 May 2024]</w:t>
      </w:r>
      <w:r w:rsidR="00C44181">
        <w:t>.</w:t>
      </w:r>
    </w:p>
  </w:footnote>
  <w:footnote w:id="589">
    <w:p w14:paraId="5683CDC6" w14:textId="3EF4627E" w:rsidR="00302D44" w:rsidRDefault="00302D44" w:rsidP="00302D44">
      <w:pPr>
        <w:pStyle w:val="FootnoteText"/>
      </w:pPr>
      <w:r w:rsidRPr="00AA6C00">
        <w:rPr>
          <w:rStyle w:val="FootnoteReference"/>
        </w:rPr>
        <w:footnoteRef/>
      </w:r>
      <w:r w:rsidRPr="00AA6C00">
        <w:t xml:space="preserve"> </w:t>
      </w:r>
      <w:r w:rsidR="00AA6C00" w:rsidRPr="00AA6C00">
        <w:t xml:space="preserve">R. D. </w:t>
      </w:r>
      <w:proofErr w:type="spellStart"/>
      <w:r w:rsidR="00AA6C00" w:rsidRPr="00AA6C00">
        <w:t>Escolme</w:t>
      </w:r>
      <w:proofErr w:type="spellEnd"/>
      <w:r w:rsidR="00AA6C00" w:rsidRPr="00AA6C00">
        <w:t xml:space="preserve"> (ed.), </w:t>
      </w:r>
      <w:r w:rsidRPr="00AA6C00">
        <w:t xml:space="preserve">William Farrer, </w:t>
      </w:r>
      <w:r w:rsidRPr="00AA6C00">
        <w:rPr>
          <w:i/>
          <w:iCs/>
        </w:rPr>
        <w:t xml:space="preserve">Old Over Kellet Houses, </w:t>
      </w:r>
      <w:r w:rsidRPr="00AA6C00">
        <w:t>(Carnforth, 2003</w:t>
      </w:r>
      <w:r>
        <w:t>), p.15</w:t>
      </w:r>
      <w:r w:rsidR="00C44181">
        <w:t>.</w:t>
      </w:r>
    </w:p>
  </w:footnote>
  <w:footnote w:id="590">
    <w:p w14:paraId="197A0870" w14:textId="40734940" w:rsidR="00302D44" w:rsidRDefault="00302D44" w:rsidP="00302D44">
      <w:pPr>
        <w:pStyle w:val="FootnoteText"/>
      </w:pPr>
      <w:r>
        <w:rPr>
          <w:rStyle w:val="FootnoteReference"/>
        </w:rPr>
        <w:footnoteRef/>
      </w:r>
      <w:r>
        <w:t xml:space="preserve"> Garnett, </w:t>
      </w:r>
      <w:r>
        <w:rPr>
          <w:i/>
          <w:iCs/>
        </w:rPr>
        <w:t xml:space="preserve">Dated Buildings, </w:t>
      </w:r>
      <w:r>
        <w:t>p.122</w:t>
      </w:r>
      <w:r w:rsidR="00C44181">
        <w:t>.</w:t>
      </w:r>
    </w:p>
  </w:footnote>
  <w:footnote w:id="591">
    <w:p w14:paraId="79A26C8D" w14:textId="77777777" w:rsidR="00302D44" w:rsidRDefault="00302D44" w:rsidP="00302D44">
      <w:pPr>
        <w:pStyle w:val="FootnoteText"/>
      </w:pPr>
      <w:r>
        <w:rPr>
          <w:rStyle w:val="FootnoteReference"/>
        </w:rPr>
        <w:footnoteRef/>
      </w:r>
      <w:r>
        <w:t xml:space="preserve"> Ibid.</w:t>
      </w:r>
    </w:p>
  </w:footnote>
  <w:footnote w:id="592">
    <w:p w14:paraId="672B6271" w14:textId="21CDEF0C" w:rsidR="00302D44" w:rsidRDefault="00302D44" w:rsidP="00302D44">
      <w:pPr>
        <w:pStyle w:val="FootnoteText"/>
      </w:pPr>
      <w:r>
        <w:rPr>
          <w:rStyle w:val="FootnoteReference"/>
        </w:rPr>
        <w:footnoteRef/>
      </w:r>
      <w:r>
        <w:t xml:space="preserve"> LA: WRW/K/R497/102, Will of Walter Cocke of Nether Levens, yeoman, 1767</w:t>
      </w:r>
      <w:r w:rsidR="00C44181">
        <w:t>.</w:t>
      </w:r>
    </w:p>
  </w:footnote>
  <w:footnote w:id="593">
    <w:p w14:paraId="066C87C2" w14:textId="74586E2E" w:rsidR="00302D44" w:rsidRDefault="00302D44" w:rsidP="00302D44">
      <w:pPr>
        <w:pStyle w:val="FootnoteText"/>
      </w:pPr>
      <w:r>
        <w:rPr>
          <w:rStyle w:val="FootnoteReference"/>
        </w:rPr>
        <w:footnoteRef/>
      </w:r>
      <w:r>
        <w:t xml:space="preserve"> LA: </w:t>
      </w:r>
      <w:r w:rsidRPr="00674232">
        <w:rPr>
          <w:lang w:val="en-US"/>
        </w:rPr>
        <w:t xml:space="preserve">PR 3328, Parish Register of St Cuthbert’s Church, Over Kellet, 1653-1812, </w:t>
      </w:r>
      <w:r>
        <w:t>Marriage of Walter Cocke and Margaret Gibson, 11 July 1720</w:t>
      </w:r>
      <w:r w:rsidR="00C44181">
        <w:t>.</w:t>
      </w:r>
    </w:p>
  </w:footnote>
  <w:footnote w:id="594">
    <w:p w14:paraId="0CA0D6E0" w14:textId="7F87DE35" w:rsidR="00302D44" w:rsidRDefault="00302D44" w:rsidP="00302D44">
      <w:pPr>
        <w:pStyle w:val="FootnoteText"/>
      </w:pPr>
      <w:r>
        <w:rPr>
          <w:rStyle w:val="FootnoteReference"/>
        </w:rPr>
        <w:footnoteRef/>
      </w:r>
      <w:r>
        <w:t xml:space="preserve"> Gill Newton, ‘Clandestine marriage in early modern London: when, where and why?’, </w:t>
      </w:r>
      <w:r>
        <w:rPr>
          <w:i/>
          <w:iCs/>
        </w:rPr>
        <w:t xml:space="preserve">Continuity and Change, </w:t>
      </w:r>
      <w:r>
        <w:t>Vol. 29, No. 2, (2014), pp.151-180, p.153</w:t>
      </w:r>
      <w:r w:rsidR="00C44181">
        <w:t>.</w:t>
      </w:r>
    </w:p>
  </w:footnote>
  <w:footnote w:id="595">
    <w:p w14:paraId="11600819" w14:textId="1A648F11" w:rsidR="00302D44" w:rsidRPr="00AE4E52" w:rsidRDefault="00302D44" w:rsidP="00302D44">
      <w:pPr>
        <w:pStyle w:val="FootnoteText"/>
      </w:pPr>
      <w:r>
        <w:rPr>
          <w:rStyle w:val="FootnoteReference"/>
        </w:rPr>
        <w:footnoteRef/>
      </w:r>
      <w:r>
        <w:t xml:space="preserve"> R. B. Outhwaite, </w:t>
      </w:r>
      <w:r>
        <w:rPr>
          <w:i/>
          <w:iCs/>
        </w:rPr>
        <w:t xml:space="preserve">Clandestine Marriage in England, 1500-1850, </w:t>
      </w:r>
      <w:r>
        <w:t>(London, 1995), p.48</w:t>
      </w:r>
      <w:r w:rsidR="00C44181">
        <w:t>.</w:t>
      </w:r>
    </w:p>
  </w:footnote>
  <w:footnote w:id="596">
    <w:p w14:paraId="2C236DD1" w14:textId="1ED143BD" w:rsidR="00302D44" w:rsidRDefault="00302D44" w:rsidP="00302D44">
      <w:pPr>
        <w:pStyle w:val="FootnoteText"/>
      </w:pPr>
      <w:r>
        <w:rPr>
          <w:rStyle w:val="FootnoteReference"/>
        </w:rPr>
        <w:footnoteRef/>
      </w:r>
      <w:r>
        <w:t xml:space="preserve"> Newton, ‘Clandestine’, p.153</w:t>
      </w:r>
      <w:r w:rsidR="00C44181">
        <w:t>.</w:t>
      </w:r>
    </w:p>
  </w:footnote>
  <w:footnote w:id="597">
    <w:p w14:paraId="6638B062" w14:textId="7EB2CB39" w:rsidR="00302D44" w:rsidRDefault="00302D44" w:rsidP="00302D44">
      <w:pPr>
        <w:pStyle w:val="FootnoteText"/>
      </w:pPr>
      <w:r>
        <w:rPr>
          <w:rStyle w:val="FootnoteReference"/>
        </w:rPr>
        <w:footnoteRef/>
      </w:r>
      <w:r>
        <w:t xml:space="preserve"> LA: </w:t>
      </w:r>
      <w:r w:rsidRPr="009F6B44">
        <w:rPr>
          <w:lang w:val="en-US"/>
        </w:rPr>
        <w:t>PR 3328, Parish Register of St Cuthbert’s Church, Over Kellet, 1653-1812,</w:t>
      </w:r>
      <w:r>
        <w:rPr>
          <w:lang w:val="en-US"/>
        </w:rPr>
        <w:t xml:space="preserve"> Baptism of Richard Cocke, 18 June 1721; LA: </w:t>
      </w:r>
      <w:r w:rsidRPr="009F6B44">
        <w:rPr>
          <w:lang w:val="en-US"/>
        </w:rPr>
        <w:t>PR 3328, Parish Register of St Cuthbert’s Church, Over Kellet, 1653-1812,</w:t>
      </w:r>
      <w:r>
        <w:rPr>
          <w:lang w:val="en-US"/>
        </w:rPr>
        <w:t xml:space="preserve"> Baptism of Anne Cocke, 12 May 1723</w:t>
      </w:r>
      <w:r w:rsidR="00A35052">
        <w:rPr>
          <w:lang w:val="en-US"/>
        </w:rPr>
        <w:t>.</w:t>
      </w:r>
    </w:p>
  </w:footnote>
  <w:footnote w:id="598">
    <w:p w14:paraId="27D3880E" w14:textId="0A9B30FB" w:rsidR="00302D44" w:rsidRDefault="00302D44" w:rsidP="00302D44">
      <w:pPr>
        <w:pStyle w:val="FootnoteText"/>
      </w:pPr>
      <w:r>
        <w:rPr>
          <w:rStyle w:val="FootnoteReference"/>
        </w:rPr>
        <w:footnoteRef/>
      </w:r>
      <w:r>
        <w:t xml:space="preserve"> </w:t>
      </w:r>
      <w:r w:rsidRPr="003E2E5C">
        <w:rPr>
          <w:lang w:val="en-US"/>
        </w:rPr>
        <w:t xml:space="preserve">LA: </w:t>
      </w:r>
      <w:r w:rsidRPr="00CB10BC">
        <w:rPr>
          <w:lang w:val="en-US"/>
        </w:rPr>
        <w:t xml:space="preserve">PR 3328, Parish Register of St Cuthbert’s Church, Over Kellet, 1653-1812, </w:t>
      </w:r>
      <w:r>
        <w:t xml:space="preserve">Burial of Richard Cocke, 3 April 1722; </w:t>
      </w:r>
      <w:r w:rsidRPr="003E2E5C">
        <w:rPr>
          <w:lang w:val="en-US"/>
        </w:rPr>
        <w:t xml:space="preserve">LA: </w:t>
      </w:r>
      <w:r w:rsidRPr="00CB10BC">
        <w:rPr>
          <w:lang w:val="en-US"/>
        </w:rPr>
        <w:t>PR 3328, Parish Register of St Cuthbert’s Church, Over Kellet, 1653-1812</w:t>
      </w:r>
      <w:r>
        <w:t>, Burial of Margaret Cocke, 4</w:t>
      </w:r>
      <w:r>
        <w:rPr>
          <w:vertAlign w:val="superscript"/>
        </w:rPr>
        <w:t xml:space="preserve"> </w:t>
      </w:r>
      <w:r>
        <w:t>November 1729</w:t>
      </w:r>
      <w:r w:rsidR="00A35052">
        <w:t>.</w:t>
      </w:r>
    </w:p>
  </w:footnote>
  <w:footnote w:id="599">
    <w:p w14:paraId="79173C80" w14:textId="77777777" w:rsidR="00302D44" w:rsidRDefault="00302D44" w:rsidP="00302D44">
      <w:pPr>
        <w:pStyle w:val="FootnoteText"/>
      </w:pPr>
      <w:r>
        <w:rPr>
          <w:rStyle w:val="FootnoteReference"/>
        </w:rPr>
        <w:footnoteRef/>
      </w:r>
      <w:r>
        <w:t xml:space="preserve"> A second record of the marriage survives from St Mary’s Church, Lancaster, simply stating the year, 1731. This was likely a copy.</w:t>
      </w:r>
    </w:p>
  </w:footnote>
  <w:footnote w:id="600">
    <w:p w14:paraId="0B78FC48" w14:textId="6A2AE4DF" w:rsidR="00302D44" w:rsidRDefault="00302D44" w:rsidP="00302D44">
      <w:pPr>
        <w:pStyle w:val="FootnoteText"/>
      </w:pPr>
      <w:r>
        <w:rPr>
          <w:rStyle w:val="FootnoteReference"/>
        </w:rPr>
        <w:footnoteRef/>
      </w:r>
      <w:r>
        <w:t xml:space="preserve"> Kendal Record Office (hereafter KRO): WPR 8, </w:t>
      </w:r>
      <w:r w:rsidR="00C92377">
        <w:t>Parish Register of</w:t>
      </w:r>
      <w:r>
        <w:t xml:space="preserve"> St Peter’s Church, Heversham, 1605-1956, Baptism of Mary Johnson, 10 February 1691</w:t>
      </w:r>
      <w:r w:rsidR="00A35052">
        <w:t>.</w:t>
      </w:r>
    </w:p>
  </w:footnote>
  <w:footnote w:id="601">
    <w:p w14:paraId="3B72FA59" w14:textId="24EB1900" w:rsidR="00302D44" w:rsidRDefault="00302D44" w:rsidP="00302D44">
      <w:pPr>
        <w:pStyle w:val="FootnoteText"/>
      </w:pPr>
      <w:r>
        <w:rPr>
          <w:rStyle w:val="FootnoteReference"/>
        </w:rPr>
        <w:footnoteRef/>
      </w:r>
      <w:r>
        <w:t xml:space="preserve"> LA: WRW/K/R497/102, Will of Walter Cocke of Nether Levens, yeoman, 1767</w:t>
      </w:r>
      <w:r w:rsidR="00A35052">
        <w:t>.</w:t>
      </w:r>
    </w:p>
  </w:footnote>
  <w:footnote w:id="602">
    <w:p w14:paraId="44FAF7E8" w14:textId="63721F17" w:rsidR="00302D44" w:rsidRDefault="00302D44" w:rsidP="00302D44">
      <w:pPr>
        <w:pStyle w:val="FootnoteText"/>
      </w:pPr>
      <w:r>
        <w:rPr>
          <w:rStyle w:val="FootnoteReference"/>
        </w:rPr>
        <w:footnoteRef/>
      </w:r>
      <w:r>
        <w:t xml:space="preserve"> LA: </w:t>
      </w:r>
      <w:r w:rsidRPr="00E92711">
        <w:rPr>
          <w:lang w:val="en-US"/>
        </w:rPr>
        <w:t>PR 3328, Parish Register of St Cuthbert’s Church, Over Kellet, 1653-1812,</w:t>
      </w:r>
      <w:r>
        <w:rPr>
          <w:lang w:val="en-US"/>
        </w:rPr>
        <w:t xml:space="preserve"> Baptism of Thomas Cocke, 30 September 1731; Baptism of Elizabeth Cocke, 20 June 1734; Baptism of Mary Cocke, 19 December 1738; Baptism of Mary and Hannah Cocke, 10 February 1744</w:t>
      </w:r>
      <w:r w:rsidR="00C44181">
        <w:rPr>
          <w:lang w:val="en-US"/>
        </w:rPr>
        <w:t>.</w:t>
      </w:r>
    </w:p>
  </w:footnote>
  <w:footnote w:id="603">
    <w:p w14:paraId="6B05555F" w14:textId="3EC9EC11" w:rsidR="00302D44" w:rsidRDefault="00302D44" w:rsidP="00302D44">
      <w:pPr>
        <w:pStyle w:val="FootnoteText"/>
      </w:pPr>
      <w:r>
        <w:rPr>
          <w:rStyle w:val="FootnoteReference"/>
        </w:rPr>
        <w:footnoteRef/>
      </w:r>
      <w:r>
        <w:t xml:space="preserve"> LA: </w:t>
      </w:r>
      <w:r w:rsidRPr="00925879">
        <w:rPr>
          <w:lang w:val="en-US"/>
        </w:rPr>
        <w:t>PR 3328, Parish Register of St Cuthbert’s Church, Over Kellet, 1653-1812,</w:t>
      </w:r>
      <w:r>
        <w:rPr>
          <w:lang w:val="en-US"/>
        </w:rPr>
        <w:t xml:space="preserve"> Marriage of Stephen Buck and Elizabeth Cocke, 3 December 1754</w:t>
      </w:r>
      <w:r w:rsidR="00C44181">
        <w:rPr>
          <w:lang w:val="en-US"/>
        </w:rPr>
        <w:t>.</w:t>
      </w:r>
    </w:p>
  </w:footnote>
  <w:footnote w:id="604">
    <w:p w14:paraId="46A91266" w14:textId="5D2064DA" w:rsidR="00302D44" w:rsidRDefault="00302D44" w:rsidP="00302D44">
      <w:pPr>
        <w:pStyle w:val="FootnoteText"/>
      </w:pPr>
      <w:r>
        <w:rPr>
          <w:rStyle w:val="FootnoteReference"/>
        </w:rPr>
        <w:footnoteRef/>
      </w:r>
      <w:r>
        <w:t xml:space="preserve"> LA:</w:t>
      </w:r>
      <w:r w:rsidRPr="00762A07">
        <w:rPr>
          <w:lang w:val="en-US"/>
        </w:rPr>
        <w:t xml:space="preserve"> </w:t>
      </w:r>
      <w:r>
        <w:t xml:space="preserve">PR 3315/1/8, </w:t>
      </w:r>
      <w:r w:rsidR="00C92377">
        <w:rPr>
          <w:lang w:val="en-US"/>
        </w:rPr>
        <w:t>Parish Register of</w:t>
      </w:r>
      <w:r w:rsidRPr="00762A07">
        <w:rPr>
          <w:lang w:val="en-US"/>
        </w:rPr>
        <w:t xml:space="preserve"> </w:t>
      </w:r>
      <w:r>
        <w:rPr>
          <w:lang w:val="en-US"/>
        </w:rPr>
        <w:t>Holy Trinity Church, Bolton-le-Sands</w:t>
      </w:r>
      <w:r w:rsidRPr="00762A07">
        <w:rPr>
          <w:lang w:val="en-US"/>
        </w:rPr>
        <w:t>, 1</w:t>
      </w:r>
      <w:r>
        <w:rPr>
          <w:lang w:val="en-US"/>
        </w:rPr>
        <w:t>754-1811</w:t>
      </w:r>
      <w:r>
        <w:t>, Marriage of Thomas Cocke and Hannah Robinson, 2 November 1758</w:t>
      </w:r>
      <w:r w:rsidR="00C44181">
        <w:t>.</w:t>
      </w:r>
    </w:p>
  </w:footnote>
  <w:footnote w:id="605">
    <w:p w14:paraId="5F33BAAE" w14:textId="2C2B32D5" w:rsidR="00302D44" w:rsidRPr="004600FB" w:rsidRDefault="00302D44" w:rsidP="00302D44">
      <w:pPr>
        <w:pStyle w:val="FootnoteText"/>
      </w:pPr>
      <w:r>
        <w:rPr>
          <w:rStyle w:val="FootnoteReference"/>
        </w:rPr>
        <w:footnoteRef/>
      </w:r>
      <w:r>
        <w:t xml:space="preserve"> </w:t>
      </w:r>
      <w:r w:rsidRPr="0046124A">
        <w:rPr>
          <w:lang w:val="en-US"/>
        </w:rPr>
        <w:t xml:space="preserve">Farrer, </w:t>
      </w:r>
      <w:r w:rsidRPr="0046124A">
        <w:rPr>
          <w:i/>
          <w:iCs/>
          <w:lang w:val="en-US"/>
        </w:rPr>
        <w:t xml:space="preserve">Old Over Kellet Houses, </w:t>
      </w:r>
      <w:r w:rsidRPr="0046124A">
        <w:rPr>
          <w:lang w:val="en-US"/>
        </w:rPr>
        <w:t>p.15</w:t>
      </w:r>
      <w:r>
        <w:rPr>
          <w:lang w:val="en-US"/>
        </w:rPr>
        <w:t xml:space="preserve">; </w:t>
      </w:r>
      <w:r>
        <w:t xml:space="preserve">Garnett, </w:t>
      </w:r>
      <w:r>
        <w:rPr>
          <w:i/>
          <w:iCs/>
        </w:rPr>
        <w:t xml:space="preserve">Dated Buildings, </w:t>
      </w:r>
      <w:r>
        <w:t>p.122, p.212</w:t>
      </w:r>
      <w:r w:rsidR="00A35052">
        <w:t>.</w:t>
      </w:r>
    </w:p>
  </w:footnote>
  <w:footnote w:id="606">
    <w:p w14:paraId="5E8D8711" w14:textId="1049E93A" w:rsidR="00302D44" w:rsidRDefault="00302D44" w:rsidP="00302D44">
      <w:pPr>
        <w:pStyle w:val="FootnoteText"/>
      </w:pPr>
      <w:r>
        <w:rPr>
          <w:rStyle w:val="FootnoteReference"/>
        </w:rPr>
        <w:footnoteRef/>
      </w:r>
      <w:r>
        <w:t xml:space="preserve"> </w:t>
      </w:r>
      <w:r w:rsidRPr="001C0A42">
        <w:rPr>
          <w:lang w:val="en-US"/>
        </w:rPr>
        <w:t>LA: WRW/K/R497/102, Will of Walter Cocke of Nether Levens, yeoman, 1767</w:t>
      </w:r>
      <w:r w:rsidR="00A35052">
        <w:rPr>
          <w:lang w:val="en-US"/>
        </w:rPr>
        <w:t>.</w:t>
      </w:r>
    </w:p>
  </w:footnote>
  <w:footnote w:id="607">
    <w:p w14:paraId="7683798E" w14:textId="7E85135C" w:rsidR="00302D44" w:rsidRDefault="00302D44" w:rsidP="00302D44">
      <w:pPr>
        <w:pStyle w:val="FootnoteText"/>
      </w:pPr>
      <w:r>
        <w:rPr>
          <w:rStyle w:val="FootnoteReference"/>
        </w:rPr>
        <w:footnoteRef/>
      </w:r>
      <w:r>
        <w:t xml:space="preserve"> </w:t>
      </w:r>
      <w:r w:rsidRPr="001366DE">
        <w:rPr>
          <w:lang w:val="en-US"/>
        </w:rPr>
        <w:t xml:space="preserve">Garnett, </w:t>
      </w:r>
      <w:r w:rsidRPr="001366DE">
        <w:rPr>
          <w:i/>
          <w:iCs/>
          <w:lang w:val="en-US"/>
        </w:rPr>
        <w:t xml:space="preserve">Dated Buildings, </w:t>
      </w:r>
      <w:r w:rsidRPr="001366DE">
        <w:rPr>
          <w:lang w:val="en-US"/>
        </w:rPr>
        <w:t>p.122</w:t>
      </w:r>
      <w:r w:rsidR="00A35052">
        <w:rPr>
          <w:lang w:val="en-US"/>
        </w:rPr>
        <w:t>.</w:t>
      </w:r>
    </w:p>
  </w:footnote>
  <w:footnote w:id="608">
    <w:p w14:paraId="2CDB2962" w14:textId="5244A097" w:rsidR="00302D44" w:rsidRDefault="00302D44" w:rsidP="00302D44">
      <w:pPr>
        <w:pStyle w:val="FootnoteText"/>
      </w:pPr>
      <w:r>
        <w:rPr>
          <w:rStyle w:val="FootnoteReference"/>
        </w:rPr>
        <w:footnoteRef/>
      </w:r>
      <w:r>
        <w:t xml:space="preserve"> </w:t>
      </w:r>
      <w:r>
        <w:rPr>
          <w:lang w:val="en-US"/>
        </w:rPr>
        <w:t xml:space="preserve">LA: PR 2784, </w:t>
      </w:r>
      <w:r w:rsidR="00C92377">
        <w:rPr>
          <w:lang w:val="en-US"/>
        </w:rPr>
        <w:t>Parish Register of</w:t>
      </w:r>
      <w:r>
        <w:rPr>
          <w:lang w:val="en-US"/>
        </w:rPr>
        <w:t xml:space="preserve"> St Wilfrid’s Church,</w:t>
      </w:r>
      <w:r w:rsidRPr="00584349">
        <w:rPr>
          <w:lang w:val="en-US"/>
        </w:rPr>
        <w:t xml:space="preserve"> </w:t>
      </w:r>
      <w:r>
        <w:rPr>
          <w:lang w:val="en-US"/>
        </w:rPr>
        <w:t>Halton, 1754-1812, Marriage of Walter Cock and Margaret Kellet, 15 November 1774</w:t>
      </w:r>
      <w:r w:rsidR="00A35052">
        <w:rPr>
          <w:lang w:val="en-US"/>
        </w:rPr>
        <w:t>.</w:t>
      </w:r>
    </w:p>
  </w:footnote>
  <w:footnote w:id="609">
    <w:p w14:paraId="6ECF648C" w14:textId="2DD1978D" w:rsidR="00302D44" w:rsidRPr="00463A98" w:rsidRDefault="00302D44" w:rsidP="00302D44">
      <w:pPr>
        <w:pStyle w:val="FootnoteText"/>
      </w:pPr>
      <w:r>
        <w:rPr>
          <w:rStyle w:val="FootnoteReference"/>
        </w:rPr>
        <w:footnoteRef/>
      </w:r>
      <w:r>
        <w:t xml:space="preserve"> </w:t>
      </w:r>
      <w:r w:rsidRPr="00463A98">
        <w:t xml:space="preserve">Garnett, </w:t>
      </w:r>
      <w:r w:rsidRPr="00463A98">
        <w:rPr>
          <w:i/>
          <w:iCs/>
        </w:rPr>
        <w:t>Dated Buildings</w:t>
      </w:r>
      <w:r>
        <w:rPr>
          <w:i/>
          <w:iCs/>
        </w:rPr>
        <w:t xml:space="preserve">, </w:t>
      </w:r>
      <w:r>
        <w:t>p.122</w:t>
      </w:r>
      <w:r w:rsidR="00A35052">
        <w:t>.</w:t>
      </w:r>
    </w:p>
  </w:footnote>
  <w:footnote w:id="610">
    <w:p w14:paraId="255147CC" w14:textId="5CAFB5C4" w:rsidR="00302D44" w:rsidRDefault="00302D44" w:rsidP="00302D44">
      <w:pPr>
        <w:pStyle w:val="FootnoteText"/>
      </w:pPr>
      <w:r>
        <w:rPr>
          <w:rStyle w:val="FootnoteReference"/>
        </w:rPr>
        <w:footnoteRef/>
      </w:r>
      <w:r>
        <w:t xml:space="preserve"> </w:t>
      </w:r>
      <w:r w:rsidRPr="007131A4">
        <w:rPr>
          <w:lang w:val="en-US"/>
        </w:rPr>
        <w:t>LA: WRW/K/R497/102, Will of Walter Cocke of Nether Levens, yeoman, 1767</w:t>
      </w:r>
      <w:r w:rsidR="00A35052">
        <w:rPr>
          <w:lang w:val="en-US"/>
        </w:rPr>
        <w:t>.</w:t>
      </w:r>
    </w:p>
  </w:footnote>
  <w:footnote w:id="611">
    <w:p w14:paraId="3A3C172E" w14:textId="5BDD0D39" w:rsidR="00302D44" w:rsidRDefault="00302D44" w:rsidP="00302D44">
      <w:pPr>
        <w:pStyle w:val="Style1"/>
      </w:pPr>
      <w:r>
        <w:rPr>
          <w:rStyle w:val="FootnoteReference"/>
        </w:rPr>
        <w:footnoteRef/>
      </w:r>
      <w:r>
        <w:t xml:space="preserve"> Admission of George Brocklehurst into the Halmote Court for the Manor and Forest of Macclesfield, 1651, consulted with the permission of Sue Matthewson at Gap House on 20 February 2020</w:t>
      </w:r>
      <w:r w:rsidR="00A35052">
        <w:t>.</w:t>
      </w:r>
    </w:p>
  </w:footnote>
  <w:footnote w:id="612">
    <w:p w14:paraId="2E5210C9" w14:textId="4A51288F" w:rsidR="00302D44" w:rsidRDefault="00302D44" w:rsidP="00302D44">
      <w:pPr>
        <w:pStyle w:val="Style1"/>
      </w:pPr>
      <w:r>
        <w:rPr>
          <w:rStyle w:val="FootnoteReference"/>
        </w:rPr>
        <w:footnoteRef/>
      </w:r>
      <w:r>
        <w:t xml:space="preserve"> Cheshire Record Office (hereafter CRO): P 233/1/1/1 </w:t>
      </w:r>
      <w:r w:rsidR="00C92377">
        <w:t>Parish Register of</w:t>
      </w:r>
      <w:r>
        <w:t xml:space="preserve"> </w:t>
      </w:r>
      <w:r w:rsidR="00C266B6">
        <w:t xml:space="preserve">St James Church, </w:t>
      </w:r>
      <w:r>
        <w:t>Taxal, 1685-1755, Baptism of George Brocklehurst, 30 July 1665</w:t>
      </w:r>
      <w:r w:rsidR="00A35052">
        <w:t>.</w:t>
      </w:r>
    </w:p>
  </w:footnote>
  <w:footnote w:id="613">
    <w:p w14:paraId="1D5AB707" w14:textId="77777777" w:rsidR="00302D44" w:rsidRDefault="00302D44" w:rsidP="00302D44">
      <w:pPr>
        <w:pStyle w:val="FootnoteText"/>
      </w:pPr>
      <w:r>
        <w:rPr>
          <w:rStyle w:val="FootnoteReference"/>
        </w:rPr>
        <w:footnoteRef/>
      </w:r>
      <w:r>
        <w:t xml:space="preserve"> In any case, however, scant documentary evidence survives in relation to his bride, Elizabeth.</w:t>
      </w:r>
    </w:p>
  </w:footnote>
  <w:footnote w:id="614">
    <w:p w14:paraId="3C2C5060" w14:textId="780E3D23" w:rsidR="00302D44" w:rsidRDefault="00302D44" w:rsidP="00302D44">
      <w:pPr>
        <w:pStyle w:val="Style1"/>
      </w:pPr>
      <w:r>
        <w:rPr>
          <w:rStyle w:val="FootnoteReference"/>
        </w:rPr>
        <w:footnoteRef/>
      </w:r>
      <w:r>
        <w:t xml:space="preserve"> CRO: </w:t>
      </w:r>
      <w:r w:rsidR="005B60A7" w:rsidRPr="005B60A7">
        <w:t xml:space="preserve">P 233/1/1/1 Parish Register of St James Church, Taxal, 1685-1755, </w:t>
      </w:r>
      <w:r>
        <w:t>Burial of George Brocklehurst, 23 September 1665, Taxal Parish Register</w:t>
      </w:r>
      <w:r w:rsidR="00A35052">
        <w:t>.</w:t>
      </w:r>
    </w:p>
  </w:footnote>
  <w:footnote w:id="615">
    <w:p w14:paraId="0B143BA2" w14:textId="554C6D3C" w:rsidR="00302D44" w:rsidRDefault="00302D44" w:rsidP="00302D44">
      <w:pPr>
        <w:pStyle w:val="Style1"/>
      </w:pPr>
      <w:r>
        <w:rPr>
          <w:rStyle w:val="FootnoteReference"/>
        </w:rPr>
        <w:footnoteRef/>
      </w:r>
      <w:r>
        <w:t xml:space="preserve"> CRO: DDS 20/15, Depositions and evidence concerning disputed boundaries in Taxal and Kettleshulme, 1738</w:t>
      </w:r>
      <w:r w:rsidR="00A35052">
        <w:t>.</w:t>
      </w:r>
    </w:p>
  </w:footnote>
  <w:footnote w:id="616">
    <w:p w14:paraId="224077A4" w14:textId="19F887BD" w:rsidR="00302D44" w:rsidRDefault="00302D44" w:rsidP="00302D44">
      <w:pPr>
        <w:pStyle w:val="Style1"/>
      </w:pPr>
      <w:r>
        <w:rPr>
          <w:rStyle w:val="FootnoteReference"/>
        </w:rPr>
        <w:footnoteRef/>
      </w:r>
      <w:r>
        <w:t xml:space="preserve"> Ibid.</w:t>
      </w:r>
    </w:p>
  </w:footnote>
  <w:footnote w:id="617">
    <w:p w14:paraId="1E3A947D" w14:textId="70078B02" w:rsidR="00302D44" w:rsidRDefault="00302D44" w:rsidP="00302D44">
      <w:pPr>
        <w:pStyle w:val="Style1"/>
      </w:pPr>
      <w:r>
        <w:rPr>
          <w:rStyle w:val="FootnoteReference"/>
        </w:rPr>
        <w:footnoteRef/>
      </w:r>
      <w:r>
        <w:t xml:space="preserve"> </w:t>
      </w:r>
      <w:r>
        <w:rPr>
          <w:lang w:val="en-US"/>
        </w:rPr>
        <w:t xml:space="preserve">TNA: </w:t>
      </w:r>
      <w:r>
        <w:t xml:space="preserve">E179/86/141, Hearth Tax </w:t>
      </w:r>
      <w:r w:rsidR="00D460C5">
        <w:t>Assessment</w:t>
      </w:r>
      <w:r>
        <w:t xml:space="preserve"> for Cheshire,</w:t>
      </w:r>
      <w:r w:rsidR="00D460C5">
        <w:t xml:space="preserve"> Macclesfield Hundred</w:t>
      </w:r>
      <w:r w:rsidR="00F06AE6">
        <w:t>,</w:t>
      </w:r>
      <w:r>
        <w:t xml:space="preserve"> 1662, Rot 15d Kettleshulme</w:t>
      </w:r>
      <w:r w:rsidR="00A35052">
        <w:t>.</w:t>
      </w:r>
    </w:p>
  </w:footnote>
  <w:footnote w:id="618">
    <w:p w14:paraId="485F44F2" w14:textId="2342ED85" w:rsidR="00302D44" w:rsidRPr="00BD3B77" w:rsidRDefault="00302D44" w:rsidP="00302D44">
      <w:pPr>
        <w:pStyle w:val="FootnoteText"/>
      </w:pPr>
      <w:r w:rsidRPr="00BD3B77">
        <w:rPr>
          <w:rStyle w:val="FootnoteReference"/>
        </w:rPr>
        <w:footnoteRef/>
      </w:r>
      <w:r w:rsidRPr="00BD3B77">
        <w:t xml:space="preserve"> </w:t>
      </w:r>
      <w:r>
        <w:t xml:space="preserve">TNA: </w:t>
      </w:r>
      <w:r w:rsidRPr="00BD3B77">
        <w:t xml:space="preserve">E179/86/155, Hearth Tax </w:t>
      </w:r>
      <w:r w:rsidR="00F06AE6">
        <w:t>Assessment</w:t>
      </w:r>
      <w:r w:rsidRPr="00BD3B77">
        <w:t xml:space="preserve"> for Cheshire</w:t>
      </w:r>
      <w:r>
        <w:t>,</w:t>
      </w:r>
      <w:r w:rsidRPr="00BD3B77">
        <w:t xml:space="preserve"> </w:t>
      </w:r>
      <w:r w:rsidR="00F06AE6">
        <w:t xml:space="preserve">Macclesfield Hundred, </w:t>
      </w:r>
      <w:r w:rsidRPr="00BD3B77">
        <w:t>1673 and 1674</w:t>
      </w:r>
      <w:r>
        <w:t>,</w:t>
      </w:r>
      <w:r w:rsidRPr="00BD3B77">
        <w:t xml:space="preserve"> F171 Kettleshulme</w:t>
      </w:r>
      <w:r w:rsidR="00A35052">
        <w:t>.</w:t>
      </w:r>
    </w:p>
  </w:footnote>
  <w:footnote w:id="619">
    <w:p w14:paraId="09E4C0F9" w14:textId="599ECDF9" w:rsidR="00302D44" w:rsidRDefault="00302D44" w:rsidP="00302D44">
      <w:pPr>
        <w:pStyle w:val="FootnoteText"/>
      </w:pPr>
      <w:r>
        <w:rPr>
          <w:rStyle w:val="FootnoteReference"/>
        </w:rPr>
        <w:footnoteRef/>
      </w:r>
      <w:r>
        <w:t xml:space="preserve"> </w:t>
      </w:r>
      <w:r w:rsidRPr="00431DF5">
        <w:rPr>
          <w:lang w:val="en-US"/>
        </w:rPr>
        <w:t xml:space="preserve">Karen O’Brien, ‘Companions of heart and hearth: hardship and the changing structure of the family in early modern English townships’, </w:t>
      </w:r>
      <w:r w:rsidRPr="00431DF5">
        <w:rPr>
          <w:i/>
          <w:iCs/>
          <w:lang w:val="en-US"/>
        </w:rPr>
        <w:t xml:space="preserve">Journal of Family History, </w:t>
      </w:r>
      <w:r w:rsidRPr="00431DF5">
        <w:rPr>
          <w:lang w:val="en-US"/>
        </w:rPr>
        <w:t>Vol. 39, No. 3, (2014), pp.183-203</w:t>
      </w:r>
      <w:r>
        <w:rPr>
          <w:lang w:val="en-US"/>
        </w:rPr>
        <w:t>, p.186</w:t>
      </w:r>
      <w:r w:rsidR="00A35052">
        <w:rPr>
          <w:lang w:val="en-US"/>
        </w:rPr>
        <w:t>.</w:t>
      </w:r>
    </w:p>
  </w:footnote>
  <w:footnote w:id="620">
    <w:p w14:paraId="27CBC7C2" w14:textId="3C50AE50" w:rsidR="00302D44" w:rsidRPr="006C564A" w:rsidRDefault="00302D44" w:rsidP="00302D44">
      <w:pPr>
        <w:pStyle w:val="FootnoteText"/>
      </w:pPr>
      <w:r w:rsidRPr="006C564A">
        <w:rPr>
          <w:rStyle w:val="FootnoteReference"/>
        </w:rPr>
        <w:footnoteRef/>
      </w:r>
      <w:r w:rsidRPr="006C564A">
        <w:t xml:space="preserve"> </w:t>
      </w:r>
      <w:r>
        <w:t xml:space="preserve">Will of George Brocklehurst of Kettleshulme, yeoman, 1748, </w:t>
      </w:r>
      <w:r w:rsidRPr="00E95224">
        <w:rPr>
          <w:lang w:val="en-US"/>
        </w:rPr>
        <w:t>consulted with the permission of Sue Matthewson at Gap House on 20 February 2020</w:t>
      </w:r>
      <w:r w:rsidR="00A35052">
        <w:rPr>
          <w:lang w:val="en-US"/>
        </w:rPr>
        <w:t>.</w:t>
      </w:r>
    </w:p>
  </w:footnote>
  <w:footnote w:id="621">
    <w:p w14:paraId="4FBB12E6" w14:textId="77777777" w:rsidR="00302D44" w:rsidRDefault="00302D44" w:rsidP="00302D44">
      <w:pPr>
        <w:pStyle w:val="FootnoteText"/>
      </w:pPr>
      <w:r>
        <w:rPr>
          <w:rStyle w:val="FootnoteReference"/>
        </w:rPr>
        <w:footnoteRef/>
      </w:r>
      <w:r>
        <w:t xml:space="preserve"> A later note on the will states that it was ‘never proved’ and copies appear to be absent from county archives, suggesting it did not pass through the courts.</w:t>
      </w:r>
    </w:p>
  </w:footnote>
  <w:footnote w:id="622">
    <w:p w14:paraId="56D0EEF3" w14:textId="77777777" w:rsidR="00302D44" w:rsidRPr="007F4653" w:rsidRDefault="00302D44" w:rsidP="00302D44">
      <w:pPr>
        <w:pStyle w:val="FootnoteText"/>
        <w:rPr>
          <w:lang w:val="en-US"/>
        </w:rPr>
      </w:pPr>
      <w:r>
        <w:rPr>
          <w:rStyle w:val="FootnoteReference"/>
        </w:rPr>
        <w:footnoteRef/>
      </w:r>
      <w:r>
        <w:t xml:space="preserve"> Mary Crozier, </w:t>
      </w:r>
      <w:r>
        <w:rPr>
          <w:i/>
          <w:iCs/>
        </w:rPr>
        <w:t xml:space="preserve">An Old Silk Family, 1745-1945: The Brocklehursts of Brocklehurst-Whiston Amalgamated Limited, </w:t>
      </w:r>
      <w:r>
        <w:t xml:space="preserve">(Aberdeen, 1947), p.10. </w:t>
      </w:r>
      <w:r w:rsidRPr="007F4653">
        <w:rPr>
          <w:lang w:val="en-US"/>
        </w:rPr>
        <w:t>Crozier’s primary interest is the</w:t>
      </w:r>
      <w:r>
        <w:rPr>
          <w:lang w:val="en-US"/>
        </w:rPr>
        <w:t xml:space="preserve"> branch of the</w:t>
      </w:r>
      <w:r w:rsidRPr="007F4653">
        <w:rPr>
          <w:lang w:val="en-US"/>
        </w:rPr>
        <w:t xml:space="preserve"> Brocklehurst family involved in the Macclesfield silk industry. The family tree loosely elucidated by her</w:t>
      </w:r>
      <w:r>
        <w:rPr>
          <w:lang w:val="en-US"/>
        </w:rPr>
        <w:t xml:space="preserve"> on (pp.10-13)</w:t>
      </w:r>
      <w:r w:rsidRPr="007F4653">
        <w:rPr>
          <w:lang w:val="en-US"/>
        </w:rPr>
        <w:t xml:space="preserve"> appears to conflict with parish register entries and wills explicitly mentioning the Gap House estate, and as her sources are not cited and her steps cannot be retraced, the ongoing discussion does not engage </w:t>
      </w:r>
      <w:r>
        <w:rPr>
          <w:lang w:val="en-US"/>
        </w:rPr>
        <w:t xml:space="preserve">directly </w:t>
      </w:r>
      <w:r w:rsidRPr="007F4653">
        <w:rPr>
          <w:lang w:val="en-US"/>
        </w:rPr>
        <w:t>with her work</w:t>
      </w:r>
      <w:r>
        <w:rPr>
          <w:lang w:val="en-US"/>
        </w:rPr>
        <w:t>.</w:t>
      </w:r>
    </w:p>
  </w:footnote>
  <w:footnote w:id="623">
    <w:p w14:paraId="286BC19C" w14:textId="07DD9D17" w:rsidR="00302D44" w:rsidRDefault="00302D44" w:rsidP="00302D44">
      <w:pPr>
        <w:pStyle w:val="FootnoteText"/>
      </w:pPr>
      <w:r>
        <w:rPr>
          <w:rStyle w:val="FootnoteReference"/>
        </w:rPr>
        <w:footnoteRef/>
      </w:r>
      <w:r>
        <w:t xml:space="preserve"> Ibid.</w:t>
      </w:r>
    </w:p>
  </w:footnote>
  <w:footnote w:id="624">
    <w:p w14:paraId="48EF55A3" w14:textId="7E3BF944" w:rsidR="00302D44" w:rsidRDefault="00302D44" w:rsidP="00302D44">
      <w:pPr>
        <w:pStyle w:val="FootnoteText"/>
      </w:pPr>
      <w:r>
        <w:rPr>
          <w:rStyle w:val="FootnoteReference"/>
        </w:rPr>
        <w:footnoteRef/>
      </w:r>
      <w:r>
        <w:t xml:space="preserve"> Surrender of land in Kettleshulme to George Brocklehurst, 7 April 1623, </w:t>
      </w:r>
      <w:r w:rsidRPr="00E95224">
        <w:rPr>
          <w:lang w:val="en-US"/>
        </w:rPr>
        <w:t>consulted with the permission of Sue Matthewson at Gap House on 20 February 2020</w:t>
      </w:r>
      <w:r>
        <w:t xml:space="preserve">; Memorandum, 24 November 1612, </w:t>
      </w:r>
      <w:r w:rsidRPr="008B7AC5">
        <w:rPr>
          <w:lang w:val="en-US"/>
        </w:rPr>
        <w:t>consulted with the permission of Sue Matthewson at Gap House on 20 February 2020</w:t>
      </w:r>
      <w:r w:rsidR="00A35052">
        <w:rPr>
          <w:lang w:val="en-US"/>
        </w:rPr>
        <w:t>.</w:t>
      </w:r>
    </w:p>
  </w:footnote>
  <w:footnote w:id="625">
    <w:p w14:paraId="20B5317F" w14:textId="5DD6AD79" w:rsidR="00302D44" w:rsidRDefault="00302D44" w:rsidP="00302D44">
      <w:pPr>
        <w:pStyle w:val="FootnoteText"/>
      </w:pPr>
      <w:r>
        <w:rPr>
          <w:rStyle w:val="FootnoteReference"/>
        </w:rPr>
        <w:footnoteRef/>
      </w:r>
      <w:r>
        <w:t xml:space="preserve"> Will of George Brocklehurst of Kettleshulme, yeoman, 1748, </w:t>
      </w:r>
      <w:r w:rsidRPr="008B7AC5">
        <w:rPr>
          <w:lang w:val="en-US"/>
        </w:rPr>
        <w:t>consulted with the permission of Sue Matthewson at Gap House on 20 February 2020</w:t>
      </w:r>
      <w:r w:rsidR="00A35052">
        <w:rPr>
          <w:lang w:val="en-US"/>
        </w:rPr>
        <w:t>.</w:t>
      </w:r>
    </w:p>
  </w:footnote>
  <w:footnote w:id="626">
    <w:p w14:paraId="6238A276" w14:textId="5B0521C6" w:rsidR="00302D44" w:rsidRDefault="00302D44" w:rsidP="00302D44">
      <w:pPr>
        <w:pStyle w:val="FootnoteText"/>
      </w:pPr>
      <w:r>
        <w:rPr>
          <w:rStyle w:val="FootnoteReference"/>
        </w:rPr>
        <w:footnoteRef/>
      </w:r>
      <w:r>
        <w:t xml:space="preserve"> </w:t>
      </w:r>
      <w:r w:rsidR="00CC6C42">
        <w:t>Ibid.</w:t>
      </w:r>
    </w:p>
  </w:footnote>
  <w:footnote w:id="627">
    <w:p w14:paraId="31BD7417" w14:textId="0FC9D9E5" w:rsidR="00302D44" w:rsidRDefault="00302D44" w:rsidP="00302D44">
      <w:pPr>
        <w:pStyle w:val="FootnoteText"/>
      </w:pPr>
      <w:r>
        <w:rPr>
          <w:rStyle w:val="FootnoteReference"/>
        </w:rPr>
        <w:footnoteRef/>
      </w:r>
      <w:r>
        <w:t xml:space="preserve"> CRO: </w:t>
      </w:r>
      <w:r w:rsidRPr="007A0A6A">
        <w:rPr>
          <w:lang w:val="en-US"/>
        </w:rPr>
        <w:t>WS 1774</w:t>
      </w:r>
      <w:r>
        <w:rPr>
          <w:lang w:val="en-US"/>
        </w:rPr>
        <w:t xml:space="preserve">, </w:t>
      </w:r>
      <w:r>
        <w:t>Will of William Brocklehurst of Kettleshulme, yeoman, 1770</w:t>
      </w:r>
      <w:r w:rsidR="00A35052">
        <w:t>.</w:t>
      </w:r>
    </w:p>
  </w:footnote>
  <w:footnote w:id="628">
    <w:p w14:paraId="4C1B6D6C" w14:textId="4DB8DEFD" w:rsidR="00302D44" w:rsidRDefault="00302D44" w:rsidP="00302D44">
      <w:pPr>
        <w:pStyle w:val="FootnoteText"/>
      </w:pPr>
      <w:r>
        <w:rPr>
          <w:rStyle w:val="FootnoteReference"/>
        </w:rPr>
        <w:footnoteRef/>
      </w:r>
      <w:r>
        <w:t xml:space="preserve"> CRO: P 287, </w:t>
      </w:r>
      <w:r w:rsidR="00C92377">
        <w:t>Parish Register of</w:t>
      </w:r>
      <w:r>
        <w:t xml:space="preserve"> St Peter’s Church, Prestbury, Marriage of George Brocklehurst and Ann Bulloch, Kettleshulme, 22 October 1771</w:t>
      </w:r>
      <w:r w:rsidR="00A35052">
        <w:t>.</w:t>
      </w:r>
    </w:p>
  </w:footnote>
  <w:footnote w:id="629">
    <w:p w14:paraId="5341A49F" w14:textId="484F5D9C" w:rsidR="00302D44" w:rsidRPr="00E64C2E" w:rsidRDefault="00302D44" w:rsidP="00302D44">
      <w:pPr>
        <w:pStyle w:val="FootnoteText"/>
      </w:pPr>
      <w:r>
        <w:rPr>
          <w:rStyle w:val="FootnoteReference"/>
        </w:rPr>
        <w:footnoteRef/>
      </w:r>
      <w:r>
        <w:t xml:space="preserve"> George Ormerod, </w:t>
      </w:r>
      <w:r>
        <w:rPr>
          <w:i/>
          <w:iCs/>
        </w:rPr>
        <w:t xml:space="preserve">The History of the County Palatine and City of Chester, Vol. 3, </w:t>
      </w:r>
      <w:r>
        <w:t xml:space="preserve">(London, 1819), p.374; John Burke, </w:t>
      </w:r>
      <w:r>
        <w:rPr>
          <w:i/>
          <w:iCs/>
        </w:rPr>
        <w:t xml:space="preserve">A Genealogical and Heraldic History of the Commoners of Great Britain and Ireland, Vol. 4, </w:t>
      </w:r>
      <w:r>
        <w:t>(London, 1838), pp.724-725</w:t>
      </w:r>
      <w:r w:rsidR="00A35052">
        <w:t>.</w:t>
      </w:r>
    </w:p>
  </w:footnote>
  <w:footnote w:id="630">
    <w:p w14:paraId="1855402E" w14:textId="27C71160" w:rsidR="00302D44" w:rsidRPr="00B33968" w:rsidRDefault="00302D44" w:rsidP="00302D44">
      <w:pPr>
        <w:pStyle w:val="FootnoteText"/>
      </w:pPr>
      <w:r>
        <w:rPr>
          <w:rStyle w:val="FootnoteReference"/>
        </w:rPr>
        <w:footnoteRef/>
      </w:r>
      <w:r>
        <w:t xml:space="preserve"> </w:t>
      </w:r>
      <w:r w:rsidRPr="009C6CD7">
        <w:t xml:space="preserve">Ormerod, </w:t>
      </w:r>
      <w:r w:rsidRPr="009C6CD7">
        <w:rPr>
          <w:i/>
          <w:iCs/>
        </w:rPr>
        <w:t xml:space="preserve">Chester, </w:t>
      </w:r>
      <w:r w:rsidRPr="009C6CD7">
        <w:t>p.374</w:t>
      </w:r>
      <w:r w:rsidR="00A35052">
        <w:t>.</w:t>
      </w:r>
    </w:p>
  </w:footnote>
  <w:footnote w:id="631">
    <w:p w14:paraId="198BE514" w14:textId="77777777" w:rsidR="00302D44" w:rsidRDefault="00302D44" w:rsidP="00302D44">
      <w:pPr>
        <w:pStyle w:val="FootnoteText"/>
      </w:pPr>
      <w:r>
        <w:rPr>
          <w:rStyle w:val="FootnoteReference"/>
        </w:rPr>
        <w:footnoteRef/>
      </w:r>
      <w:r>
        <w:t xml:space="preserve"> </w:t>
      </w:r>
      <w:r w:rsidRPr="00ED11B5">
        <w:t xml:space="preserve">Burke, </w:t>
      </w:r>
      <w:r w:rsidRPr="00ED11B5">
        <w:rPr>
          <w:i/>
          <w:iCs/>
        </w:rPr>
        <w:t xml:space="preserve">Commoners, </w:t>
      </w:r>
      <w:r w:rsidRPr="00ED11B5">
        <w:t>p.72</w:t>
      </w:r>
      <w:r>
        <w:t xml:space="preserve">5. </w:t>
      </w:r>
      <w:r w:rsidRPr="001606D1">
        <w:rPr>
          <w:lang w:val="en-US"/>
        </w:rPr>
        <w:t>Baptism records survive for some of the couple’s other children, but it has not been possible to retrace Burke’s steps and corroborate his suggestion.</w:t>
      </w:r>
    </w:p>
  </w:footnote>
  <w:footnote w:id="632">
    <w:p w14:paraId="26DFE4DE" w14:textId="274DA42E" w:rsidR="00302D44" w:rsidRPr="00A3362F" w:rsidRDefault="00302D44" w:rsidP="00302D44">
      <w:pPr>
        <w:pStyle w:val="FootnoteText"/>
        <w:rPr>
          <w:lang w:val="en-US"/>
        </w:rPr>
      </w:pPr>
      <w:r>
        <w:rPr>
          <w:rStyle w:val="FootnoteReference"/>
        </w:rPr>
        <w:footnoteRef/>
      </w:r>
      <w:r>
        <w:t xml:space="preserve"> </w:t>
      </w:r>
      <w:r>
        <w:rPr>
          <w:lang w:val="en-US"/>
        </w:rPr>
        <w:t>William and Mary’s</w:t>
      </w:r>
      <w:r w:rsidRPr="00E22F73">
        <w:rPr>
          <w:lang w:val="en-US"/>
        </w:rPr>
        <w:t xml:space="preserve"> marriage licence states 23</w:t>
      </w:r>
      <w:r w:rsidRPr="00E22F73">
        <w:rPr>
          <w:vertAlign w:val="superscript"/>
          <w:lang w:val="en-US"/>
        </w:rPr>
        <w:t>rd</w:t>
      </w:r>
      <w:r w:rsidRPr="00E22F73">
        <w:rPr>
          <w:lang w:val="en-US"/>
        </w:rPr>
        <w:t xml:space="preserve"> June, </w:t>
      </w:r>
      <w:r>
        <w:rPr>
          <w:lang w:val="en-US"/>
        </w:rPr>
        <w:t>while the couple’s marriage was solemnized on 10</w:t>
      </w:r>
      <w:r w:rsidRPr="00DC3F6D">
        <w:rPr>
          <w:vertAlign w:val="superscript"/>
          <w:lang w:val="en-US"/>
        </w:rPr>
        <w:t>th</w:t>
      </w:r>
      <w:r>
        <w:rPr>
          <w:lang w:val="en-US"/>
        </w:rPr>
        <w:t xml:space="preserve"> July: </w:t>
      </w:r>
      <w:r w:rsidRPr="00A81A61">
        <w:rPr>
          <w:lang w:val="en-US"/>
        </w:rPr>
        <w:t>CRO: ED/C/8/1, Diocese of Chester Marriage Licence Bonds and Allegations, 1669-1836, Marriage by licence of William Clowes</w:t>
      </w:r>
      <w:r>
        <w:rPr>
          <w:lang w:val="en-US"/>
        </w:rPr>
        <w:t xml:space="preserve"> of Prestbury</w:t>
      </w:r>
      <w:r w:rsidRPr="00A81A61">
        <w:rPr>
          <w:lang w:val="en-US"/>
        </w:rPr>
        <w:t xml:space="preserve"> and Mary Greene</w:t>
      </w:r>
      <w:r>
        <w:rPr>
          <w:lang w:val="en-US"/>
        </w:rPr>
        <w:t xml:space="preserve"> of Bollington</w:t>
      </w:r>
      <w:r w:rsidRPr="00A81A61">
        <w:rPr>
          <w:lang w:val="en-US"/>
        </w:rPr>
        <w:t xml:space="preserve">, </w:t>
      </w:r>
      <w:r>
        <w:rPr>
          <w:lang w:val="en-US"/>
        </w:rPr>
        <w:t xml:space="preserve">23 June 1679; </w:t>
      </w:r>
      <w:r w:rsidRPr="007A32CB">
        <w:rPr>
          <w:lang w:val="en-US"/>
        </w:rPr>
        <w:t xml:space="preserve">CRO: P 287, </w:t>
      </w:r>
      <w:r w:rsidR="00C92377">
        <w:rPr>
          <w:lang w:val="en-US"/>
        </w:rPr>
        <w:t>Parish Register of</w:t>
      </w:r>
      <w:r w:rsidRPr="007A32CB">
        <w:rPr>
          <w:lang w:val="en-US"/>
        </w:rPr>
        <w:t xml:space="preserve"> St Peter’s Church, Prestbury,</w:t>
      </w:r>
      <w:r>
        <w:rPr>
          <w:lang w:val="en-US"/>
        </w:rPr>
        <w:t xml:space="preserve"> </w:t>
      </w:r>
      <w:r w:rsidRPr="0027136D">
        <w:rPr>
          <w:lang w:val="en-US"/>
        </w:rPr>
        <w:t xml:space="preserve">Marriage of William </w:t>
      </w:r>
      <w:proofErr w:type="spellStart"/>
      <w:r w:rsidRPr="0027136D">
        <w:rPr>
          <w:lang w:val="en-US"/>
        </w:rPr>
        <w:t>Cloues</w:t>
      </w:r>
      <w:proofErr w:type="spellEnd"/>
      <w:r w:rsidRPr="0027136D">
        <w:rPr>
          <w:lang w:val="en-US"/>
        </w:rPr>
        <w:t xml:space="preserve"> and Mary Greene, Sutton</w:t>
      </w:r>
      <w:r>
        <w:rPr>
          <w:lang w:val="en-US"/>
        </w:rPr>
        <w:t xml:space="preserve">, </w:t>
      </w:r>
      <w:r w:rsidRPr="0027136D">
        <w:rPr>
          <w:lang w:val="en-US"/>
        </w:rPr>
        <w:t>10 July 1679</w:t>
      </w:r>
      <w:r>
        <w:rPr>
          <w:lang w:val="en-US"/>
        </w:rPr>
        <w:t>.</w:t>
      </w:r>
    </w:p>
  </w:footnote>
  <w:footnote w:id="633">
    <w:p w14:paraId="765BDFC1" w14:textId="1AF25257" w:rsidR="00302D44" w:rsidRPr="006026E8" w:rsidRDefault="00302D44" w:rsidP="00302D44">
      <w:pPr>
        <w:pStyle w:val="FootnoteText"/>
      </w:pPr>
      <w:r>
        <w:rPr>
          <w:rStyle w:val="FootnoteReference"/>
        </w:rPr>
        <w:footnoteRef/>
      </w:r>
      <w:r>
        <w:t xml:space="preserve"> Burke, </w:t>
      </w:r>
      <w:r>
        <w:rPr>
          <w:i/>
          <w:iCs/>
        </w:rPr>
        <w:t xml:space="preserve">Commoners, </w:t>
      </w:r>
      <w:r>
        <w:t>p.725</w:t>
      </w:r>
      <w:r w:rsidR="00A35052">
        <w:t>.</w:t>
      </w:r>
    </w:p>
  </w:footnote>
  <w:footnote w:id="634">
    <w:p w14:paraId="3DA3D76A" w14:textId="3B81DD10" w:rsidR="00302D44" w:rsidRDefault="00302D44" w:rsidP="00302D44">
      <w:pPr>
        <w:pStyle w:val="FootnoteText"/>
      </w:pPr>
      <w:r>
        <w:rPr>
          <w:rStyle w:val="FootnoteReference"/>
        </w:rPr>
        <w:footnoteRef/>
      </w:r>
      <w:r>
        <w:t xml:space="preserve"> CRO: ED/C/8/1, Diocese of Chester Marriage Licence Bonds and Allegations, 1669-1836, </w:t>
      </w:r>
      <w:r w:rsidRPr="0093784A">
        <w:t xml:space="preserve">Marriage by licence of Thomas Greene of Bollington and Mary Watson of </w:t>
      </w:r>
      <w:proofErr w:type="spellStart"/>
      <w:r w:rsidRPr="0093784A">
        <w:t>Hurdsfield</w:t>
      </w:r>
      <w:proofErr w:type="spellEnd"/>
      <w:r w:rsidRPr="0093784A">
        <w:t>, 28 November 1670</w:t>
      </w:r>
      <w:r w:rsidR="0061313D">
        <w:t>.</w:t>
      </w:r>
    </w:p>
  </w:footnote>
  <w:footnote w:id="635">
    <w:p w14:paraId="518BD15A" w14:textId="000A7F4A" w:rsidR="00302D44" w:rsidRDefault="00302D44" w:rsidP="00302D44">
      <w:pPr>
        <w:pStyle w:val="FootnoteText"/>
      </w:pPr>
      <w:r>
        <w:rPr>
          <w:rStyle w:val="FootnoteReference"/>
        </w:rPr>
        <w:footnoteRef/>
      </w:r>
      <w:r>
        <w:t xml:space="preserve"> CRO: WS 1675, Inventory of Thomas Greene of Bollington Waters, gentleman, 1675</w:t>
      </w:r>
      <w:r w:rsidR="0061313D">
        <w:t>.</w:t>
      </w:r>
    </w:p>
  </w:footnote>
  <w:footnote w:id="636">
    <w:p w14:paraId="7BEB4D59" w14:textId="77011945" w:rsidR="00302D44" w:rsidRDefault="00302D44" w:rsidP="00302D44">
      <w:pPr>
        <w:pStyle w:val="FootnoteText"/>
      </w:pPr>
      <w:r>
        <w:rPr>
          <w:rStyle w:val="FootnoteReference"/>
        </w:rPr>
        <w:footnoteRef/>
      </w:r>
      <w:r>
        <w:t xml:space="preserve"> </w:t>
      </w:r>
      <w:r w:rsidR="00D151A9">
        <w:t>Ibid.</w:t>
      </w:r>
    </w:p>
  </w:footnote>
  <w:footnote w:id="637">
    <w:p w14:paraId="0D033F81" w14:textId="2DC1F082" w:rsidR="00302D44" w:rsidRDefault="00302D44" w:rsidP="00302D44">
      <w:pPr>
        <w:pStyle w:val="FootnoteText"/>
      </w:pPr>
      <w:r>
        <w:rPr>
          <w:rStyle w:val="FootnoteReference"/>
        </w:rPr>
        <w:footnoteRef/>
      </w:r>
      <w:r>
        <w:t xml:space="preserve"> </w:t>
      </w:r>
      <w:r w:rsidR="006C54E7" w:rsidRPr="006C54E7">
        <w:t>CRO: WS 1675,</w:t>
      </w:r>
      <w:r w:rsidR="00A750A9">
        <w:t xml:space="preserve"> Will</w:t>
      </w:r>
      <w:r w:rsidR="006C54E7" w:rsidRPr="006C54E7">
        <w:t xml:space="preserve"> of Thomas Greene of Bollington Waters, gentleman, 1675</w:t>
      </w:r>
      <w:r w:rsidR="0061313D">
        <w:t>.</w:t>
      </w:r>
    </w:p>
  </w:footnote>
  <w:footnote w:id="638">
    <w:p w14:paraId="50A7E831" w14:textId="04346EAB" w:rsidR="00302D44" w:rsidRDefault="00302D44" w:rsidP="00302D44">
      <w:pPr>
        <w:pStyle w:val="FootnoteText"/>
      </w:pPr>
      <w:r>
        <w:rPr>
          <w:rStyle w:val="FootnoteReference"/>
        </w:rPr>
        <w:footnoteRef/>
      </w:r>
      <w:r>
        <w:t xml:space="preserve"> ‘Langley Hall’, Grade II* Listed Building in Sutton, Cheshire East, List Entry No. 1139480</w:t>
      </w:r>
      <w:r w:rsidR="00E612F3">
        <w:t>,</w:t>
      </w:r>
      <w:r>
        <w:t xml:space="preserve"> [</w:t>
      </w:r>
      <w:r w:rsidRPr="002C7F17">
        <w:t>https://historicengland.org.uk/listing/the-list/list-entry/1139480?section=official-list-entry</w:t>
      </w:r>
      <w:r>
        <w:t>; accessed 20 May 2024]</w:t>
      </w:r>
      <w:r w:rsidR="0061313D">
        <w:t>.</w:t>
      </w:r>
    </w:p>
  </w:footnote>
  <w:footnote w:id="639">
    <w:p w14:paraId="54837FB5" w14:textId="6A864327" w:rsidR="00302D44" w:rsidRDefault="00302D44" w:rsidP="00302D44">
      <w:pPr>
        <w:pStyle w:val="FootnoteText"/>
      </w:pPr>
      <w:r>
        <w:rPr>
          <w:rStyle w:val="FootnoteReference"/>
        </w:rPr>
        <w:footnoteRef/>
      </w:r>
      <w:r>
        <w:t xml:space="preserve"> LA: WRW/K/R454A/29, Will of John Leaper of Over Kellet, yeoman, 1666</w:t>
      </w:r>
      <w:r w:rsidR="0061313D">
        <w:t>.</w:t>
      </w:r>
    </w:p>
  </w:footnote>
  <w:footnote w:id="640">
    <w:p w14:paraId="53C72FC6" w14:textId="0DC44227" w:rsidR="00302D44" w:rsidRDefault="00302D44" w:rsidP="00302D44">
      <w:pPr>
        <w:pStyle w:val="FootnoteText"/>
      </w:pPr>
      <w:r>
        <w:rPr>
          <w:rStyle w:val="FootnoteReference"/>
        </w:rPr>
        <w:footnoteRef/>
      </w:r>
      <w:r>
        <w:t xml:space="preserve"> Garnett, ‘Great rebuilding’, p.66</w:t>
      </w:r>
      <w:r w:rsidR="0061313D">
        <w:t>.</w:t>
      </w:r>
    </w:p>
  </w:footnote>
  <w:footnote w:id="641">
    <w:p w14:paraId="1B80A3C9" w14:textId="641F5B5B" w:rsidR="00302D44" w:rsidRDefault="00302D44" w:rsidP="00302D44">
      <w:pPr>
        <w:pStyle w:val="FootnoteText"/>
      </w:pPr>
      <w:r>
        <w:rPr>
          <w:rStyle w:val="FootnoteReference"/>
        </w:rPr>
        <w:footnoteRef/>
      </w:r>
      <w:r>
        <w:t xml:space="preserve"> </w:t>
      </w:r>
      <w:r>
        <w:rPr>
          <w:lang w:val="en-US"/>
        </w:rPr>
        <w:t>CRO:</w:t>
      </w:r>
      <w:r w:rsidRPr="00EE2067">
        <w:rPr>
          <w:lang w:val="en-US"/>
        </w:rPr>
        <w:t xml:space="preserve"> P 287, </w:t>
      </w:r>
      <w:r w:rsidR="00C92377">
        <w:rPr>
          <w:lang w:val="en-US"/>
        </w:rPr>
        <w:t>Parish Register of</w:t>
      </w:r>
      <w:r w:rsidRPr="00EE2067">
        <w:rPr>
          <w:lang w:val="en-US"/>
        </w:rPr>
        <w:t xml:space="preserve"> St Peter’s Church, Prestbury</w:t>
      </w:r>
      <w:r>
        <w:rPr>
          <w:lang w:val="en-US"/>
        </w:rPr>
        <w:t>,</w:t>
      </w:r>
      <w:r w:rsidRPr="00EE2067">
        <w:rPr>
          <w:lang w:val="en-US"/>
        </w:rPr>
        <w:t xml:space="preserve"> </w:t>
      </w:r>
      <w:r>
        <w:t>Baptism of Catherine Clowes, 16 June 1680</w:t>
      </w:r>
    </w:p>
  </w:footnote>
  <w:footnote w:id="642">
    <w:p w14:paraId="31181C3B" w14:textId="7819B867" w:rsidR="00302D44" w:rsidRPr="005474ED" w:rsidRDefault="00302D44" w:rsidP="00302D44">
      <w:pPr>
        <w:pStyle w:val="FootnoteText"/>
      </w:pPr>
      <w:r>
        <w:rPr>
          <w:rStyle w:val="FootnoteReference"/>
        </w:rPr>
        <w:footnoteRef/>
      </w:r>
      <w:r>
        <w:t xml:space="preserve"> Burke, </w:t>
      </w:r>
      <w:r>
        <w:rPr>
          <w:i/>
          <w:iCs/>
        </w:rPr>
        <w:t xml:space="preserve">Commoners, </w:t>
      </w:r>
      <w:r>
        <w:t>p.725</w:t>
      </w:r>
      <w:r w:rsidR="0061313D">
        <w:t>.</w:t>
      </w:r>
    </w:p>
  </w:footnote>
  <w:footnote w:id="643">
    <w:p w14:paraId="04FFBE7B" w14:textId="0F08AE6C" w:rsidR="00302D44" w:rsidRDefault="00302D44" w:rsidP="00302D44">
      <w:pPr>
        <w:pStyle w:val="FootnoteText"/>
      </w:pPr>
      <w:r>
        <w:rPr>
          <w:rStyle w:val="FootnoteReference"/>
        </w:rPr>
        <w:footnoteRef/>
      </w:r>
      <w:r>
        <w:t xml:space="preserve"> CRO: P 85, </w:t>
      </w:r>
      <w:r w:rsidR="00C92377">
        <w:t>Parish Register of</w:t>
      </w:r>
      <w:r>
        <w:t xml:space="preserve"> St Michael and All Angels Church, Macclesfield, </w:t>
      </w:r>
      <w:r w:rsidRPr="005A03B5">
        <w:rPr>
          <w:lang w:val="en-US"/>
        </w:rPr>
        <w:t>Burial of William Clowes, 1 July 1693</w:t>
      </w:r>
      <w:r>
        <w:rPr>
          <w:lang w:val="en-US"/>
        </w:rPr>
        <w:t xml:space="preserve">. The burial entry has been translated here, originally rendered in Latin as the burial of </w:t>
      </w:r>
      <w:r w:rsidRPr="004A58BE">
        <w:rPr>
          <w:lang w:val="en-US"/>
        </w:rPr>
        <w:t xml:space="preserve">‘Gulielmus filius </w:t>
      </w:r>
      <w:proofErr w:type="spellStart"/>
      <w:r w:rsidRPr="004A58BE">
        <w:rPr>
          <w:lang w:val="en-US"/>
        </w:rPr>
        <w:t>Gulielmi</w:t>
      </w:r>
      <w:proofErr w:type="spellEnd"/>
      <w:r w:rsidRPr="004A58BE">
        <w:rPr>
          <w:lang w:val="en-US"/>
        </w:rPr>
        <w:t xml:space="preserve"> Clowes de Langley’</w:t>
      </w:r>
      <w:r>
        <w:rPr>
          <w:lang w:val="en-US"/>
        </w:rPr>
        <w:t>.</w:t>
      </w:r>
    </w:p>
  </w:footnote>
  <w:footnote w:id="644">
    <w:p w14:paraId="623B2D41" w14:textId="3BCB0F60" w:rsidR="00302D44" w:rsidRDefault="00302D44" w:rsidP="00302D44">
      <w:pPr>
        <w:pStyle w:val="FootnoteText"/>
      </w:pPr>
      <w:r>
        <w:rPr>
          <w:rStyle w:val="FootnoteReference"/>
        </w:rPr>
        <w:footnoteRef/>
      </w:r>
      <w:r>
        <w:t xml:space="preserve"> </w:t>
      </w:r>
      <w:r>
        <w:rPr>
          <w:lang w:val="en-US"/>
        </w:rPr>
        <w:t>CRO:</w:t>
      </w:r>
      <w:r w:rsidRPr="00ED2082">
        <w:rPr>
          <w:lang w:val="en-US"/>
        </w:rPr>
        <w:t xml:space="preserve"> P 85, </w:t>
      </w:r>
      <w:r w:rsidR="00C92377">
        <w:rPr>
          <w:lang w:val="en-US"/>
        </w:rPr>
        <w:t>Parish Register of</w:t>
      </w:r>
      <w:r w:rsidRPr="00ED2082">
        <w:rPr>
          <w:lang w:val="en-US"/>
        </w:rPr>
        <w:t xml:space="preserve"> St Michael and All Angels</w:t>
      </w:r>
      <w:r>
        <w:rPr>
          <w:lang w:val="en-US"/>
        </w:rPr>
        <w:t xml:space="preserve"> Church</w:t>
      </w:r>
      <w:r w:rsidRPr="00ED2082">
        <w:rPr>
          <w:lang w:val="en-US"/>
        </w:rPr>
        <w:t>, Macclesfield</w:t>
      </w:r>
      <w:r>
        <w:rPr>
          <w:lang w:val="en-US"/>
        </w:rPr>
        <w:t>,</w:t>
      </w:r>
      <w:r w:rsidRPr="00ED2082">
        <w:rPr>
          <w:lang w:val="en-US"/>
        </w:rPr>
        <w:t xml:space="preserve"> </w:t>
      </w:r>
      <w:r w:rsidRPr="00125D2C">
        <w:rPr>
          <w:lang w:val="en-US"/>
        </w:rPr>
        <w:t xml:space="preserve">Burial of Catherina Clowes, 7 April 1693; </w:t>
      </w:r>
      <w:r>
        <w:rPr>
          <w:lang w:val="en-US"/>
        </w:rPr>
        <w:t>CRO:</w:t>
      </w:r>
      <w:r w:rsidRPr="00ED2082">
        <w:rPr>
          <w:lang w:val="en-US"/>
        </w:rPr>
        <w:t xml:space="preserve"> P 85, </w:t>
      </w:r>
      <w:r w:rsidR="00C92377">
        <w:rPr>
          <w:lang w:val="en-US"/>
        </w:rPr>
        <w:t>Parish Register of</w:t>
      </w:r>
      <w:r w:rsidRPr="00ED2082">
        <w:rPr>
          <w:lang w:val="en-US"/>
        </w:rPr>
        <w:t xml:space="preserve"> St Michael and All Angels</w:t>
      </w:r>
      <w:r>
        <w:rPr>
          <w:lang w:val="en-US"/>
        </w:rPr>
        <w:t xml:space="preserve"> Church</w:t>
      </w:r>
      <w:r w:rsidRPr="00ED2082">
        <w:rPr>
          <w:lang w:val="en-US"/>
        </w:rPr>
        <w:t>, Macclesfield</w:t>
      </w:r>
      <w:r>
        <w:rPr>
          <w:lang w:val="en-US"/>
        </w:rPr>
        <w:t>,</w:t>
      </w:r>
      <w:r w:rsidRPr="00ED2082">
        <w:rPr>
          <w:lang w:val="en-US"/>
        </w:rPr>
        <w:t xml:space="preserve"> </w:t>
      </w:r>
      <w:r w:rsidRPr="00125D2C">
        <w:rPr>
          <w:lang w:val="en-US"/>
        </w:rPr>
        <w:t>Burial of Gulielmus Clough, 8 November 1693</w:t>
      </w:r>
      <w:r w:rsidR="0061313D">
        <w:rPr>
          <w:lang w:val="en-US"/>
        </w:rPr>
        <w:t>.</w:t>
      </w:r>
    </w:p>
  </w:footnote>
  <w:footnote w:id="645">
    <w:p w14:paraId="1343F5C6" w14:textId="3D2A9A06" w:rsidR="00302D44" w:rsidRDefault="00302D44" w:rsidP="00302D44">
      <w:pPr>
        <w:pStyle w:val="FootnoteText"/>
      </w:pPr>
      <w:r>
        <w:rPr>
          <w:rStyle w:val="FootnoteReference"/>
        </w:rPr>
        <w:footnoteRef/>
      </w:r>
      <w:r>
        <w:t xml:space="preserve"> </w:t>
      </w:r>
      <w:r>
        <w:rPr>
          <w:lang w:val="en-US"/>
        </w:rPr>
        <w:t>CRO:</w:t>
      </w:r>
      <w:r w:rsidRPr="006D5B89">
        <w:rPr>
          <w:lang w:val="en-US"/>
        </w:rPr>
        <w:t xml:space="preserve"> P 85, </w:t>
      </w:r>
      <w:r w:rsidR="00C92377">
        <w:rPr>
          <w:lang w:val="en-US"/>
        </w:rPr>
        <w:t>Parish Register of</w:t>
      </w:r>
      <w:r w:rsidRPr="006D5B89">
        <w:rPr>
          <w:lang w:val="en-US"/>
        </w:rPr>
        <w:t xml:space="preserve"> St Michael and All Angels</w:t>
      </w:r>
      <w:r>
        <w:rPr>
          <w:lang w:val="en-US"/>
        </w:rPr>
        <w:t xml:space="preserve"> Church</w:t>
      </w:r>
      <w:r w:rsidRPr="006D5B89">
        <w:rPr>
          <w:lang w:val="en-US"/>
        </w:rPr>
        <w:t>, Macclesfield, Burial of William Clowes, 1 July 1693</w:t>
      </w:r>
      <w:r w:rsidR="0061313D">
        <w:rPr>
          <w:lang w:val="en-US"/>
        </w:rPr>
        <w:t>.</w:t>
      </w:r>
    </w:p>
  </w:footnote>
  <w:footnote w:id="646">
    <w:p w14:paraId="31387AA2" w14:textId="2663B970" w:rsidR="00302D44" w:rsidRPr="006051D2" w:rsidRDefault="00302D44" w:rsidP="00302D44">
      <w:pPr>
        <w:pStyle w:val="FootnoteText"/>
        <w:rPr>
          <w:i/>
          <w:iCs/>
        </w:rPr>
      </w:pPr>
      <w:r>
        <w:rPr>
          <w:rStyle w:val="FootnoteReference"/>
        </w:rPr>
        <w:footnoteRef/>
      </w:r>
      <w:r>
        <w:t xml:space="preserve"> ‘</w:t>
      </w:r>
      <w:r w:rsidRPr="006051D2">
        <w:rPr>
          <w:lang w:val="en-US"/>
        </w:rPr>
        <w:t>Langley Hall’, Grade II* Listed Building in Sutton, Cheshire East, List Entry No. 1139480 [https://historicengland.org.uk/listing/the-list/list-entry/1139480?section=official-list-entry; accessed 20 May 2024]</w:t>
      </w:r>
      <w:r w:rsidR="0061313D">
        <w:rPr>
          <w:lang w:val="en-US"/>
        </w:rPr>
        <w:t>.</w:t>
      </w:r>
    </w:p>
  </w:footnote>
  <w:footnote w:id="647">
    <w:p w14:paraId="5EC55A30" w14:textId="247EF6FA" w:rsidR="00302D44" w:rsidRDefault="00302D44" w:rsidP="00302D44">
      <w:pPr>
        <w:pStyle w:val="FootnoteText"/>
      </w:pPr>
      <w:r>
        <w:rPr>
          <w:rStyle w:val="FootnoteReference"/>
        </w:rPr>
        <w:footnoteRef/>
      </w:r>
      <w:r>
        <w:t xml:space="preserve"> </w:t>
      </w:r>
      <w:r w:rsidRPr="00C94EB4">
        <w:rPr>
          <w:lang w:val="en-US"/>
        </w:rPr>
        <w:t xml:space="preserve">CRO: ED/C/8/1, Diocese of Chester Marriage Licence Bonds and Allegations, 1669-1836, </w:t>
      </w:r>
      <w:r w:rsidRPr="00C94EB4">
        <w:t xml:space="preserve">Marriage by licence of Roger Brooke of Prestbury and Ellen Hammond of </w:t>
      </w:r>
      <w:proofErr w:type="spellStart"/>
      <w:r w:rsidRPr="00C94EB4">
        <w:t>Gawsworth</w:t>
      </w:r>
      <w:proofErr w:type="spellEnd"/>
      <w:r w:rsidRPr="00C94EB4">
        <w:t>, 20</w:t>
      </w:r>
      <w:r w:rsidRPr="00C94EB4">
        <w:rPr>
          <w:vertAlign w:val="superscript"/>
        </w:rPr>
        <w:t xml:space="preserve"> </w:t>
      </w:r>
      <w:r w:rsidRPr="00C94EB4">
        <w:t>August 1685</w:t>
      </w:r>
      <w:r w:rsidR="0061313D">
        <w:t>.</w:t>
      </w:r>
    </w:p>
  </w:footnote>
  <w:footnote w:id="648">
    <w:p w14:paraId="5421CC43" w14:textId="5ACDCEAF" w:rsidR="00302D44" w:rsidRDefault="00302D44" w:rsidP="00302D44">
      <w:pPr>
        <w:pStyle w:val="FootnoteText"/>
      </w:pPr>
      <w:r>
        <w:rPr>
          <w:rStyle w:val="FootnoteReference"/>
        </w:rPr>
        <w:footnoteRef/>
      </w:r>
      <w:r>
        <w:t xml:space="preserve"> </w:t>
      </w:r>
      <w:r w:rsidRPr="00970F03">
        <w:rPr>
          <w:lang w:val="en-US"/>
        </w:rPr>
        <w:t>Newton, ‘Clandestine’, p.153</w:t>
      </w:r>
      <w:r w:rsidR="0061313D">
        <w:rPr>
          <w:lang w:val="en-US"/>
        </w:rPr>
        <w:t>.</w:t>
      </w:r>
    </w:p>
  </w:footnote>
  <w:footnote w:id="649">
    <w:p w14:paraId="2FA6049A" w14:textId="35D5A1C6" w:rsidR="00302D44" w:rsidRDefault="00302D44" w:rsidP="00302D44">
      <w:pPr>
        <w:pStyle w:val="FootnoteText"/>
      </w:pPr>
      <w:r>
        <w:rPr>
          <w:rStyle w:val="FootnoteReference"/>
        </w:rPr>
        <w:footnoteRef/>
      </w:r>
      <w:r>
        <w:t xml:space="preserve"> </w:t>
      </w:r>
      <w:r w:rsidRPr="00D273E1">
        <w:rPr>
          <w:lang w:val="en-US"/>
        </w:rPr>
        <w:t xml:space="preserve">Adlington Estate </w:t>
      </w:r>
      <w:r>
        <w:rPr>
          <w:lang w:val="en-US"/>
        </w:rPr>
        <w:t xml:space="preserve">Archive </w:t>
      </w:r>
      <w:r w:rsidRPr="00D273E1">
        <w:rPr>
          <w:lang w:val="en-US"/>
        </w:rPr>
        <w:t>(hereafter AE</w:t>
      </w:r>
      <w:r>
        <w:rPr>
          <w:lang w:val="en-US"/>
        </w:rPr>
        <w:t>A</w:t>
      </w:r>
      <w:r w:rsidRPr="00D273E1">
        <w:rPr>
          <w:lang w:val="en-US"/>
        </w:rPr>
        <w:t xml:space="preserve">): </w:t>
      </w:r>
      <w:r>
        <w:t>DLA 26/17, Lease between Thomas Legh of Adlington, esquire, and Roger Brooke of Butley, slater, 10 March 1685</w:t>
      </w:r>
      <w:r w:rsidR="0061313D">
        <w:t>.</w:t>
      </w:r>
    </w:p>
  </w:footnote>
  <w:footnote w:id="650">
    <w:p w14:paraId="0F0B4EC2" w14:textId="5FABF14F" w:rsidR="00302D44" w:rsidRDefault="00302D44" w:rsidP="00302D44">
      <w:pPr>
        <w:pStyle w:val="FootnoteText"/>
      </w:pPr>
      <w:r>
        <w:rPr>
          <w:rStyle w:val="FootnoteReference"/>
        </w:rPr>
        <w:footnoteRef/>
      </w:r>
      <w:r>
        <w:t xml:space="preserve"> </w:t>
      </w:r>
      <w:r w:rsidRPr="00E534A3">
        <w:t xml:space="preserve">John Addy, </w:t>
      </w:r>
      <w:r w:rsidRPr="00E534A3">
        <w:rPr>
          <w:i/>
          <w:iCs/>
        </w:rPr>
        <w:t xml:space="preserve">Sin &amp; Society in the Seventeenth Century, </w:t>
      </w:r>
      <w:r w:rsidRPr="00E534A3">
        <w:t>(Abingdon, 1989)</w:t>
      </w:r>
      <w:r>
        <w:t>, pp.170-176</w:t>
      </w:r>
      <w:r w:rsidR="0061313D">
        <w:t>.</w:t>
      </w:r>
    </w:p>
  </w:footnote>
  <w:footnote w:id="651">
    <w:p w14:paraId="3FD90E8A" w14:textId="4CA69748" w:rsidR="00302D44" w:rsidRDefault="00302D44" w:rsidP="00302D44">
      <w:pPr>
        <w:pStyle w:val="FootnoteText"/>
      </w:pPr>
      <w:r>
        <w:rPr>
          <w:rStyle w:val="FootnoteReference"/>
        </w:rPr>
        <w:footnoteRef/>
      </w:r>
      <w:r>
        <w:t xml:space="preserve"> Ibid.</w:t>
      </w:r>
    </w:p>
  </w:footnote>
  <w:footnote w:id="652">
    <w:p w14:paraId="050FA877" w14:textId="62554F5F" w:rsidR="00302D44" w:rsidRPr="005F3429" w:rsidRDefault="00302D44" w:rsidP="00302D44">
      <w:pPr>
        <w:pStyle w:val="FootnoteText"/>
      </w:pPr>
      <w:r>
        <w:rPr>
          <w:rStyle w:val="FootnoteReference"/>
        </w:rPr>
        <w:footnoteRef/>
      </w:r>
      <w:r>
        <w:t xml:space="preserve"> Ibid.</w:t>
      </w:r>
      <w:r>
        <w:rPr>
          <w:i/>
          <w:iCs/>
        </w:rPr>
        <w:t xml:space="preserve">, </w:t>
      </w:r>
      <w:r>
        <w:t>p.170</w:t>
      </w:r>
      <w:r w:rsidR="0061313D">
        <w:t>.</w:t>
      </w:r>
    </w:p>
  </w:footnote>
  <w:footnote w:id="653">
    <w:p w14:paraId="44BE9906" w14:textId="7DD2CA06" w:rsidR="00302D44" w:rsidRDefault="00302D44" w:rsidP="00302D44">
      <w:pPr>
        <w:pStyle w:val="FootnoteText"/>
      </w:pPr>
      <w:r>
        <w:rPr>
          <w:rStyle w:val="FootnoteReference"/>
        </w:rPr>
        <w:footnoteRef/>
      </w:r>
      <w:r>
        <w:t xml:space="preserve"> </w:t>
      </w:r>
      <w:r>
        <w:rPr>
          <w:lang w:val="en-US"/>
        </w:rPr>
        <w:t>CRO:</w:t>
      </w:r>
      <w:r w:rsidRPr="00FC22E3">
        <w:rPr>
          <w:lang w:val="en-US"/>
        </w:rPr>
        <w:t xml:space="preserve"> P 287, </w:t>
      </w:r>
      <w:r w:rsidR="00C92377">
        <w:rPr>
          <w:lang w:val="en-US"/>
        </w:rPr>
        <w:t>Parish Register of</w:t>
      </w:r>
      <w:r w:rsidRPr="00FC22E3">
        <w:rPr>
          <w:lang w:val="en-US"/>
        </w:rPr>
        <w:t xml:space="preserve"> St Peter’s Church, Prestbury, </w:t>
      </w:r>
      <w:r>
        <w:t>Burial of Roger Brooke of Butley, 9 February 1683; CRO: WS 1684, Inventory of Roger Brookes of Butley, occupation N/A, 1683</w:t>
      </w:r>
      <w:r w:rsidR="0061313D">
        <w:t>.</w:t>
      </w:r>
    </w:p>
  </w:footnote>
  <w:footnote w:id="654">
    <w:p w14:paraId="5F015312" w14:textId="43792C0E" w:rsidR="00302D44" w:rsidRDefault="00302D44" w:rsidP="00302D44">
      <w:pPr>
        <w:pStyle w:val="FootnoteText"/>
      </w:pPr>
      <w:r>
        <w:rPr>
          <w:rStyle w:val="FootnoteReference"/>
        </w:rPr>
        <w:footnoteRef/>
      </w:r>
      <w:r>
        <w:t xml:space="preserve"> AEA: </w:t>
      </w:r>
      <w:r w:rsidRPr="0049781B">
        <w:rPr>
          <w:lang w:val="en-US"/>
        </w:rPr>
        <w:t>DLA 26/17, Lease between Thomas Legh of Adlington, esquire, and Roger Brooke of Butley, slater, 10 March 1685</w:t>
      </w:r>
      <w:r w:rsidR="0061313D">
        <w:rPr>
          <w:lang w:val="en-US"/>
        </w:rPr>
        <w:t>.</w:t>
      </w:r>
    </w:p>
  </w:footnote>
  <w:footnote w:id="655">
    <w:p w14:paraId="50DCB5DA" w14:textId="1B9BCFA2" w:rsidR="00302D44" w:rsidRDefault="00302D44" w:rsidP="00302D44">
      <w:pPr>
        <w:pStyle w:val="FootnoteText"/>
      </w:pPr>
      <w:r>
        <w:rPr>
          <w:rStyle w:val="FootnoteReference"/>
        </w:rPr>
        <w:footnoteRef/>
      </w:r>
      <w:r>
        <w:t xml:space="preserve"> </w:t>
      </w:r>
      <w:r>
        <w:rPr>
          <w:lang w:val="en-US"/>
        </w:rPr>
        <w:t>AEA:</w:t>
      </w:r>
      <w:r w:rsidRPr="00C07852">
        <w:rPr>
          <w:lang w:val="en-US"/>
        </w:rPr>
        <w:t xml:space="preserve"> DLA 71/28/8, Grant between Roger Brooke of Butley, slater and Henry Johnson of Broken Cross, Macclesfield, silk twister, 3 February 1687</w:t>
      </w:r>
      <w:r w:rsidR="0061313D">
        <w:rPr>
          <w:lang w:val="en-US"/>
        </w:rPr>
        <w:t>.</w:t>
      </w:r>
    </w:p>
  </w:footnote>
  <w:footnote w:id="656">
    <w:p w14:paraId="3E393DA5" w14:textId="6ED7BA52" w:rsidR="00302D44" w:rsidRDefault="00302D44" w:rsidP="00302D44">
      <w:pPr>
        <w:pStyle w:val="FootnoteText"/>
      </w:pPr>
      <w:r>
        <w:rPr>
          <w:rStyle w:val="FootnoteReference"/>
        </w:rPr>
        <w:footnoteRef/>
      </w:r>
      <w:r>
        <w:t xml:space="preserve"> Ibid.</w:t>
      </w:r>
    </w:p>
  </w:footnote>
  <w:footnote w:id="657">
    <w:p w14:paraId="34FEA76D" w14:textId="76648E36" w:rsidR="00302D44" w:rsidRDefault="00302D44" w:rsidP="00302D44">
      <w:pPr>
        <w:pStyle w:val="FootnoteText"/>
      </w:pPr>
      <w:r>
        <w:rPr>
          <w:rStyle w:val="FootnoteReference"/>
        </w:rPr>
        <w:footnoteRef/>
      </w:r>
      <w:r>
        <w:t xml:space="preserve"> </w:t>
      </w:r>
      <w:r w:rsidRPr="004C45C1">
        <w:rPr>
          <w:lang w:val="en-US"/>
        </w:rPr>
        <w:t>Ibid.</w:t>
      </w:r>
    </w:p>
  </w:footnote>
  <w:footnote w:id="658">
    <w:p w14:paraId="2869DB30" w14:textId="1A9D3235" w:rsidR="00302D44" w:rsidRDefault="00302D44" w:rsidP="00302D44">
      <w:pPr>
        <w:pStyle w:val="FootnoteText"/>
      </w:pPr>
      <w:r>
        <w:rPr>
          <w:rStyle w:val="FootnoteReference"/>
        </w:rPr>
        <w:footnoteRef/>
      </w:r>
      <w:r>
        <w:t xml:space="preserve"> AEA: DLA 27/27, Lease between Charles Legh of Adlington, esquire, and Robert Brooke of Butley, slater, 3 December 1740</w:t>
      </w:r>
      <w:r w:rsidR="0061313D">
        <w:t>.</w:t>
      </w:r>
    </w:p>
  </w:footnote>
  <w:footnote w:id="659">
    <w:p w14:paraId="000A8B12" w14:textId="64A02179" w:rsidR="00302D44" w:rsidRDefault="00302D44" w:rsidP="00302D44">
      <w:pPr>
        <w:pStyle w:val="FootnoteText"/>
      </w:pPr>
      <w:r>
        <w:rPr>
          <w:rStyle w:val="FootnoteReference"/>
        </w:rPr>
        <w:footnoteRef/>
      </w:r>
      <w:r>
        <w:t xml:space="preserve"> </w:t>
      </w:r>
      <w:r w:rsidRPr="00C07852">
        <w:rPr>
          <w:lang w:val="en-US"/>
        </w:rPr>
        <w:t>Ibid.</w:t>
      </w:r>
    </w:p>
  </w:footnote>
  <w:footnote w:id="660">
    <w:p w14:paraId="2F85E1B8" w14:textId="58AE9865" w:rsidR="00302D44" w:rsidRDefault="00302D44" w:rsidP="00302D44">
      <w:pPr>
        <w:pStyle w:val="FootnoteText"/>
      </w:pPr>
      <w:r>
        <w:rPr>
          <w:rStyle w:val="FootnoteReference"/>
        </w:rPr>
        <w:footnoteRef/>
      </w:r>
      <w:r>
        <w:t xml:space="preserve"> Ibid.</w:t>
      </w:r>
    </w:p>
  </w:footnote>
  <w:footnote w:id="661">
    <w:p w14:paraId="3E3121D1" w14:textId="1A9BE363" w:rsidR="00302D44" w:rsidRDefault="00302D44" w:rsidP="00302D44">
      <w:pPr>
        <w:pStyle w:val="FootnoteText"/>
      </w:pPr>
      <w:r>
        <w:rPr>
          <w:rStyle w:val="FootnoteReference"/>
        </w:rPr>
        <w:footnoteRef/>
      </w:r>
      <w:r>
        <w:t xml:space="preserve"> ‘Brooks Cottages, 1 and 2, Pearl Street’, Grade II Listed Building in Prestbury, Cheshire East, List Entry No. 1139574, [</w:t>
      </w:r>
      <w:r w:rsidRPr="00D06A05">
        <w:t>https://historicengland.org.uk/listing/the-list/list-entry/1139574?section=official-list-entry</w:t>
      </w:r>
      <w:r>
        <w:t>; accessed 26 April 2024]</w:t>
      </w:r>
      <w:r w:rsidR="0061313D">
        <w:t>.</w:t>
      </w:r>
    </w:p>
  </w:footnote>
  <w:footnote w:id="662">
    <w:p w14:paraId="7DEB2B75" w14:textId="07BFF2D4" w:rsidR="00302D44" w:rsidRDefault="00302D44" w:rsidP="00302D44">
      <w:pPr>
        <w:pStyle w:val="FootnoteText"/>
      </w:pPr>
      <w:r>
        <w:rPr>
          <w:rStyle w:val="FootnoteReference"/>
        </w:rPr>
        <w:footnoteRef/>
      </w:r>
      <w:r>
        <w:t xml:space="preserve"> </w:t>
      </w:r>
      <w:r>
        <w:rPr>
          <w:lang w:val="en-US"/>
        </w:rPr>
        <w:t>CRO:</w:t>
      </w:r>
      <w:r w:rsidRPr="00C73509">
        <w:rPr>
          <w:lang w:val="en-US"/>
        </w:rPr>
        <w:t xml:space="preserve"> P 287, </w:t>
      </w:r>
      <w:r w:rsidR="00C92377">
        <w:rPr>
          <w:lang w:val="en-US"/>
        </w:rPr>
        <w:t>Parish Register of</w:t>
      </w:r>
      <w:r w:rsidRPr="00C73509">
        <w:rPr>
          <w:lang w:val="en-US"/>
        </w:rPr>
        <w:t xml:space="preserve"> St Peter’s Church, Prestbury, </w:t>
      </w:r>
      <w:r>
        <w:t>Marriage of Thomas Crowther and Martha Jackson, 20</w:t>
      </w:r>
      <w:r w:rsidRPr="00D23832">
        <w:rPr>
          <w:vertAlign w:val="superscript"/>
        </w:rPr>
        <w:t>th</w:t>
      </w:r>
      <w:r>
        <w:t xml:space="preserve"> January 1670</w:t>
      </w:r>
      <w:r w:rsidR="0061313D">
        <w:t>.</w:t>
      </w:r>
    </w:p>
  </w:footnote>
  <w:footnote w:id="663">
    <w:p w14:paraId="41EF3438" w14:textId="26222A5D" w:rsidR="00302D44" w:rsidRDefault="00302D44" w:rsidP="00302D44">
      <w:pPr>
        <w:pStyle w:val="FootnoteText"/>
      </w:pPr>
      <w:r>
        <w:rPr>
          <w:rStyle w:val="FootnoteReference"/>
        </w:rPr>
        <w:footnoteRef/>
      </w:r>
      <w:r>
        <w:t xml:space="preserve"> AEA: </w:t>
      </w:r>
      <w:r w:rsidRPr="00652655">
        <w:rPr>
          <w:lang w:val="en-US"/>
        </w:rPr>
        <w:t xml:space="preserve">DLA 27/12, Counterpart </w:t>
      </w:r>
      <w:r>
        <w:rPr>
          <w:lang w:val="en-US"/>
        </w:rPr>
        <w:t>l</w:t>
      </w:r>
      <w:r w:rsidRPr="00652655">
        <w:rPr>
          <w:lang w:val="en-US"/>
        </w:rPr>
        <w:t xml:space="preserve">ease </w:t>
      </w:r>
      <w:r>
        <w:rPr>
          <w:lang w:val="en-US"/>
        </w:rPr>
        <w:t xml:space="preserve">between Thomas Legh of Adlington, esquire, and Thomas Crowther of </w:t>
      </w:r>
      <w:proofErr w:type="spellStart"/>
      <w:r>
        <w:rPr>
          <w:lang w:val="en-US"/>
        </w:rPr>
        <w:t>Hebridge</w:t>
      </w:r>
      <w:proofErr w:type="spellEnd"/>
      <w:r>
        <w:rPr>
          <w:lang w:val="en-US"/>
        </w:rPr>
        <w:t xml:space="preserve"> Lane within Butley, husbandman, 16 June </w:t>
      </w:r>
      <w:r w:rsidRPr="00652655">
        <w:rPr>
          <w:lang w:val="en-US"/>
        </w:rPr>
        <w:t>1671</w:t>
      </w:r>
      <w:r w:rsidR="0061313D">
        <w:rPr>
          <w:lang w:val="en-US"/>
        </w:rPr>
        <w:t>.</w:t>
      </w:r>
    </w:p>
  </w:footnote>
  <w:footnote w:id="664">
    <w:p w14:paraId="10B326FB" w14:textId="0AC58C19" w:rsidR="00302D44" w:rsidRDefault="00302D44" w:rsidP="00302D44">
      <w:pPr>
        <w:pStyle w:val="FootnoteText"/>
      </w:pPr>
      <w:r>
        <w:rPr>
          <w:rStyle w:val="FootnoteReference"/>
        </w:rPr>
        <w:footnoteRef/>
      </w:r>
      <w:r>
        <w:t xml:space="preserve"> Ibid.</w:t>
      </w:r>
    </w:p>
  </w:footnote>
  <w:footnote w:id="665">
    <w:p w14:paraId="43EB2E78" w14:textId="3B50CF01" w:rsidR="00302D44" w:rsidRDefault="00302D44" w:rsidP="00302D44">
      <w:pPr>
        <w:pStyle w:val="FootnoteText"/>
      </w:pPr>
      <w:r>
        <w:rPr>
          <w:rStyle w:val="FootnoteReference"/>
        </w:rPr>
        <w:footnoteRef/>
      </w:r>
      <w:r>
        <w:t xml:space="preserve"> Marie Crowther was born in 1606. She married Francis Crowther, Thomas’ father, in 1628, thereby keeping the same surname before and after marriage. </w:t>
      </w:r>
      <w:r>
        <w:rPr>
          <w:lang w:val="en-US"/>
        </w:rPr>
        <w:t>CRO:</w:t>
      </w:r>
      <w:r w:rsidRPr="00706869">
        <w:rPr>
          <w:lang w:val="en-US"/>
        </w:rPr>
        <w:t xml:space="preserve"> P 287, </w:t>
      </w:r>
      <w:r w:rsidR="00C92377">
        <w:rPr>
          <w:lang w:val="en-US"/>
        </w:rPr>
        <w:t>Parish Register of</w:t>
      </w:r>
      <w:r w:rsidRPr="00706869">
        <w:rPr>
          <w:lang w:val="en-US"/>
        </w:rPr>
        <w:t xml:space="preserve"> St Peter’s Church, Prestbury,</w:t>
      </w:r>
      <w:r>
        <w:t xml:space="preserve"> Baptism of Marie Crowther of Butley, 10 February 1606; </w:t>
      </w:r>
      <w:r>
        <w:rPr>
          <w:lang w:val="en-US"/>
        </w:rPr>
        <w:t>CRO:</w:t>
      </w:r>
      <w:r w:rsidRPr="00706869">
        <w:rPr>
          <w:lang w:val="en-US"/>
        </w:rPr>
        <w:t xml:space="preserve"> P 287, </w:t>
      </w:r>
      <w:r w:rsidR="00C92377">
        <w:rPr>
          <w:lang w:val="en-US"/>
        </w:rPr>
        <w:t>Parish Register of</w:t>
      </w:r>
      <w:r w:rsidRPr="00706869">
        <w:rPr>
          <w:lang w:val="en-US"/>
        </w:rPr>
        <w:t xml:space="preserve"> St Peter’s Church, Prestbury,</w:t>
      </w:r>
      <w:r>
        <w:rPr>
          <w:lang w:val="en-US"/>
        </w:rPr>
        <w:t xml:space="preserve"> </w:t>
      </w:r>
      <w:r>
        <w:t>Marriage of Francis Crowther and Mary Crowther, 28 September 1628</w:t>
      </w:r>
      <w:r w:rsidR="0061313D">
        <w:t>.</w:t>
      </w:r>
    </w:p>
  </w:footnote>
  <w:footnote w:id="666">
    <w:p w14:paraId="30628FC8" w14:textId="696F1FAF" w:rsidR="00302D44" w:rsidRDefault="00302D44" w:rsidP="00302D44">
      <w:pPr>
        <w:pStyle w:val="FootnoteText"/>
      </w:pPr>
      <w:r>
        <w:rPr>
          <w:rStyle w:val="FootnoteReference"/>
        </w:rPr>
        <w:footnoteRef/>
      </w:r>
      <w:r>
        <w:t xml:space="preserve"> </w:t>
      </w:r>
      <w:r>
        <w:rPr>
          <w:lang w:val="en-US"/>
        </w:rPr>
        <w:t>CRO:</w:t>
      </w:r>
      <w:r w:rsidRPr="00E06979">
        <w:rPr>
          <w:lang w:val="en-US"/>
        </w:rPr>
        <w:t xml:space="preserve"> P 287, </w:t>
      </w:r>
      <w:r w:rsidR="00C92377">
        <w:rPr>
          <w:lang w:val="en-US"/>
        </w:rPr>
        <w:t>Parish Register of</w:t>
      </w:r>
      <w:r w:rsidRPr="00E06979">
        <w:rPr>
          <w:lang w:val="en-US"/>
        </w:rPr>
        <w:t xml:space="preserve"> St Peter’s Church, Prestbury, </w:t>
      </w:r>
      <w:r>
        <w:t>Burial of Martha Crowther of Butley, 27 May 1697</w:t>
      </w:r>
      <w:r w:rsidR="0061313D">
        <w:t>.</w:t>
      </w:r>
    </w:p>
  </w:footnote>
  <w:footnote w:id="667">
    <w:p w14:paraId="5032AB7F" w14:textId="69D3559A" w:rsidR="00302D44" w:rsidRDefault="00302D44" w:rsidP="00302D44">
      <w:pPr>
        <w:pStyle w:val="FootnoteText"/>
      </w:pPr>
      <w:r>
        <w:rPr>
          <w:rStyle w:val="FootnoteReference"/>
        </w:rPr>
        <w:footnoteRef/>
      </w:r>
      <w:r>
        <w:t xml:space="preserve"> </w:t>
      </w:r>
      <w:r>
        <w:rPr>
          <w:lang w:val="en-US"/>
        </w:rPr>
        <w:t>CRO:</w:t>
      </w:r>
      <w:r w:rsidRPr="00706869">
        <w:rPr>
          <w:lang w:val="en-US"/>
        </w:rPr>
        <w:t xml:space="preserve"> P 287, </w:t>
      </w:r>
      <w:r w:rsidR="00C92377">
        <w:rPr>
          <w:lang w:val="en-US"/>
        </w:rPr>
        <w:t>Parish Register of</w:t>
      </w:r>
      <w:r w:rsidRPr="00706869">
        <w:rPr>
          <w:lang w:val="en-US"/>
        </w:rPr>
        <w:t xml:space="preserve"> St Peter’s Church, Prestbury, </w:t>
      </w:r>
      <w:r>
        <w:t>Burial of Francis Crowther of Butley, 10 June 1659</w:t>
      </w:r>
      <w:r w:rsidR="0061313D">
        <w:t>.</w:t>
      </w:r>
    </w:p>
  </w:footnote>
  <w:footnote w:id="668">
    <w:p w14:paraId="42E9F7AF" w14:textId="6B87E3B0" w:rsidR="00302D44" w:rsidRDefault="00302D44" w:rsidP="00302D44">
      <w:pPr>
        <w:pStyle w:val="FootnoteText"/>
      </w:pPr>
      <w:r>
        <w:rPr>
          <w:rStyle w:val="FootnoteReference"/>
        </w:rPr>
        <w:footnoteRef/>
      </w:r>
      <w:r>
        <w:t xml:space="preserve"> Christine Stevenson, ‘Occasional architecture in seventeenth-century London’, </w:t>
      </w:r>
      <w:r>
        <w:rPr>
          <w:i/>
          <w:iCs/>
        </w:rPr>
        <w:t xml:space="preserve">Architectural History, </w:t>
      </w:r>
      <w:r>
        <w:t xml:space="preserve">Vol. 49, (2006), pp.35-74, p.49; Edgar Hunt, ‘Inscriptions on harpsichords’, </w:t>
      </w:r>
      <w:r>
        <w:rPr>
          <w:i/>
          <w:iCs/>
        </w:rPr>
        <w:t xml:space="preserve">The English Harpsichord Magazine, </w:t>
      </w:r>
      <w:r>
        <w:t>Vol. 1, No. 8, (1977); George Marshall, ‘</w:t>
      </w:r>
      <w:r w:rsidRPr="005878E5">
        <w:t>Monumental Inscriptions’</w:t>
      </w:r>
      <w:r>
        <w:t xml:space="preserve">, </w:t>
      </w:r>
      <w:r>
        <w:rPr>
          <w:i/>
          <w:iCs/>
        </w:rPr>
        <w:t xml:space="preserve">East Anglian, </w:t>
      </w:r>
      <w:r>
        <w:t>Vol. 3, (1868), pp.320-339; A search for ‘</w:t>
      </w:r>
      <w:proofErr w:type="spellStart"/>
      <w:r>
        <w:t>fecit</w:t>
      </w:r>
      <w:proofErr w:type="spellEnd"/>
      <w:r>
        <w:t>’ in the catalogue of the Victoria and Albert Museum alone returns over 300 objects produced between 1500 and 1800. [</w:t>
      </w:r>
      <w:r w:rsidRPr="00D47551">
        <w:t>https://www.vam.ac.uk/collections</w:t>
      </w:r>
      <w:r>
        <w:t>; accessed 23 April 2024]</w:t>
      </w:r>
      <w:r w:rsidR="0061313D">
        <w:t>.</w:t>
      </w:r>
    </w:p>
  </w:footnote>
  <w:footnote w:id="669">
    <w:p w14:paraId="24CFD888" w14:textId="5736C29C" w:rsidR="00302D44" w:rsidRPr="001D0B30" w:rsidRDefault="00302D44" w:rsidP="00302D44">
      <w:pPr>
        <w:pStyle w:val="FootnoteText"/>
      </w:pPr>
      <w:r>
        <w:rPr>
          <w:rStyle w:val="FootnoteReference"/>
        </w:rPr>
        <w:footnoteRef/>
      </w:r>
      <w:r>
        <w:t xml:space="preserve"> Michael Clarke, ‘</w:t>
      </w:r>
      <w:proofErr w:type="spellStart"/>
      <w:r>
        <w:t>fecit</w:t>
      </w:r>
      <w:proofErr w:type="spellEnd"/>
      <w:r>
        <w:t xml:space="preserve">.’, </w:t>
      </w:r>
      <w:r>
        <w:rPr>
          <w:i/>
          <w:iCs/>
        </w:rPr>
        <w:t xml:space="preserve">The Concise Oxford Dictionary of Art Terms, </w:t>
      </w:r>
      <w:r>
        <w:t>(Oxford, 2010) [</w:t>
      </w:r>
      <w:r w:rsidRPr="008C71CF">
        <w:t>https://www-oxfordreference-com.sheffield.idm.oclc.org/view/10.1093/acref/9780199569922.001.0001/acref-9780199569922-e-706</w:t>
      </w:r>
      <w:r>
        <w:t>; accessed 23 April 2024]</w:t>
      </w:r>
      <w:r w:rsidR="0061313D">
        <w:t>.</w:t>
      </w:r>
    </w:p>
  </w:footnote>
  <w:footnote w:id="670">
    <w:p w14:paraId="54B298B8" w14:textId="6AD4B542" w:rsidR="00302D44" w:rsidRDefault="00302D44" w:rsidP="00302D44">
      <w:pPr>
        <w:pStyle w:val="FootnoteText"/>
      </w:pPr>
      <w:r>
        <w:rPr>
          <w:rStyle w:val="FootnoteReference"/>
        </w:rPr>
        <w:footnoteRef/>
      </w:r>
      <w:r>
        <w:t xml:space="preserve"> Juliet Gayton, ‘Mortgages raised by rural English copyhold tenants 1605-1735’, in Chris Briggs and Jaco Zuijderduijn (eds), </w:t>
      </w:r>
      <w:r>
        <w:rPr>
          <w:i/>
          <w:iCs/>
        </w:rPr>
        <w:t xml:space="preserve">Land and Credit: Mortgages in the Medieval and Early Modern European Countryside, </w:t>
      </w:r>
      <w:r>
        <w:t>(Cham, 2018), pp.47-80, p.48</w:t>
      </w:r>
      <w:r w:rsidR="0061313D">
        <w:t>.</w:t>
      </w:r>
    </w:p>
  </w:footnote>
  <w:footnote w:id="671">
    <w:p w14:paraId="6299B757" w14:textId="7D3A95F7" w:rsidR="00302D44" w:rsidRDefault="00302D44" w:rsidP="00302D44">
      <w:pPr>
        <w:pStyle w:val="FootnoteText"/>
      </w:pPr>
      <w:r>
        <w:rPr>
          <w:rStyle w:val="FootnoteReference"/>
        </w:rPr>
        <w:footnoteRef/>
      </w:r>
      <w:r>
        <w:t xml:space="preserve"> </w:t>
      </w:r>
      <w:r w:rsidRPr="004C2D3C">
        <w:rPr>
          <w:lang w:val="en-US"/>
        </w:rPr>
        <w:t>Ibid., p.48</w:t>
      </w:r>
      <w:r w:rsidR="0061313D">
        <w:rPr>
          <w:lang w:val="en-US"/>
        </w:rPr>
        <w:t>.</w:t>
      </w:r>
    </w:p>
  </w:footnote>
  <w:footnote w:id="672">
    <w:p w14:paraId="3E1B5F0B" w14:textId="4B9821A3" w:rsidR="00302D44" w:rsidRDefault="00302D44" w:rsidP="00302D44">
      <w:pPr>
        <w:pStyle w:val="FootnoteText"/>
      </w:pPr>
      <w:r>
        <w:rPr>
          <w:rStyle w:val="FootnoteReference"/>
        </w:rPr>
        <w:footnoteRef/>
      </w:r>
      <w:r>
        <w:t xml:space="preserve"> </w:t>
      </w:r>
      <w:r>
        <w:rPr>
          <w:lang w:val="en-US"/>
        </w:rPr>
        <w:t>CRO:</w:t>
      </w:r>
      <w:r w:rsidRPr="005B6CAF">
        <w:rPr>
          <w:lang w:val="en-US"/>
        </w:rPr>
        <w:t xml:space="preserve"> P 287, </w:t>
      </w:r>
      <w:r w:rsidR="00C92377">
        <w:rPr>
          <w:lang w:val="en-US"/>
        </w:rPr>
        <w:t>Parish Register of</w:t>
      </w:r>
      <w:r w:rsidRPr="005B6CAF">
        <w:rPr>
          <w:lang w:val="en-US"/>
        </w:rPr>
        <w:t xml:space="preserve"> St Peter’s Church, Prestbury</w:t>
      </w:r>
      <w:r>
        <w:rPr>
          <w:lang w:val="en-US"/>
        </w:rPr>
        <w:t xml:space="preserve">: </w:t>
      </w:r>
      <w:r>
        <w:t>Baptism of Jane Crowther, 11 February 1671; Baptism of Susanna Crowther, 11 October 1676; Baptism of Thomas Crowther, 22 December 1678; Baptism of Ralph Crowther, 2 May 1682</w:t>
      </w:r>
      <w:r w:rsidR="0061313D">
        <w:t>.</w:t>
      </w:r>
    </w:p>
  </w:footnote>
  <w:footnote w:id="673">
    <w:p w14:paraId="3B1A0C0D" w14:textId="77777777" w:rsidR="00302D44" w:rsidRDefault="00302D44" w:rsidP="00302D44">
      <w:pPr>
        <w:pStyle w:val="FootnoteText"/>
      </w:pPr>
      <w:r>
        <w:rPr>
          <w:rStyle w:val="FootnoteReference"/>
        </w:rPr>
        <w:footnoteRef/>
      </w:r>
      <w:r>
        <w:t xml:space="preserve"> The 1671 lease – showing the descent of Heybridge via the ‘life’ claim of Thomas’ mother, Marie Crowther – indicates that gender was not necessarily as important in ‘for lives’ tenancies as might be expected, but the significance of having four children is still worth noting.</w:t>
      </w:r>
    </w:p>
  </w:footnote>
  <w:footnote w:id="674">
    <w:p w14:paraId="714D2D81" w14:textId="1E31D590" w:rsidR="00302D44" w:rsidRDefault="00302D44" w:rsidP="00302D44">
      <w:pPr>
        <w:pStyle w:val="FootnoteText"/>
      </w:pPr>
      <w:r>
        <w:rPr>
          <w:rStyle w:val="FootnoteReference"/>
        </w:rPr>
        <w:footnoteRef/>
      </w:r>
      <w:r>
        <w:t xml:space="preserve"> </w:t>
      </w:r>
      <w:r>
        <w:rPr>
          <w:lang w:val="en-US"/>
        </w:rPr>
        <w:t>CRO:</w:t>
      </w:r>
      <w:r w:rsidRPr="002842C1">
        <w:rPr>
          <w:lang w:val="en-US"/>
        </w:rPr>
        <w:t xml:space="preserve"> P 287, </w:t>
      </w:r>
      <w:r w:rsidR="00C92377">
        <w:rPr>
          <w:lang w:val="en-US"/>
        </w:rPr>
        <w:t>Parish Register of</w:t>
      </w:r>
      <w:r w:rsidRPr="002842C1">
        <w:rPr>
          <w:lang w:val="en-US"/>
        </w:rPr>
        <w:t xml:space="preserve"> St Peter’s Church, Prestbury</w:t>
      </w:r>
      <w:r w:rsidRPr="00B43539">
        <w:rPr>
          <w:lang w:val="en-US"/>
        </w:rPr>
        <w:t xml:space="preserve">, </w:t>
      </w:r>
      <w:r>
        <w:t>Burial of Martha Crowther, 27 May 1697</w:t>
      </w:r>
    </w:p>
  </w:footnote>
  <w:footnote w:id="675">
    <w:p w14:paraId="38D7A573" w14:textId="448E5637" w:rsidR="00302D44" w:rsidRDefault="00302D44" w:rsidP="00302D44">
      <w:pPr>
        <w:pStyle w:val="FootnoteText"/>
      </w:pPr>
      <w:r>
        <w:rPr>
          <w:rStyle w:val="FootnoteReference"/>
        </w:rPr>
        <w:footnoteRef/>
      </w:r>
      <w:r>
        <w:t xml:space="preserve"> </w:t>
      </w:r>
      <w:r>
        <w:rPr>
          <w:lang w:val="en-US"/>
        </w:rPr>
        <w:t>CRO:</w:t>
      </w:r>
      <w:r w:rsidRPr="002842C1">
        <w:rPr>
          <w:lang w:val="en-US"/>
        </w:rPr>
        <w:t xml:space="preserve"> P 287, </w:t>
      </w:r>
      <w:r w:rsidR="00C92377">
        <w:rPr>
          <w:lang w:val="en-US"/>
        </w:rPr>
        <w:t>Parish Register of</w:t>
      </w:r>
      <w:r w:rsidRPr="002842C1">
        <w:rPr>
          <w:lang w:val="en-US"/>
        </w:rPr>
        <w:t xml:space="preserve"> St Peter’s Church, Prestbury, </w:t>
      </w:r>
      <w:r>
        <w:t>Burial of Thomas Crowther of Butley, 4 Feb 1707</w:t>
      </w:r>
      <w:r w:rsidR="00961C19">
        <w:t>.</w:t>
      </w:r>
    </w:p>
  </w:footnote>
  <w:footnote w:id="676">
    <w:p w14:paraId="43F302B8" w14:textId="264F3C43" w:rsidR="00302D44" w:rsidRDefault="00302D44" w:rsidP="00302D44">
      <w:pPr>
        <w:pStyle w:val="FootnoteText"/>
      </w:pPr>
      <w:r>
        <w:rPr>
          <w:rStyle w:val="FootnoteReference"/>
        </w:rPr>
        <w:footnoteRef/>
      </w:r>
      <w:r>
        <w:t xml:space="preserve"> AEA: DLA 27/22, Counterpart lease between John Legh of Adlington, esquire, and Thomas Crowther of Heaton Norris, yeoman, 13 April 1711</w:t>
      </w:r>
      <w:r w:rsidR="0061313D">
        <w:t>.</w:t>
      </w:r>
    </w:p>
  </w:footnote>
  <w:footnote w:id="677">
    <w:p w14:paraId="5CBC33CB" w14:textId="77777777" w:rsidR="00302D44" w:rsidRDefault="00302D44" w:rsidP="00302D44">
      <w:pPr>
        <w:pStyle w:val="FootnoteText"/>
      </w:pPr>
      <w:r>
        <w:rPr>
          <w:rStyle w:val="FootnoteReference"/>
        </w:rPr>
        <w:footnoteRef/>
      </w:r>
      <w:r>
        <w:t xml:space="preserve"> Ibid.</w:t>
      </w:r>
    </w:p>
  </w:footnote>
  <w:footnote w:id="678">
    <w:p w14:paraId="3B1BE29D" w14:textId="261FF54B" w:rsidR="00302D44" w:rsidRDefault="00302D44" w:rsidP="00302D44">
      <w:pPr>
        <w:pStyle w:val="FootnoteText"/>
      </w:pPr>
      <w:r>
        <w:rPr>
          <w:rStyle w:val="FootnoteReference"/>
        </w:rPr>
        <w:footnoteRef/>
      </w:r>
      <w:r>
        <w:t xml:space="preserve"> </w:t>
      </w:r>
      <w:r>
        <w:rPr>
          <w:lang w:val="en-US"/>
        </w:rPr>
        <w:t>CRO:</w:t>
      </w:r>
      <w:r w:rsidRPr="00A96612">
        <w:rPr>
          <w:lang w:val="en-US"/>
        </w:rPr>
        <w:t xml:space="preserve"> P 14, </w:t>
      </w:r>
      <w:r w:rsidR="00C92377">
        <w:rPr>
          <w:lang w:val="en-US"/>
        </w:rPr>
        <w:t>Parish Register of</w:t>
      </w:r>
      <w:r w:rsidRPr="00A96612">
        <w:rPr>
          <w:lang w:val="en-US"/>
        </w:rPr>
        <w:t xml:space="preserve"> </w:t>
      </w:r>
      <w:r>
        <w:rPr>
          <w:lang w:val="en-US"/>
        </w:rPr>
        <w:t>St Mary’s Church, Stockport</w:t>
      </w:r>
      <w:r w:rsidRPr="00A96612">
        <w:rPr>
          <w:lang w:val="en-US"/>
        </w:rPr>
        <w:t xml:space="preserve">, </w:t>
      </w:r>
      <w:r>
        <w:rPr>
          <w:lang w:val="en-US"/>
        </w:rPr>
        <w:t xml:space="preserve">Marriage of Thomas Crowder and Hannah Gilbody, </w:t>
      </w:r>
      <w:r>
        <w:t>10 January 1711</w:t>
      </w:r>
      <w:r w:rsidR="00FD6760">
        <w:t>.</w:t>
      </w:r>
    </w:p>
  </w:footnote>
  <w:footnote w:id="679">
    <w:p w14:paraId="37D18225" w14:textId="553917EF" w:rsidR="00302D44" w:rsidRDefault="00302D44" w:rsidP="00302D44">
      <w:pPr>
        <w:pStyle w:val="FootnoteText"/>
      </w:pPr>
      <w:r>
        <w:rPr>
          <w:rStyle w:val="FootnoteReference"/>
        </w:rPr>
        <w:footnoteRef/>
      </w:r>
      <w:r>
        <w:t xml:space="preserve"> </w:t>
      </w:r>
      <w:r>
        <w:rPr>
          <w:lang w:val="en-US"/>
        </w:rPr>
        <w:t>CRO:</w:t>
      </w:r>
      <w:r w:rsidRPr="00A96612">
        <w:rPr>
          <w:lang w:val="en-US"/>
        </w:rPr>
        <w:t xml:space="preserve"> P 14, </w:t>
      </w:r>
      <w:r w:rsidR="00C92377">
        <w:rPr>
          <w:lang w:val="en-US"/>
        </w:rPr>
        <w:t>Parish Register of</w:t>
      </w:r>
      <w:r w:rsidRPr="00A96612">
        <w:rPr>
          <w:lang w:val="en-US"/>
        </w:rPr>
        <w:t xml:space="preserve"> </w:t>
      </w:r>
      <w:r>
        <w:rPr>
          <w:lang w:val="en-US"/>
        </w:rPr>
        <w:t>St Mary’s Church, Stockport</w:t>
      </w:r>
      <w:r w:rsidRPr="00A96612">
        <w:rPr>
          <w:lang w:val="en-US"/>
        </w:rPr>
        <w:t xml:space="preserve">, </w:t>
      </w:r>
      <w:r>
        <w:t>Baptism of Hannah Gilbody, 21 April 1690</w:t>
      </w:r>
      <w:r w:rsidR="00FD6760">
        <w:t>.</w:t>
      </w:r>
    </w:p>
  </w:footnote>
  <w:footnote w:id="680">
    <w:p w14:paraId="7B7A8880" w14:textId="3312043B" w:rsidR="00302D44" w:rsidRPr="009067D4" w:rsidRDefault="00302D44" w:rsidP="00302D44">
      <w:pPr>
        <w:pStyle w:val="FootnoteText"/>
      </w:pPr>
      <w:r>
        <w:rPr>
          <w:rStyle w:val="FootnoteReference"/>
        </w:rPr>
        <w:footnoteRef/>
      </w:r>
      <w:r>
        <w:t xml:space="preserve"> Margaret Pelling, ‘Who most needs to marry? Ageing and inequality among women and men in early modern Norwich’, in Lynn Botelho and Pat Thane (eds), </w:t>
      </w:r>
      <w:r>
        <w:rPr>
          <w:i/>
          <w:iCs/>
        </w:rPr>
        <w:t xml:space="preserve">Women and Ageing in British Society Since 1500, </w:t>
      </w:r>
      <w:r>
        <w:t>(London, 2001), pp.31-42</w:t>
      </w:r>
      <w:r w:rsidR="00FD6760">
        <w:t>.</w:t>
      </w:r>
    </w:p>
  </w:footnote>
  <w:footnote w:id="681">
    <w:p w14:paraId="26D38625" w14:textId="0A581720" w:rsidR="00302D44" w:rsidRDefault="00302D44" w:rsidP="00302D44">
      <w:pPr>
        <w:pStyle w:val="FootnoteText"/>
      </w:pPr>
      <w:r>
        <w:rPr>
          <w:rStyle w:val="FootnoteReference"/>
        </w:rPr>
        <w:footnoteRef/>
      </w:r>
      <w:r>
        <w:t xml:space="preserve"> </w:t>
      </w:r>
      <w:r w:rsidRPr="00C21FA8">
        <w:rPr>
          <w:lang w:val="en-US"/>
        </w:rPr>
        <w:t>LA: WCW/Supra/C384/75, Will of Thomas Crowther of Heaton Norris, chapman, 1742</w:t>
      </w:r>
      <w:r w:rsidR="00FD6760">
        <w:rPr>
          <w:lang w:val="en-US"/>
        </w:rPr>
        <w:t>.</w:t>
      </w:r>
    </w:p>
  </w:footnote>
  <w:footnote w:id="682">
    <w:p w14:paraId="1BCE05CC" w14:textId="77777777" w:rsidR="00302D44" w:rsidRDefault="00302D44" w:rsidP="00302D44">
      <w:pPr>
        <w:pStyle w:val="FootnoteText"/>
      </w:pPr>
      <w:r>
        <w:rPr>
          <w:rStyle w:val="FootnoteReference"/>
        </w:rPr>
        <w:footnoteRef/>
      </w:r>
      <w:r>
        <w:rPr>
          <w:lang w:val="en-US"/>
        </w:rPr>
        <w:t xml:space="preserve"> </w:t>
      </w:r>
      <w:r>
        <w:t xml:space="preserve">Thomas’ will </w:t>
      </w:r>
      <w:proofErr w:type="gramStart"/>
      <w:r>
        <w:t>references</w:t>
      </w:r>
      <w:proofErr w:type="gramEnd"/>
      <w:r>
        <w:t xml:space="preserve"> his ownership of shop premises with rooms above, suggesting he was by no means the peripatetic hawker often implied by ‘chapman’. Margaret </w:t>
      </w:r>
      <w:proofErr w:type="spellStart"/>
      <w:r>
        <w:t>Spufford</w:t>
      </w:r>
      <w:proofErr w:type="spellEnd"/>
      <w:r>
        <w:t xml:space="preserve"> has stated that most chapmen had no fixed premises (and often no fixed abode, living in relative poverty) but</w:t>
      </w:r>
      <w:r w:rsidRPr="00DB6576">
        <w:rPr>
          <w:rFonts w:eastAsiaTheme="minorEastAsia" w:cstheme="minorBidi"/>
          <w:sz w:val="24"/>
          <w:szCs w:val="24"/>
          <w:lang w:val="en-US"/>
        </w:rPr>
        <w:t xml:space="preserve"> </w:t>
      </w:r>
      <w:r w:rsidRPr="00DB6576">
        <w:rPr>
          <w:lang w:val="en-US"/>
        </w:rPr>
        <w:t>the wills of both Thomas</w:t>
      </w:r>
      <w:r>
        <w:rPr>
          <w:lang w:val="en-US"/>
        </w:rPr>
        <w:t xml:space="preserve"> Crowther and his father-in-law Thomas</w:t>
      </w:r>
      <w:r w:rsidRPr="00DB6576">
        <w:rPr>
          <w:lang w:val="en-US"/>
        </w:rPr>
        <w:t xml:space="preserve"> Gilbody </w:t>
      </w:r>
      <w:r>
        <w:rPr>
          <w:lang w:val="en-US"/>
        </w:rPr>
        <w:t>include</w:t>
      </w:r>
      <w:r w:rsidRPr="00DB6576">
        <w:rPr>
          <w:lang w:val="en-US"/>
        </w:rPr>
        <w:t xml:space="preserve"> their own </w:t>
      </w:r>
      <w:r>
        <w:rPr>
          <w:lang w:val="en-US"/>
        </w:rPr>
        <w:t>commercial spaces</w:t>
      </w:r>
      <w:r w:rsidRPr="00DB6576">
        <w:rPr>
          <w:lang w:val="en-US"/>
        </w:rPr>
        <w:t xml:space="preserve"> with rooms above</w:t>
      </w:r>
      <w:r>
        <w:rPr>
          <w:lang w:val="en-US"/>
        </w:rPr>
        <w:t>, as well as their own domestic property</w:t>
      </w:r>
      <w:r w:rsidRPr="00DB6576">
        <w:rPr>
          <w:lang w:val="en-US"/>
        </w:rPr>
        <w:t xml:space="preserve"> elsewhere.</w:t>
      </w:r>
      <w:r>
        <w:rPr>
          <w:lang w:val="en-US"/>
        </w:rPr>
        <w:t xml:space="preserve"> Even though no inventory survives, </w:t>
      </w:r>
      <w:proofErr w:type="gramStart"/>
      <w:r>
        <w:rPr>
          <w:lang w:val="en-US"/>
        </w:rPr>
        <w:t>it is clear that Crowther</w:t>
      </w:r>
      <w:proofErr w:type="gramEnd"/>
      <w:r>
        <w:rPr>
          <w:lang w:val="en-US"/>
        </w:rPr>
        <w:t xml:space="preserve"> was far wealthier than </w:t>
      </w:r>
      <w:proofErr w:type="gramStart"/>
      <w:r>
        <w:rPr>
          <w:lang w:val="en-US"/>
        </w:rPr>
        <w:t>the majority of</w:t>
      </w:r>
      <w:proofErr w:type="gramEnd"/>
      <w:r>
        <w:rPr>
          <w:lang w:val="en-US"/>
        </w:rPr>
        <w:t xml:space="preserve"> chapmen </w:t>
      </w:r>
      <w:proofErr w:type="spellStart"/>
      <w:r>
        <w:rPr>
          <w:lang w:val="en-US"/>
        </w:rPr>
        <w:t>Spufford</w:t>
      </w:r>
      <w:proofErr w:type="spellEnd"/>
      <w:r>
        <w:rPr>
          <w:lang w:val="en-US"/>
        </w:rPr>
        <w:t xml:space="preserve"> describes, with at least six different properties in his possession upon his death. (</w:t>
      </w:r>
      <w:r w:rsidRPr="00ED7819">
        <w:rPr>
          <w:lang w:val="en-US"/>
        </w:rPr>
        <w:t>Th</w:t>
      </w:r>
      <w:r>
        <w:rPr>
          <w:lang w:val="en-US"/>
        </w:rPr>
        <w:t>e economic and social standing of chapmen</w:t>
      </w:r>
      <w:r w:rsidRPr="00ED7819">
        <w:rPr>
          <w:lang w:val="en-US"/>
        </w:rPr>
        <w:t xml:space="preserve"> is discussed in Margaret </w:t>
      </w:r>
      <w:proofErr w:type="spellStart"/>
      <w:r w:rsidRPr="00ED7819">
        <w:rPr>
          <w:lang w:val="en-US"/>
        </w:rPr>
        <w:t>Spufford</w:t>
      </w:r>
      <w:proofErr w:type="spellEnd"/>
      <w:r w:rsidRPr="00ED7819">
        <w:rPr>
          <w:lang w:val="en-US"/>
        </w:rPr>
        <w:t xml:space="preserve">, </w:t>
      </w:r>
      <w:r w:rsidRPr="00ED7819">
        <w:rPr>
          <w:i/>
          <w:iCs/>
          <w:lang w:val="en-US"/>
        </w:rPr>
        <w:t xml:space="preserve">Small Books and Pleasant Histories: Popular Fiction and its Readership in Seventeenth-Century England, </w:t>
      </w:r>
      <w:r w:rsidRPr="00ED7819">
        <w:rPr>
          <w:lang w:val="en-US"/>
        </w:rPr>
        <w:t>(Cambridge, 1981),</w:t>
      </w:r>
      <w:r w:rsidRPr="00ED7819">
        <w:rPr>
          <w:i/>
          <w:iCs/>
          <w:lang w:val="en-US"/>
        </w:rPr>
        <w:t xml:space="preserve"> </w:t>
      </w:r>
      <w:r w:rsidRPr="00ED7819">
        <w:rPr>
          <w:lang w:val="en-US"/>
        </w:rPr>
        <w:t>pp.120-126</w:t>
      </w:r>
      <w:r>
        <w:rPr>
          <w:lang w:val="en-US"/>
        </w:rPr>
        <w:t>)</w:t>
      </w:r>
    </w:p>
  </w:footnote>
  <w:footnote w:id="683">
    <w:p w14:paraId="49C11A1B" w14:textId="707BDE4B" w:rsidR="00302D44" w:rsidRDefault="00302D44" w:rsidP="00302D44">
      <w:pPr>
        <w:pStyle w:val="FootnoteText"/>
      </w:pPr>
      <w:r>
        <w:rPr>
          <w:rStyle w:val="FootnoteReference"/>
        </w:rPr>
        <w:footnoteRef/>
      </w:r>
      <w:r>
        <w:t xml:space="preserve"> CRO: WS 1703,</w:t>
      </w:r>
      <w:r w:rsidRPr="00BF4E96">
        <w:t xml:space="preserve"> </w:t>
      </w:r>
      <w:r w:rsidRPr="00BF4E96">
        <w:rPr>
          <w:lang w:val="en-US"/>
        </w:rPr>
        <w:t>Will of Thomas Gilbody of Stockport, chapman, 1703</w:t>
      </w:r>
      <w:r w:rsidR="00FD6760">
        <w:rPr>
          <w:lang w:val="en-US"/>
        </w:rPr>
        <w:t>.</w:t>
      </w:r>
    </w:p>
  </w:footnote>
  <w:footnote w:id="684">
    <w:p w14:paraId="10136417" w14:textId="5B0BE1E0" w:rsidR="00302D44" w:rsidRPr="005759DF" w:rsidRDefault="00302D44" w:rsidP="00302D44">
      <w:pPr>
        <w:pStyle w:val="FootnoteText"/>
      </w:pPr>
      <w:r>
        <w:rPr>
          <w:rStyle w:val="FootnoteReference"/>
        </w:rPr>
        <w:footnoteRef/>
      </w:r>
      <w:r>
        <w:t xml:space="preserve"> Vanessa Harding has highlighted the integration of apprentices within their masters’ nuclear families and the commonality of apprentices marrying their masters’ widows or daughters: Vanessa Harding, ‘Sons, apprentices and successors in late medieval and early modern London: the transmission of skills and work opportunities’, in Finn-Einar Eliassen and Katalin Szende (eds), </w:t>
      </w:r>
      <w:r>
        <w:rPr>
          <w:i/>
          <w:iCs/>
        </w:rPr>
        <w:t xml:space="preserve">Generations in Towns: Succession and Success in Pre-Industrial Urban Societies, </w:t>
      </w:r>
      <w:r>
        <w:t xml:space="preserve">(Newcastle, 2009), pp.153-168, p.5. Amy M. </w:t>
      </w:r>
      <w:proofErr w:type="spellStart"/>
      <w:r>
        <w:t>Froide</w:t>
      </w:r>
      <w:proofErr w:type="spellEnd"/>
      <w:r>
        <w:t xml:space="preserve"> has also demonstrated that it was common for shopkeepers to take apprentices: Amy M. </w:t>
      </w:r>
      <w:proofErr w:type="spellStart"/>
      <w:r>
        <w:t>Froide</w:t>
      </w:r>
      <w:proofErr w:type="spellEnd"/>
      <w:r>
        <w:t xml:space="preserve">, </w:t>
      </w:r>
      <w:r>
        <w:rPr>
          <w:i/>
          <w:iCs/>
        </w:rPr>
        <w:t xml:space="preserve">Never Married: </w:t>
      </w:r>
      <w:proofErr w:type="spellStart"/>
      <w:r>
        <w:rPr>
          <w:i/>
          <w:iCs/>
        </w:rPr>
        <w:t>Singlewomen</w:t>
      </w:r>
      <w:proofErr w:type="spellEnd"/>
      <w:r>
        <w:rPr>
          <w:i/>
          <w:iCs/>
        </w:rPr>
        <w:t xml:space="preserve"> in Early Modern England, </w:t>
      </w:r>
      <w:r>
        <w:t>(London, 2007), p.91</w:t>
      </w:r>
      <w:r w:rsidR="00FD6760">
        <w:t>.</w:t>
      </w:r>
    </w:p>
  </w:footnote>
  <w:footnote w:id="685">
    <w:p w14:paraId="52F37782" w14:textId="77777777" w:rsidR="00302D44" w:rsidRDefault="00302D44" w:rsidP="00302D44">
      <w:pPr>
        <w:pStyle w:val="FootnoteText"/>
      </w:pPr>
      <w:r>
        <w:rPr>
          <w:rStyle w:val="FootnoteReference"/>
        </w:rPr>
        <w:footnoteRef/>
      </w:r>
      <w:r>
        <w:t xml:space="preserve"> </w:t>
      </w:r>
      <w:r>
        <w:rPr>
          <w:lang w:val="en-US"/>
        </w:rPr>
        <w:t>CRO:</w:t>
      </w:r>
      <w:r w:rsidRPr="00BF4E96">
        <w:rPr>
          <w:lang w:val="en-US"/>
        </w:rPr>
        <w:t xml:space="preserve"> WS 1703, Will of Thomas Gilbody of Stockport, chapman, 1703</w:t>
      </w:r>
      <w:r>
        <w:rPr>
          <w:lang w:val="en-US"/>
        </w:rPr>
        <w:t xml:space="preserve">: </w:t>
      </w:r>
      <w:proofErr w:type="spellStart"/>
      <w:r>
        <w:rPr>
          <w:lang w:val="en-US"/>
        </w:rPr>
        <w:t>Gillbody</w:t>
      </w:r>
      <w:proofErr w:type="spellEnd"/>
      <w:r>
        <w:rPr>
          <w:lang w:val="en-US"/>
        </w:rPr>
        <w:t xml:space="preserve"> bequeathed £400 to be divided between his younger children to serve them in their majority. Excluding her eldest brother, Hannah was one of four younger children, therefore receiving at least £100. </w:t>
      </w:r>
    </w:p>
  </w:footnote>
  <w:footnote w:id="686">
    <w:p w14:paraId="613C960F" w14:textId="7FBA1A29" w:rsidR="00302D44" w:rsidRDefault="00302D44" w:rsidP="00302D44">
      <w:pPr>
        <w:pStyle w:val="FootnoteText"/>
      </w:pPr>
      <w:r>
        <w:rPr>
          <w:rStyle w:val="FootnoteReference"/>
        </w:rPr>
        <w:footnoteRef/>
      </w:r>
      <w:r>
        <w:t xml:space="preserve"> </w:t>
      </w:r>
      <w:r>
        <w:rPr>
          <w:lang w:val="en-US"/>
        </w:rPr>
        <w:t>CRO:</w:t>
      </w:r>
      <w:r w:rsidRPr="000B13CF">
        <w:rPr>
          <w:lang w:val="en-US"/>
        </w:rPr>
        <w:t xml:space="preserve"> P 14, </w:t>
      </w:r>
      <w:r w:rsidR="00C92377">
        <w:rPr>
          <w:lang w:val="en-US"/>
        </w:rPr>
        <w:t>Parish Register of</w:t>
      </w:r>
      <w:r w:rsidRPr="000B13CF">
        <w:rPr>
          <w:lang w:val="en-US"/>
        </w:rPr>
        <w:t xml:space="preserve"> </w:t>
      </w:r>
      <w:r>
        <w:rPr>
          <w:lang w:val="en-US"/>
        </w:rPr>
        <w:t>St Mary’s Church, Stockport</w:t>
      </w:r>
      <w:r w:rsidRPr="000B13CF">
        <w:rPr>
          <w:lang w:val="en-US"/>
        </w:rPr>
        <w:t>, Marriage of Reverend James Crowther and Mary Dorothea Style, 13 June 1750</w:t>
      </w:r>
      <w:r>
        <w:rPr>
          <w:lang w:val="en-US"/>
        </w:rPr>
        <w:t>; CRO:</w:t>
      </w:r>
      <w:r w:rsidRPr="000B13CF">
        <w:rPr>
          <w:lang w:val="en-US"/>
        </w:rPr>
        <w:t xml:space="preserve"> P 14, </w:t>
      </w:r>
      <w:r w:rsidR="00C92377">
        <w:rPr>
          <w:lang w:val="en-US"/>
        </w:rPr>
        <w:t>Parish Register of</w:t>
      </w:r>
      <w:r w:rsidRPr="000B13CF">
        <w:rPr>
          <w:lang w:val="en-US"/>
        </w:rPr>
        <w:t xml:space="preserve"> </w:t>
      </w:r>
      <w:r>
        <w:rPr>
          <w:lang w:val="en-US"/>
        </w:rPr>
        <w:t>St Mary’s Church, Stockport</w:t>
      </w:r>
      <w:r w:rsidRPr="000B13CF">
        <w:rPr>
          <w:lang w:val="en-US"/>
        </w:rPr>
        <w:t>, Burial of Reverend James Crowther, 8 May 1755</w:t>
      </w:r>
      <w:r>
        <w:rPr>
          <w:lang w:val="en-US"/>
        </w:rPr>
        <w:t>;</w:t>
      </w:r>
      <w:r w:rsidRPr="000B13CF">
        <w:rPr>
          <w:rFonts w:eastAsiaTheme="minorEastAsia" w:cstheme="minorBidi"/>
          <w:sz w:val="24"/>
          <w:szCs w:val="24"/>
          <w:lang w:val="en-US"/>
        </w:rPr>
        <w:t xml:space="preserve"> </w:t>
      </w:r>
      <w:r>
        <w:rPr>
          <w:lang w:val="en-US"/>
        </w:rPr>
        <w:t>CRO:</w:t>
      </w:r>
      <w:r w:rsidRPr="000B13CF">
        <w:rPr>
          <w:lang w:val="en-US"/>
        </w:rPr>
        <w:t xml:space="preserve"> WS 1759, Will of James Crowther of Catworth, Huntindonshire, clerk, 1755</w:t>
      </w:r>
    </w:p>
  </w:footnote>
  <w:footnote w:id="687">
    <w:p w14:paraId="6C55A380" w14:textId="71E52750" w:rsidR="00302D44" w:rsidRDefault="00302D44" w:rsidP="00302D44">
      <w:pPr>
        <w:pStyle w:val="FootnoteText"/>
      </w:pPr>
      <w:r>
        <w:rPr>
          <w:rStyle w:val="FootnoteReference"/>
        </w:rPr>
        <w:footnoteRef/>
      </w:r>
      <w:r>
        <w:t xml:space="preserve"> Joseph Foster, </w:t>
      </w:r>
      <w:r>
        <w:rPr>
          <w:i/>
          <w:iCs/>
        </w:rPr>
        <w:t xml:space="preserve">Alumni </w:t>
      </w:r>
      <w:proofErr w:type="spellStart"/>
      <w:r>
        <w:rPr>
          <w:i/>
          <w:iCs/>
        </w:rPr>
        <w:t>Oxonienses</w:t>
      </w:r>
      <w:proofErr w:type="spellEnd"/>
      <w:r>
        <w:rPr>
          <w:i/>
          <w:iCs/>
        </w:rPr>
        <w:t xml:space="preserve">: The Members of the University of Oxford, </w:t>
      </w:r>
      <w:r w:rsidRPr="0074238C">
        <w:rPr>
          <w:i/>
          <w:iCs/>
        </w:rPr>
        <w:t>1715-1886</w:t>
      </w:r>
      <w:r>
        <w:t xml:space="preserve">, </w:t>
      </w:r>
      <w:r w:rsidRPr="00800A11">
        <w:t>(Oxford,</w:t>
      </w:r>
      <w:r>
        <w:rPr>
          <w:i/>
          <w:iCs/>
        </w:rPr>
        <w:t xml:space="preserve"> </w:t>
      </w:r>
      <w:r>
        <w:t>1888),</w:t>
      </w:r>
      <w:r>
        <w:rPr>
          <w:i/>
          <w:iCs/>
        </w:rPr>
        <w:t xml:space="preserve"> </w:t>
      </w:r>
      <w:r>
        <w:t>p.323</w:t>
      </w:r>
      <w:r w:rsidR="00FD6760">
        <w:t>.</w:t>
      </w:r>
    </w:p>
  </w:footnote>
  <w:footnote w:id="688">
    <w:p w14:paraId="2C6E4E7A" w14:textId="7F221933" w:rsidR="00302D44" w:rsidRDefault="00302D44" w:rsidP="00302D44">
      <w:pPr>
        <w:pStyle w:val="FootnoteText"/>
      </w:pPr>
      <w:r>
        <w:rPr>
          <w:rStyle w:val="FootnoteReference"/>
        </w:rPr>
        <w:footnoteRef/>
      </w:r>
      <w:r>
        <w:t xml:space="preserve"> AEA: DLA 27/26, Counterpart lease between Charles Legh of Adlington, esquire, and Thomas Crowther of Heaton Norris, gentleman, 29 September 1740</w:t>
      </w:r>
      <w:r w:rsidR="00FD6760">
        <w:t>.</w:t>
      </w:r>
    </w:p>
  </w:footnote>
  <w:footnote w:id="689">
    <w:p w14:paraId="1EC5643B" w14:textId="5A2DC485" w:rsidR="00302D44" w:rsidRPr="00901BFE" w:rsidRDefault="00302D44" w:rsidP="00302D44">
      <w:pPr>
        <w:pStyle w:val="FootnoteText"/>
      </w:pPr>
      <w:r>
        <w:rPr>
          <w:rStyle w:val="FootnoteReference"/>
        </w:rPr>
        <w:footnoteRef/>
      </w:r>
      <w:r>
        <w:t xml:space="preserve"> Wrightson, </w:t>
      </w:r>
      <w:r>
        <w:rPr>
          <w:i/>
          <w:iCs/>
        </w:rPr>
        <w:t xml:space="preserve">English Society, </w:t>
      </w:r>
      <w:r>
        <w:t>p.32</w:t>
      </w:r>
      <w:r w:rsidR="00FD6760">
        <w:t>.</w:t>
      </w:r>
    </w:p>
  </w:footnote>
  <w:footnote w:id="690">
    <w:p w14:paraId="15A2F0F8" w14:textId="28D8FA0F" w:rsidR="00302D44" w:rsidRDefault="00302D44" w:rsidP="00302D44">
      <w:pPr>
        <w:pStyle w:val="FootnoteText"/>
      </w:pPr>
      <w:r>
        <w:rPr>
          <w:rStyle w:val="FootnoteReference"/>
        </w:rPr>
        <w:footnoteRef/>
      </w:r>
      <w:r>
        <w:t xml:space="preserve"> </w:t>
      </w:r>
      <w:r>
        <w:rPr>
          <w:lang w:val="en-US"/>
        </w:rPr>
        <w:t>CRO:</w:t>
      </w:r>
      <w:r w:rsidRPr="00A96612">
        <w:rPr>
          <w:lang w:val="en-US"/>
        </w:rPr>
        <w:t xml:space="preserve"> P 14, </w:t>
      </w:r>
      <w:r w:rsidR="00C92377">
        <w:rPr>
          <w:lang w:val="en-US"/>
        </w:rPr>
        <w:t>Parish Register of</w:t>
      </w:r>
      <w:r w:rsidRPr="00A96612">
        <w:rPr>
          <w:lang w:val="en-US"/>
        </w:rPr>
        <w:t xml:space="preserve"> </w:t>
      </w:r>
      <w:r>
        <w:rPr>
          <w:lang w:val="en-US"/>
        </w:rPr>
        <w:t>St Mary’s Church, Stockport</w:t>
      </w:r>
      <w:r w:rsidRPr="00A96612">
        <w:rPr>
          <w:lang w:val="en-US"/>
        </w:rPr>
        <w:t xml:space="preserve">, </w:t>
      </w:r>
      <w:r>
        <w:t xml:space="preserve">Marriage of Reverend James Crowther and Mary Dorothea Style, 13 June 1750; </w:t>
      </w:r>
      <w:r>
        <w:rPr>
          <w:lang w:val="en-US"/>
        </w:rPr>
        <w:t>CRO:</w:t>
      </w:r>
      <w:r w:rsidRPr="00A96612">
        <w:rPr>
          <w:lang w:val="en-US"/>
        </w:rPr>
        <w:t xml:space="preserve"> P 14, </w:t>
      </w:r>
      <w:r w:rsidR="00C92377">
        <w:rPr>
          <w:lang w:val="en-US"/>
        </w:rPr>
        <w:t>Parish Register of</w:t>
      </w:r>
      <w:r w:rsidRPr="00A96612">
        <w:rPr>
          <w:lang w:val="en-US"/>
        </w:rPr>
        <w:t xml:space="preserve"> </w:t>
      </w:r>
      <w:r>
        <w:rPr>
          <w:lang w:val="en-US"/>
        </w:rPr>
        <w:t>St Mary’s Church, Stockport</w:t>
      </w:r>
      <w:r w:rsidRPr="00A96612">
        <w:rPr>
          <w:lang w:val="en-US"/>
        </w:rPr>
        <w:t xml:space="preserve">, </w:t>
      </w:r>
      <w:r>
        <w:t>Burial of Reverend James Crowther, 8 May 1755</w:t>
      </w:r>
      <w:r w:rsidR="00FD6760">
        <w:t>.</w:t>
      </w:r>
    </w:p>
  </w:footnote>
  <w:footnote w:id="691">
    <w:p w14:paraId="27032327" w14:textId="26FDDFD3" w:rsidR="00302D44" w:rsidRDefault="00302D44" w:rsidP="00302D44">
      <w:pPr>
        <w:pStyle w:val="FootnoteText"/>
      </w:pPr>
      <w:r>
        <w:rPr>
          <w:rStyle w:val="FootnoteReference"/>
        </w:rPr>
        <w:footnoteRef/>
      </w:r>
      <w:r>
        <w:t xml:space="preserve"> CRO: WS 1759, Will of James Crowther of Catworth, Huntindonshire, clerk, 1755</w:t>
      </w:r>
      <w:r w:rsidR="00FD6760">
        <w:t>.</w:t>
      </w:r>
    </w:p>
  </w:footnote>
  <w:footnote w:id="692">
    <w:p w14:paraId="3E684677" w14:textId="74807B57" w:rsidR="00302D44" w:rsidRDefault="00302D44" w:rsidP="00302D44">
      <w:pPr>
        <w:pStyle w:val="FootnoteText"/>
      </w:pPr>
      <w:r>
        <w:rPr>
          <w:rStyle w:val="FootnoteReference"/>
        </w:rPr>
        <w:footnoteRef/>
      </w:r>
      <w:r>
        <w:t xml:space="preserve"> CRO: P 14, </w:t>
      </w:r>
      <w:r w:rsidR="00C92377">
        <w:t>Parish Register of</w:t>
      </w:r>
      <w:r>
        <w:t xml:space="preserve"> St Mary’s Church, Stockport, Burial of Mary Dorothea Crowther, 3 January 1789</w:t>
      </w:r>
      <w:r w:rsidR="00FD6760">
        <w:t>.</w:t>
      </w:r>
    </w:p>
  </w:footnote>
  <w:footnote w:id="693">
    <w:p w14:paraId="41641F05" w14:textId="0008A2B5" w:rsidR="00302D44" w:rsidRDefault="00302D44" w:rsidP="00302D44">
      <w:pPr>
        <w:pStyle w:val="FootnoteText"/>
      </w:pPr>
      <w:r>
        <w:rPr>
          <w:rStyle w:val="FootnoteReference"/>
        </w:rPr>
        <w:footnoteRef/>
      </w:r>
      <w:r>
        <w:t xml:space="preserve"> </w:t>
      </w:r>
      <w:r w:rsidRPr="00055671">
        <w:rPr>
          <w:lang w:val="en-US"/>
        </w:rPr>
        <w:t xml:space="preserve">Lawrence Weaver, </w:t>
      </w:r>
      <w:r w:rsidRPr="00055671">
        <w:rPr>
          <w:i/>
          <w:iCs/>
          <w:lang w:val="en-US"/>
        </w:rPr>
        <w:t xml:space="preserve">English Leadwork: Its Art and History, </w:t>
      </w:r>
      <w:r w:rsidRPr="00055671">
        <w:rPr>
          <w:lang w:val="en-US"/>
        </w:rPr>
        <w:t>(London, 1909),</w:t>
      </w:r>
      <w:r>
        <w:rPr>
          <w:lang w:val="en-US"/>
        </w:rPr>
        <w:t xml:space="preserve"> pp.45-64</w:t>
      </w:r>
      <w:r w:rsidR="00FD6760">
        <w:rPr>
          <w:lang w:val="en-US"/>
        </w:rPr>
        <w:t>.</w:t>
      </w:r>
    </w:p>
  </w:footnote>
  <w:footnote w:id="694">
    <w:p w14:paraId="3906C9D9" w14:textId="6656B505" w:rsidR="00302D44" w:rsidRDefault="00302D44" w:rsidP="00302D44">
      <w:pPr>
        <w:pStyle w:val="FootnoteText"/>
      </w:pPr>
      <w:r>
        <w:rPr>
          <w:rStyle w:val="FootnoteReference"/>
        </w:rPr>
        <w:footnoteRef/>
      </w:r>
      <w:r>
        <w:t xml:space="preserve"> Ibid., p.53</w:t>
      </w:r>
      <w:r w:rsidR="00FD6760">
        <w:t>.</w:t>
      </w:r>
    </w:p>
  </w:footnote>
  <w:footnote w:id="695">
    <w:p w14:paraId="547A6B2A" w14:textId="77777777" w:rsidR="00302D44" w:rsidRDefault="00302D44" w:rsidP="00302D44">
      <w:pPr>
        <w:pStyle w:val="FootnoteText"/>
      </w:pPr>
      <w:r>
        <w:rPr>
          <w:rStyle w:val="FootnoteReference"/>
        </w:rPr>
        <w:footnoteRef/>
      </w:r>
      <w:r>
        <w:t xml:space="preserve"> Probate materials do not survive for Mary Dorothea Crowther or any of the couple’s children, but Heybridge Farmhouse does not appear to have been a primary residence for this line of the family since Thomas Crowther’s death there in 1707.</w:t>
      </w:r>
    </w:p>
  </w:footnote>
  <w:footnote w:id="696">
    <w:p w14:paraId="776E0238" w14:textId="276B74A9" w:rsidR="00302D44" w:rsidRDefault="00302D44" w:rsidP="00302D44">
      <w:pPr>
        <w:pStyle w:val="FootnoteText"/>
      </w:pPr>
      <w:r>
        <w:rPr>
          <w:rStyle w:val="FootnoteReference"/>
        </w:rPr>
        <w:footnoteRef/>
      </w:r>
      <w:r>
        <w:t xml:space="preserve"> AEA: DLA 28/11, Counterpart lease between John Legh of Adlington, esquire and Thomas Deane of Nether Alderley, yeoman, 24 January 1699</w:t>
      </w:r>
      <w:r w:rsidR="00FD6760">
        <w:t>.</w:t>
      </w:r>
    </w:p>
  </w:footnote>
  <w:footnote w:id="697">
    <w:p w14:paraId="525827FC" w14:textId="60673176" w:rsidR="00302D44" w:rsidRDefault="00302D44" w:rsidP="00302D44">
      <w:pPr>
        <w:pStyle w:val="FootnoteText"/>
      </w:pPr>
      <w:r>
        <w:rPr>
          <w:rStyle w:val="FootnoteReference"/>
        </w:rPr>
        <w:footnoteRef/>
      </w:r>
      <w:r>
        <w:t xml:space="preserve"> Two parish register entries survive from two different parishes, providing conflicting dates. </w:t>
      </w:r>
      <w:r>
        <w:rPr>
          <w:lang w:val="en-US"/>
        </w:rPr>
        <w:t>CRO:</w:t>
      </w:r>
      <w:r w:rsidRPr="00F4275E">
        <w:rPr>
          <w:lang w:val="en-US"/>
        </w:rPr>
        <w:t xml:space="preserve"> P 287, </w:t>
      </w:r>
      <w:r w:rsidR="00C92377">
        <w:rPr>
          <w:lang w:val="en-US"/>
        </w:rPr>
        <w:t>Parish Register of</w:t>
      </w:r>
      <w:r w:rsidRPr="00F4275E">
        <w:rPr>
          <w:lang w:val="en-US"/>
        </w:rPr>
        <w:t xml:space="preserve"> St Peter’s Church, Prestbury</w:t>
      </w:r>
      <w:r>
        <w:rPr>
          <w:lang w:val="en-US"/>
        </w:rPr>
        <w:t>,</w:t>
      </w:r>
      <w:r w:rsidRPr="00F4275E">
        <w:rPr>
          <w:lang w:val="en-US"/>
        </w:rPr>
        <w:t xml:space="preserve"> Marriage of Thomas Dean and Hanna Wood, 28 December 1699, Prestbury Parish Register; </w:t>
      </w:r>
      <w:r>
        <w:rPr>
          <w:lang w:val="en-US"/>
        </w:rPr>
        <w:t>CRO:</w:t>
      </w:r>
      <w:r w:rsidRPr="00F4275E">
        <w:rPr>
          <w:lang w:val="en-US"/>
        </w:rPr>
        <w:t xml:space="preserve"> P 143, </w:t>
      </w:r>
      <w:r w:rsidR="00C92377">
        <w:rPr>
          <w:lang w:val="en-US"/>
        </w:rPr>
        <w:t>Parish Register of</w:t>
      </w:r>
      <w:r w:rsidRPr="00F4275E">
        <w:rPr>
          <w:lang w:val="en-US"/>
        </w:rPr>
        <w:t xml:space="preserve"> St Mary’s Church, Nether Alderley, Marriage of Thomas Dean and Hannah Wood, 29 December 1699</w:t>
      </w:r>
      <w:r w:rsidR="00FD6760">
        <w:rPr>
          <w:lang w:val="en-US"/>
        </w:rPr>
        <w:t>.</w:t>
      </w:r>
    </w:p>
  </w:footnote>
  <w:footnote w:id="698">
    <w:p w14:paraId="1B02E250" w14:textId="71E1734D" w:rsidR="00302D44" w:rsidRDefault="00302D44" w:rsidP="00302D44">
      <w:pPr>
        <w:pStyle w:val="FootnoteText"/>
      </w:pPr>
      <w:r>
        <w:rPr>
          <w:rStyle w:val="FootnoteReference"/>
        </w:rPr>
        <w:footnoteRef/>
      </w:r>
      <w:r>
        <w:t xml:space="preserve"> AEA: </w:t>
      </w:r>
      <w:r w:rsidRPr="00DC7469">
        <w:rPr>
          <w:lang w:val="en-US"/>
        </w:rPr>
        <w:t>DLA 26/17, Lease between Thomas Legh of Adlington, esquire, and Roger Brooke of Butley, slater, 10 March 1685</w:t>
      </w:r>
      <w:r w:rsidR="00FD6760">
        <w:rPr>
          <w:lang w:val="en-US"/>
        </w:rPr>
        <w:t>.</w:t>
      </w:r>
    </w:p>
  </w:footnote>
  <w:footnote w:id="699">
    <w:p w14:paraId="58B0E2E4" w14:textId="06D8D081" w:rsidR="00302D44" w:rsidRDefault="00302D44" w:rsidP="00302D44">
      <w:pPr>
        <w:pStyle w:val="FootnoteText"/>
      </w:pPr>
      <w:r>
        <w:rPr>
          <w:rStyle w:val="FootnoteReference"/>
        </w:rPr>
        <w:footnoteRef/>
      </w:r>
      <w:r>
        <w:t xml:space="preserve"> Ibid.</w:t>
      </w:r>
    </w:p>
  </w:footnote>
  <w:footnote w:id="700">
    <w:p w14:paraId="14FD17C7" w14:textId="2A51F0ED" w:rsidR="00302D44" w:rsidRDefault="00302D44" w:rsidP="00302D44">
      <w:pPr>
        <w:pStyle w:val="FootnoteText"/>
      </w:pPr>
      <w:r>
        <w:rPr>
          <w:rStyle w:val="FootnoteReference"/>
        </w:rPr>
        <w:footnoteRef/>
      </w:r>
      <w:r>
        <w:t xml:space="preserve"> Ibid.</w:t>
      </w:r>
    </w:p>
  </w:footnote>
  <w:footnote w:id="701">
    <w:p w14:paraId="4C85E3B1" w14:textId="345083A0" w:rsidR="00302D44" w:rsidRDefault="00302D44" w:rsidP="00302D44">
      <w:pPr>
        <w:pStyle w:val="FootnoteText"/>
      </w:pPr>
      <w:r>
        <w:rPr>
          <w:rStyle w:val="FootnoteReference"/>
        </w:rPr>
        <w:footnoteRef/>
      </w:r>
      <w:r>
        <w:t xml:space="preserve"> A 1715 lease describes Yew Tree House as </w:t>
      </w:r>
      <w:r w:rsidRPr="003F7F2B">
        <w:rPr>
          <w:lang w:val="en-US"/>
        </w:rPr>
        <w:t>‘formerly in the holding of Peter Wood, deceased, father of Hannah’</w:t>
      </w:r>
      <w:r>
        <w:rPr>
          <w:lang w:val="en-US"/>
        </w:rPr>
        <w:t xml:space="preserve"> (</w:t>
      </w:r>
      <w:r w:rsidRPr="00771746">
        <w:rPr>
          <w:lang w:val="en-US"/>
        </w:rPr>
        <w:t>AEA: DLA 30/11, Counterpart lease between John Legh of Adlington, esquire and Thomas Deane of Butley, 24 June 1715</w:t>
      </w:r>
      <w:r>
        <w:rPr>
          <w:lang w:val="en-US"/>
        </w:rPr>
        <w:t xml:space="preserve">). This is in direct conflict with the details of the 1699 lease. </w:t>
      </w:r>
      <w:r w:rsidRPr="00512042">
        <w:rPr>
          <w:lang w:val="en-US"/>
        </w:rPr>
        <w:t xml:space="preserve">A baptism record for </w:t>
      </w:r>
      <w:r>
        <w:rPr>
          <w:lang w:val="en-US"/>
        </w:rPr>
        <w:t>‘</w:t>
      </w:r>
      <w:r w:rsidRPr="00512042">
        <w:rPr>
          <w:lang w:val="en-US"/>
        </w:rPr>
        <w:t>Hanna</w:t>
      </w:r>
      <w:r>
        <w:rPr>
          <w:lang w:val="en-US"/>
        </w:rPr>
        <w:t xml:space="preserve"> </w:t>
      </w:r>
      <w:r w:rsidRPr="00512042">
        <w:rPr>
          <w:lang w:val="en-US"/>
        </w:rPr>
        <w:t>daughter of Peter Wood of Butley</w:t>
      </w:r>
      <w:r>
        <w:rPr>
          <w:lang w:val="en-US"/>
        </w:rPr>
        <w:t>’</w:t>
      </w:r>
      <w:r w:rsidRPr="00512042">
        <w:rPr>
          <w:lang w:val="en-US"/>
        </w:rPr>
        <w:t>, suggests the 1715 lease is in fact correct</w:t>
      </w:r>
      <w:r>
        <w:rPr>
          <w:lang w:val="en-US"/>
        </w:rPr>
        <w:t>. Peter was George’s son, making Hannah George’s granddaughter, and making James her uncle</w:t>
      </w:r>
      <w:r w:rsidRPr="00512042">
        <w:rPr>
          <w:lang w:val="en-US"/>
        </w:rPr>
        <w:t xml:space="preserve"> </w:t>
      </w:r>
      <w:r>
        <w:rPr>
          <w:lang w:val="en-US"/>
        </w:rPr>
        <w:t>(CRO:</w:t>
      </w:r>
      <w:r w:rsidRPr="00512042">
        <w:rPr>
          <w:lang w:val="en-US"/>
        </w:rPr>
        <w:t xml:space="preserve"> P 287, </w:t>
      </w:r>
      <w:r w:rsidR="00C92377">
        <w:rPr>
          <w:lang w:val="en-US"/>
        </w:rPr>
        <w:t>Parish Register of</w:t>
      </w:r>
      <w:r w:rsidRPr="00512042">
        <w:rPr>
          <w:lang w:val="en-US"/>
        </w:rPr>
        <w:t xml:space="preserve"> St Peter’s Church, Prestbury</w:t>
      </w:r>
      <w:r>
        <w:rPr>
          <w:lang w:val="en-US"/>
        </w:rPr>
        <w:t>,</w:t>
      </w:r>
      <w:r w:rsidRPr="00512042">
        <w:rPr>
          <w:lang w:val="en-US"/>
        </w:rPr>
        <w:t xml:space="preserve"> Baptism of Hanna Wood, 30 March 1677).</w:t>
      </w:r>
    </w:p>
  </w:footnote>
  <w:footnote w:id="702">
    <w:p w14:paraId="477CD232" w14:textId="77777777" w:rsidR="00302D44" w:rsidRDefault="00302D44" w:rsidP="00302D44">
      <w:pPr>
        <w:pStyle w:val="FootnoteText"/>
      </w:pPr>
      <w:r>
        <w:rPr>
          <w:rStyle w:val="FootnoteReference"/>
        </w:rPr>
        <w:footnoteRef/>
      </w:r>
      <w:r>
        <w:t xml:space="preserve"> AEA: DLA 27/6, Counterpart lease between Thomas Legh of Adlington, esquire and George Wood of Poynton, yeoman, 1662. Poynton lies to the north of Butley and was another township within Prestbury parish.</w:t>
      </w:r>
    </w:p>
  </w:footnote>
  <w:footnote w:id="703">
    <w:p w14:paraId="1A989A4A" w14:textId="27D03812" w:rsidR="00302D44" w:rsidRDefault="00302D44" w:rsidP="00302D44">
      <w:pPr>
        <w:pStyle w:val="FootnoteText"/>
      </w:pPr>
      <w:r>
        <w:rPr>
          <w:rStyle w:val="FootnoteReference"/>
        </w:rPr>
        <w:footnoteRef/>
      </w:r>
      <w:r>
        <w:t xml:space="preserve"> </w:t>
      </w:r>
      <w:r w:rsidR="00701359">
        <w:t>Ibid.</w:t>
      </w:r>
    </w:p>
  </w:footnote>
  <w:footnote w:id="704">
    <w:p w14:paraId="6B63BF5A" w14:textId="71113F57" w:rsidR="00302D44" w:rsidRDefault="00302D44" w:rsidP="00302D44">
      <w:pPr>
        <w:pStyle w:val="FootnoteText"/>
      </w:pPr>
      <w:r>
        <w:rPr>
          <w:rStyle w:val="FootnoteReference"/>
        </w:rPr>
        <w:footnoteRef/>
      </w:r>
      <w:r>
        <w:t xml:space="preserve"> </w:t>
      </w:r>
      <w:r>
        <w:rPr>
          <w:lang w:val="en-US"/>
        </w:rPr>
        <w:t>CRO:</w:t>
      </w:r>
      <w:r w:rsidRPr="009175DA">
        <w:rPr>
          <w:lang w:val="en-US"/>
        </w:rPr>
        <w:t xml:space="preserve"> P 287, </w:t>
      </w:r>
      <w:r w:rsidR="00C92377">
        <w:rPr>
          <w:lang w:val="en-US"/>
        </w:rPr>
        <w:t>Parish Register of</w:t>
      </w:r>
      <w:r w:rsidRPr="009175DA">
        <w:rPr>
          <w:lang w:val="en-US"/>
        </w:rPr>
        <w:t xml:space="preserve"> St Peter’s Church, Prestbury</w:t>
      </w:r>
      <w:r>
        <w:rPr>
          <w:lang w:val="en-US"/>
        </w:rPr>
        <w:t>,</w:t>
      </w:r>
      <w:r w:rsidRPr="009175DA">
        <w:rPr>
          <w:lang w:val="en-US"/>
        </w:rPr>
        <w:t xml:space="preserve"> </w:t>
      </w:r>
      <w:r>
        <w:t>Burial of Peter Woode, 29 June 1678</w:t>
      </w:r>
      <w:r w:rsidR="00FD6760">
        <w:t>.</w:t>
      </w:r>
    </w:p>
  </w:footnote>
  <w:footnote w:id="705">
    <w:p w14:paraId="6CB0E1EB" w14:textId="3DB7DBE0" w:rsidR="00302D44" w:rsidRDefault="00302D44" w:rsidP="00302D44">
      <w:pPr>
        <w:pStyle w:val="FootnoteText"/>
      </w:pPr>
      <w:r>
        <w:rPr>
          <w:rStyle w:val="FootnoteReference"/>
        </w:rPr>
        <w:footnoteRef/>
      </w:r>
      <w:r>
        <w:t xml:space="preserve"> </w:t>
      </w:r>
      <w:r w:rsidRPr="008B257F">
        <w:rPr>
          <w:lang w:val="en-US"/>
        </w:rPr>
        <w:t xml:space="preserve">CRO: P 287, </w:t>
      </w:r>
      <w:r w:rsidR="00C92377">
        <w:rPr>
          <w:lang w:val="en-US"/>
        </w:rPr>
        <w:t>Parish Register of</w:t>
      </w:r>
      <w:r w:rsidRPr="008B257F">
        <w:rPr>
          <w:lang w:val="en-US"/>
        </w:rPr>
        <w:t xml:space="preserve"> St Peter’s Church, Prestbury</w:t>
      </w:r>
      <w:r>
        <w:rPr>
          <w:lang w:val="en-US"/>
        </w:rPr>
        <w:t>, Baptism of Wood Deane, 18 May 1710</w:t>
      </w:r>
      <w:r w:rsidR="00FD6760">
        <w:rPr>
          <w:lang w:val="en-US"/>
        </w:rPr>
        <w:t>.</w:t>
      </w:r>
    </w:p>
  </w:footnote>
  <w:footnote w:id="706">
    <w:p w14:paraId="58D7E8E2" w14:textId="49FBA5BB" w:rsidR="00302D44" w:rsidRDefault="00302D44" w:rsidP="00302D44">
      <w:pPr>
        <w:pStyle w:val="FootnoteText"/>
      </w:pPr>
      <w:r>
        <w:rPr>
          <w:rStyle w:val="FootnoteReference"/>
        </w:rPr>
        <w:footnoteRef/>
      </w:r>
      <w:r>
        <w:t xml:space="preserve"> AEA: DLA 30/11, Counterpart lease between John Legh of Adlington, esquire and Thomas Deane of Butley, 24 June 1715. The lease states that the property was ‘formerly in the holding of Peter Wood, deceased, father of Hannah’. This </w:t>
      </w:r>
      <w:proofErr w:type="gramStart"/>
      <w:r>
        <w:t>is in conflict with</w:t>
      </w:r>
      <w:proofErr w:type="gramEnd"/>
      <w:r>
        <w:t xml:space="preserve"> the 1699 lease, which named George Wood as Hannah’s father. While the 1699 lease therefore suggested that Hannah was sister to George’s sons John, Peter and James who were all named in the lease, she appears to have </w:t>
      </w:r>
      <w:proofErr w:type="gramStart"/>
      <w:r>
        <w:t>actually been</w:t>
      </w:r>
      <w:proofErr w:type="gramEnd"/>
      <w:r>
        <w:t xml:space="preserve"> Peter’s daughter, making her George’s granddaughter. A baptism record for A Hannah Wood, daughter of Peter Wood of Butley, suggests the 1715 lease is in fact correct (</w:t>
      </w:r>
      <w:r>
        <w:rPr>
          <w:lang w:val="en-US"/>
        </w:rPr>
        <w:t>CRO:</w:t>
      </w:r>
      <w:r w:rsidRPr="000C606E">
        <w:rPr>
          <w:lang w:val="en-US"/>
        </w:rPr>
        <w:t xml:space="preserve"> P 287, </w:t>
      </w:r>
      <w:r w:rsidR="00C92377">
        <w:rPr>
          <w:lang w:val="en-US"/>
        </w:rPr>
        <w:t>Parish Register of</w:t>
      </w:r>
      <w:r w:rsidRPr="000C606E">
        <w:rPr>
          <w:lang w:val="en-US"/>
        </w:rPr>
        <w:t xml:space="preserve"> St Peter’s Church, Prestbury: </w:t>
      </w:r>
      <w:r>
        <w:t>Baptism of Hanna Wood, 30 March 1677).</w:t>
      </w:r>
    </w:p>
  </w:footnote>
  <w:footnote w:id="707">
    <w:p w14:paraId="6E0E1152" w14:textId="715D4F5C" w:rsidR="00302D44" w:rsidRDefault="00302D44" w:rsidP="00302D44">
      <w:pPr>
        <w:pStyle w:val="FootnoteText"/>
      </w:pPr>
      <w:r>
        <w:rPr>
          <w:rStyle w:val="FootnoteReference"/>
        </w:rPr>
        <w:footnoteRef/>
      </w:r>
      <w:r>
        <w:t xml:space="preserve"> Scott Smith-Bannister, </w:t>
      </w:r>
      <w:r w:rsidRPr="00540800">
        <w:rPr>
          <w:i/>
          <w:iCs/>
        </w:rPr>
        <w:t>Names and Naming Patterns in England, 1538-</w:t>
      </w:r>
      <w:r w:rsidRPr="00540800">
        <w:t>1700</w:t>
      </w:r>
      <w:r>
        <w:t>, (Oxford, 1997), p.7</w:t>
      </w:r>
      <w:r w:rsidR="002F014C">
        <w:t>.</w:t>
      </w:r>
    </w:p>
  </w:footnote>
  <w:footnote w:id="708">
    <w:p w14:paraId="2CBB7438" w14:textId="23BA72A9" w:rsidR="00302D44" w:rsidRDefault="00302D44" w:rsidP="00302D44">
      <w:pPr>
        <w:pStyle w:val="FootnoteText"/>
      </w:pPr>
      <w:r>
        <w:rPr>
          <w:rStyle w:val="FootnoteReference"/>
        </w:rPr>
        <w:footnoteRef/>
      </w:r>
      <w:r>
        <w:t xml:space="preserve"> Ibid., p.126</w:t>
      </w:r>
      <w:r w:rsidR="002F014C">
        <w:t>.</w:t>
      </w:r>
    </w:p>
  </w:footnote>
  <w:footnote w:id="709">
    <w:p w14:paraId="2E6664E2" w14:textId="42CD9489" w:rsidR="00302D44" w:rsidRDefault="00302D44" w:rsidP="00302D44">
      <w:pPr>
        <w:pStyle w:val="FootnoteText"/>
      </w:pPr>
      <w:r>
        <w:rPr>
          <w:rStyle w:val="FootnoteReference"/>
        </w:rPr>
        <w:footnoteRef/>
      </w:r>
      <w:r>
        <w:t xml:space="preserve"> Ibid., p.127</w:t>
      </w:r>
      <w:r w:rsidR="002F014C">
        <w:t>.</w:t>
      </w:r>
    </w:p>
  </w:footnote>
  <w:footnote w:id="710">
    <w:p w14:paraId="2938F218" w14:textId="63C82F1F" w:rsidR="00302D44" w:rsidRDefault="00302D44" w:rsidP="00302D44">
      <w:pPr>
        <w:pStyle w:val="FootnoteText"/>
      </w:pPr>
      <w:r>
        <w:rPr>
          <w:rStyle w:val="FootnoteReference"/>
        </w:rPr>
        <w:footnoteRef/>
      </w:r>
      <w:r>
        <w:t xml:space="preserve"> Green, ‘Houses and households’, p.173</w:t>
      </w:r>
      <w:r w:rsidR="002F014C">
        <w:t>.</w:t>
      </w:r>
    </w:p>
  </w:footnote>
  <w:footnote w:id="711">
    <w:p w14:paraId="22F48152" w14:textId="11C4B2EC" w:rsidR="00D82F50" w:rsidRDefault="00D82F50" w:rsidP="00D82F50">
      <w:pPr>
        <w:pStyle w:val="FootnoteText"/>
      </w:pPr>
      <w:r>
        <w:rPr>
          <w:rStyle w:val="FootnoteReference"/>
        </w:rPr>
        <w:footnoteRef/>
      </w:r>
      <w:r>
        <w:t xml:space="preserve"> Chris King, ‘Domestic buildings: understanding houses and society’, in</w:t>
      </w:r>
      <w:r w:rsidRPr="00B3144B">
        <w:t xml:space="preserve"> Catherine Richardson, Tara Hamling and David </w:t>
      </w:r>
      <w:proofErr w:type="spellStart"/>
      <w:r w:rsidRPr="00B3144B">
        <w:t>Gaimster</w:t>
      </w:r>
      <w:proofErr w:type="spellEnd"/>
      <w:r w:rsidRPr="00B3144B">
        <w:rPr>
          <w:lang w:val="en-US"/>
        </w:rPr>
        <w:t xml:space="preserve"> (eds), </w:t>
      </w:r>
      <w:r w:rsidRPr="00B3144B">
        <w:rPr>
          <w:i/>
          <w:iCs/>
          <w:lang w:val="en-US"/>
        </w:rPr>
        <w:t xml:space="preserve">The Routledge Handbook of Material Culture in Early Modern Europe, </w:t>
      </w:r>
      <w:r w:rsidRPr="00B3144B">
        <w:rPr>
          <w:lang w:val="en-US"/>
        </w:rPr>
        <w:t>(Abingdon, 2017), pp.115-129</w:t>
      </w:r>
      <w:r>
        <w:rPr>
          <w:lang w:val="en-US"/>
        </w:rPr>
        <w:t>, p.116</w:t>
      </w:r>
      <w:r w:rsidR="002F014C">
        <w:rPr>
          <w:lang w:val="en-US"/>
        </w:rPr>
        <w:t>.</w:t>
      </w:r>
    </w:p>
  </w:footnote>
  <w:footnote w:id="712">
    <w:p w14:paraId="1911E55B" w14:textId="4210C879" w:rsidR="00D82F50" w:rsidRDefault="00D82F50" w:rsidP="00D82F50">
      <w:pPr>
        <w:pStyle w:val="FootnoteText"/>
      </w:pPr>
      <w:r>
        <w:rPr>
          <w:rStyle w:val="FootnoteReference"/>
        </w:rPr>
        <w:footnoteRef/>
      </w:r>
      <w:r>
        <w:t xml:space="preserve"> </w:t>
      </w:r>
      <w:r w:rsidRPr="007548CD">
        <w:rPr>
          <w:rStyle w:val="normaltextrun"/>
          <w:rFonts w:cs="Calibri"/>
          <w:color w:val="000000"/>
          <w:shd w:val="clear" w:color="auto" w:fill="FFFFFF"/>
        </w:rPr>
        <w:t>Donald Woodward, ‘Straw, bracken and the Wicklow whale: the exploitation of natural resources in England since 1500’, Past &amp; Present, Vol. 159, (1998), pp.43-76</w:t>
      </w:r>
      <w:r>
        <w:rPr>
          <w:rStyle w:val="normaltextrun"/>
          <w:rFonts w:cs="Calibri"/>
          <w:color w:val="000000"/>
          <w:shd w:val="clear" w:color="auto" w:fill="FFFFFF"/>
        </w:rPr>
        <w:t>, p.68</w:t>
      </w:r>
      <w:r w:rsidR="002F014C">
        <w:rPr>
          <w:rStyle w:val="normaltextrun"/>
          <w:rFonts w:cs="Calibri"/>
          <w:color w:val="000000"/>
          <w:shd w:val="clear" w:color="auto" w:fill="FFFFFF"/>
        </w:rPr>
        <w:t>.</w:t>
      </w:r>
    </w:p>
  </w:footnote>
  <w:footnote w:id="713">
    <w:p w14:paraId="5E98A13C" w14:textId="18E7A167" w:rsidR="00D82F50" w:rsidRDefault="00D82F50" w:rsidP="00D82F50">
      <w:pPr>
        <w:pStyle w:val="FootnoteText"/>
      </w:pPr>
      <w:r>
        <w:rPr>
          <w:rStyle w:val="FootnoteReference"/>
        </w:rPr>
        <w:footnoteRef/>
      </w:r>
      <w:r>
        <w:t xml:space="preserve"> Cheshire Record Office (hereafter CRO): WS 1727, Inventory of John Daine of Sutton, husbandman, 1727</w:t>
      </w:r>
      <w:r w:rsidR="002F014C">
        <w:t>.</w:t>
      </w:r>
    </w:p>
  </w:footnote>
  <w:footnote w:id="714">
    <w:p w14:paraId="206E5816" w14:textId="09279EEC" w:rsidR="00D82F50" w:rsidRDefault="00D82F50" w:rsidP="00D82F50">
      <w:pPr>
        <w:pStyle w:val="FootnoteText"/>
      </w:pPr>
      <w:r>
        <w:rPr>
          <w:rStyle w:val="FootnoteReference"/>
        </w:rPr>
        <w:footnoteRef/>
      </w:r>
      <w:r>
        <w:t xml:space="preserve"> ‘</w:t>
      </w:r>
      <w:proofErr w:type="gramStart"/>
      <w:r w:rsidRPr="00082B78">
        <w:t>treen</w:t>
      </w:r>
      <w:proofErr w:type="gramEnd"/>
      <w:r w:rsidRPr="00082B78">
        <w:t>, (</w:t>
      </w:r>
      <w:r w:rsidRPr="00082B78">
        <w:rPr>
          <w:i/>
          <w:iCs/>
        </w:rPr>
        <w:t>adj</w:t>
      </w:r>
      <w:r w:rsidRPr="00082B78">
        <w:t>.) and (</w:t>
      </w:r>
      <w:r w:rsidRPr="00082B78">
        <w:rPr>
          <w:i/>
          <w:iCs/>
        </w:rPr>
        <w:t>n</w:t>
      </w:r>
      <w:r w:rsidRPr="00082B78">
        <w:t>.)’,</w:t>
      </w:r>
      <w:r>
        <w:t xml:space="preserve"> </w:t>
      </w:r>
      <w:r>
        <w:rPr>
          <w:i/>
          <w:iCs/>
        </w:rPr>
        <w:t>Oxford English Dictionary Online,</w:t>
      </w:r>
      <w:r>
        <w:t xml:space="preserve"> (Oxford, 2023) [</w:t>
      </w:r>
      <w:r w:rsidRPr="00600535">
        <w:t>https://doi.org/10.1093/OED/1126872768</w:t>
      </w:r>
      <w:r>
        <w:t>; accessed 28</w:t>
      </w:r>
      <w:r w:rsidRPr="00CD447C">
        <w:rPr>
          <w:vertAlign w:val="superscript"/>
        </w:rPr>
        <w:t>th</w:t>
      </w:r>
      <w:r>
        <w:t xml:space="preserve"> November 2023]</w:t>
      </w:r>
      <w:r w:rsidR="002F014C">
        <w:t>.</w:t>
      </w:r>
    </w:p>
  </w:footnote>
  <w:footnote w:id="715">
    <w:p w14:paraId="4435FCF0" w14:textId="5008878B" w:rsidR="00D82F50" w:rsidRDefault="00D82F50" w:rsidP="00D82F50">
      <w:pPr>
        <w:pStyle w:val="FootnoteText"/>
      </w:pPr>
      <w:r>
        <w:rPr>
          <w:rStyle w:val="FootnoteReference"/>
        </w:rPr>
        <w:footnoteRef/>
      </w:r>
      <w:r>
        <w:t xml:space="preserve"> CRO: WS 1664, Inventory of Lawrence Bennett of Sutton, tanner, 1664; CRO: WS 1661, Inventory of Thomas Green of Sutton, yeoman, 1661</w:t>
      </w:r>
      <w:r w:rsidR="002F014C">
        <w:t>.</w:t>
      </w:r>
    </w:p>
  </w:footnote>
  <w:footnote w:id="716">
    <w:p w14:paraId="66355ED3" w14:textId="7244C818" w:rsidR="00D82F50" w:rsidRPr="00E358B4" w:rsidRDefault="00D82F50" w:rsidP="00D82F50">
      <w:pPr>
        <w:pStyle w:val="FootnoteText"/>
      </w:pPr>
      <w:r>
        <w:rPr>
          <w:rStyle w:val="FootnoteReference"/>
        </w:rPr>
        <w:footnoteRef/>
      </w:r>
      <w:r>
        <w:t xml:space="preserve"> William Harrison, </w:t>
      </w:r>
      <w:r>
        <w:rPr>
          <w:i/>
          <w:iCs/>
        </w:rPr>
        <w:t xml:space="preserve">The Description of England, </w:t>
      </w:r>
      <w:r>
        <w:t>(London</w:t>
      </w:r>
      <w:r w:rsidRPr="00C85DEC">
        <w:t>, 1577)</w:t>
      </w:r>
      <w:r>
        <w:t xml:space="preserve">, </w:t>
      </w:r>
      <w:proofErr w:type="spellStart"/>
      <w:proofErr w:type="gramStart"/>
      <w:r>
        <w:t>p.xxix</w:t>
      </w:r>
      <w:proofErr w:type="spellEnd"/>
      <w:r w:rsidR="002F014C">
        <w:t>.</w:t>
      </w:r>
      <w:proofErr w:type="gramEnd"/>
    </w:p>
  </w:footnote>
  <w:footnote w:id="717">
    <w:p w14:paraId="2883A41D" w14:textId="53BD3070" w:rsidR="00D82F50" w:rsidRDefault="00D82F50" w:rsidP="00D82F50">
      <w:pPr>
        <w:pStyle w:val="FootnoteText"/>
      </w:pPr>
      <w:r>
        <w:rPr>
          <w:rStyle w:val="FootnoteReference"/>
        </w:rPr>
        <w:footnoteRef/>
      </w:r>
      <w:r>
        <w:t xml:space="preserve"> </w:t>
      </w:r>
      <w:r w:rsidRPr="007548CD">
        <w:rPr>
          <w:rStyle w:val="normaltextrun"/>
          <w:rFonts w:cs="Calibri"/>
          <w:color w:val="000000"/>
          <w:shd w:val="clear" w:color="auto" w:fill="FFFFFF"/>
        </w:rPr>
        <w:t>Donald Woodward, ‘Straw, bracken</w:t>
      </w:r>
      <w:r w:rsidR="00607162">
        <w:rPr>
          <w:rStyle w:val="normaltextrun"/>
          <w:rFonts w:cs="Calibri"/>
          <w:color w:val="000000"/>
          <w:shd w:val="clear" w:color="auto" w:fill="FFFFFF"/>
        </w:rPr>
        <w:t>’</w:t>
      </w:r>
      <w:r>
        <w:rPr>
          <w:rStyle w:val="normaltextrun"/>
          <w:rFonts w:cs="Calibri"/>
          <w:color w:val="000000"/>
          <w:shd w:val="clear" w:color="auto" w:fill="FFFFFF"/>
        </w:rPr>
        <w:t>, p.64</w:t>
      </w:r>
      <w:r w:rsidR="002F014C">
        <w:rPr>
          <w:rStyle w:val="normaltextrun"/>
          <w:rFonts w:cs="Calibri"/>
          <w:color w:val="000000"/>
          <w:shd w:val="clear" w:color="auto" w:fill="FFFFFF"/>
        </w:rPr>
        <w:t>.</w:t>
      </w:r>
    </w:p>
  </w:footnote>
  <w:footnote w:id="718">
    <w:p w14:paraId="5D3BAFBF" w14:textId="1BF80BEF" w:rsidR="00D82F50" w:rsidRDefault="00D82F50" w:rsidP="00D82F50">
      <w:pPr>
        <w:pStyle w:val="FootnoteText"/>
      </w:pPr>
      <w:r>
        <w:rPr>
          <w:rStyle w:val="FootnoteReference"/>
        </w:rPr>
        <w:footnoteRef/>
      </w:r>
      <w:r>
        <w:t xml:space="preserve"> </w:t>
      </w:r>
      <w:r w:rsidRPr="00FD7C2D">
        <w:t xml:space="preserve">Mark Overton, Jane Whittle, Darron Dean, Andrew Hann, </w:t>
      </w:r>
      <w:r w:rsidRPr="00FD7C2D">
        <w:rPr>
          <w:i/>
          <w:iCs/>
        </w:rPr>
        <w:t xml:space="preserve">Production and Consumption in English Households, 1600-1750, </w:t>
      </w:r>
      <w:r w:rsidRPr="00FD7C2D">
        <w:t>(Abingdon, 2004)</w:t>
      </w:r>
      <w:r>
        <w:t>;</w:t>
      </w:r>
      <w:r w:rsidRPr="00FD7C2D">
        <w:rPr>
          <w:b/>
          <w:bCs/>
        </w:rPr>
        <w:t xml:space="preserve"> </w:t>
      </w:r>
      <w:r w:rsidRPr="00FD7C2D">
        <w:t xml:space="preserve">Lorna Weatherill, </w:t>
      </w:r>
      <w:r w:rsidRPr="00FD7C2D">
        <w:rPr>
          <w:i/>
          <w:iCs/>
        </w:rPr>
        <w:t xml:space="preserve">Consumer Behaviour and Material Culture in Britain, 1660-1760, </w:t>
      </w:r>
      <w:r w:rsidRPr="00FD7C2D">
        <w:t>(London, 1996)</w:t>
      </w:r>
      <w:r w:rsidR="002F014C">
        <w:t>.</w:t>
      </w:r>
    </w:p>
  </w:footnote>
  <w:footnote w:id="719">
    <w:p w14:paraId="55D2099A" w14:textId="15EEA219" w:rsidR="00D82F50" w:rsidRDefault="00D82F50" w:rsidP="00D82F50">
      <w:pPr>
        <w:pStyle w:val="FootnoteText"/>
      </w:pPr>
      <w:r>
        <w:rPr>
          <w:rStyle w:val="FootnoteReference"/>
        </w:rPr>
        <w:footnoteRef/>
      </w:r>
      <w:r>
        <w:t xml:space="preserve"> Weatherill, </w:t>
      </w:r>
      <w:r>
        <w:rPr>
          <w:i/>
          <w:iCs/>
        </w:rPr>
        <w:t xml:space="preserve">Consumer Behaviour, </w:t>
      </w:r>
      <w:r>
        <w:t>p.28</w:t>
      </w:r>
      <w:r w:rsidR="002F014C">
        <w:t>.</w:t>
      </w:r>
    </w:p>
  </w:footnote>
  <w:footnote w:id="720">
    <w:p w14:paraId="75C74344" w14:textId="77777777" w:rsidR="00D82F50" w:rsidRDefault="00D82F50" w:rsidP="00D82F50">
      <w:pPr>
        <w:pStyle w:val="FootnoteText"/>
      </w:pPr>
      <w:r>
        <w:rPr>
          <w:rStyle w:val="FootnoteReference"/>
        </w:rPr>
        <w:footnoteRef/>
      </w:r>
      <w:r>
        <w:t xml:space="preserve"> Ibid.</w:t>
      </w:r>
    </w:p>
  </w:footnote>
  <w:footnote w:id="721">
    <w:p w14:paraId="786C7E3D" w14:textId="7ECD5D7D" w:rsidR="00D82F50" w:rsidRDefault="00D82F50" w:rsidP="00D82F50">
      <w:pPr>
        <w:pStyle w:val="FootnoteText"/>
      </w:pPr>
      <w:r>
        <w:rPr>
          <w:rStyle w:val="FootnoteReference"/>
        </w:rPr>
        <w:footnoteRef/>
      </w:r>
      <w:r>
        <w:t xml:space="preserve"> Ibid., p.205</w:t>
      </w:r>
      <w:r w:rsidR="002F014C">
        <w:t>.</w:t>
      </w:r>
    </w:p>
  </w:footnote>
  <w:footnote w:id="722">
    <w:p w14:paraId="7533D1C8" w14:textId="27887E65" w:rsidR="00D82F50" w:rsidRDefault="00D82F50" w:rsidP="00D82F50">
      <w:pPr>
        <w:pStyle w:val="FootnoteText"/>
      </w:pPr>
      <w:r>
        <w:rPr>
          <w:rStyle w:val="FootnoteReference"/>
        </w:rPr>
        <w:footnoteRef/>
      </w:r>
      <w:r>
        <w:t xml:space="preserve"> Lancashire Archives (hereafter LA): WRW/K/R415/A11, Inventory of John Barker of Bolton-le-Sands, husbandman, 1716</w:t>
      </w:r>
      <w:r w:rsidR="002F014C">
        <w:t>.</w:t>
      </w:r>
    </w:p>
  </w:footnote>
  <w:footnote w:id="723">
    <w:p w14:paraId="6003EDF3" w14:textId="77777777" w:rsidR="00D82F50" w:rsidRDefault="00D82F50" w:rsidP="00D82F50">
      <w:pPr>
        <w:pStyle w:val="FootnoteText"/>
      </w:pPr>
      <w:r>
        <w:rPr>
          <w:rStyle w:val="FootnoteReference"/>
        </w:rPr>
        <w:footnoteRef/>
      </w:r>
      <w:r>
        <w:t xml:space="preserve"> Terms used to describe tables </w:t>
      </w:r>
      <w:proofErr w:type="gramStart"/>
      <w:r>
        <w:t>were:</w:t>
      </w:r>
      <w:proofErr w:type="gramEnd"/>
      <w:r>
        <w:t xml:space="preserve"> little; small; long; round; oval; square; livery; hanging; let-down; with frame; ash; oak; stone. Terms used to describe chairs </w:t>
      </w:r>
      <w:proofErr w:type="gramStart"/>
      <w:r>
        <w:t>were:</w:t>
      </w:r>
      <w:proofErr w:type="gramEnd"/>
      <w:r>
        <w:t xml:space="preserve"> sealed; green; black; throne; armed; double-armed; turned; joined; leather; cloth; rush-bottom; nursing. Descriptive terms for stool </w:t>
      </w:r>
      <w:proofErr w:type="gramStart"/>
      <w:r>
        <w:t>were:</w:t>
      </w:r>
      <w:proofErr w:type="gramEnd"/>
      <w:r>
        <w:t xml:space="preserve"> buffet; ‘close’; back; joined; round; black; little; plain.</w:t>
      </w:r>
    </w:p>
  </w:footnote>
  <w:footnote w:id="724">
    <w:p w14:paraId="11CC6CB4" w14:textId="3A65B771" w:rsidR="00D82F50" w:rsidRDefault="00D82F50" w:rsidP="00D82F50">
      <w:pPr>
        <w:pStyle w:val="FootnoteText"/>
      </w:pPr>
      <w:r>
        <w:rPr>
          <w:rStyle w:val="FootnoteReference"/>
        </w:rPr>
        <w:footnoteRef/>
      </w:r>
      <w:r>
        <w:t xml:space="preserve"> CRO: WS 1741, Inventory of Roger Broadhurst of Sutton, blacksmith, 1741</w:t>
      </w:r>
      <w:r w:rsidR="002F014C">
        <w:t>.</w:t>
      </w:r>
    </w:p>
  </w:footnote>
  <w:footnote w:id="725">
    <w:p w14:paraId="6A72FEAB" w14:textId="6B3B4037" w:rsidR="00D82F50" w:rsidRDefault="00D82F50" w:rsidP="00D82F50">
      <w:pPr>
        <w:pStyle w:val="FootnoteText"/>
      </w:pPr>
      <w:r>
        <w:rPr>
          <w:rStyle w:val="FootnoteReference"/>
        </w:rPr>
        <w:footnoteRef/>
      </w:r>
      <w:r>
        <w:t xml:space="preserve"> </w:t>
      </w:r>
      <w:r w:rsidRPr="005F0624">
        <w:t>Overton</w:t>
      </w:r>
      <w:r>
        <w:t xml:space="preserve"> </w:t>
      </w:r>
      <w:r w:rsidRPr="00803506">
        <w:t xml:space="preserve">et al, </w:t>
      </w:r>
      <w:r w:rsidRPr="005F0624">
        <w:rPr>
          <w:i/>
          <w:iCs/>
        </w:rPr>
        <w:t>Production and</w:t>
      </w:r>
      <w:r>
        <w:rPr>
          <w:i/>
          <w:iCs/>
        </w:rPr>
        <w:t xml:space="preserve"> Consumption</w:t>
      </w:r>
      <w:r>
        <w:t>, p.116</w:t>
      </w:r>
      <w:r w:rsidR="002F014C">
        <w:t>.</w:t>
      </w:r>
    </w:p>
  </w:footnote>
  <w:footnote w:id="726">
    <w:p w14:paraId="58A0D8AF" w14:textId="77777777" w:rsidR="00D82F50" w:rsidRDefault="00D82F50" w:rsidP="00D82F50">
      <w:pPr>
        <w:pStyle w:val="FootnoteText"/>
      </w:pPr>
      <w:r>
        <w:rPr>
          <w:rStyle w:val="FootnoteReference"/>
        </w:rPr>
        <w:footnoteRef/>
      </w:r>
      <w:r>
        <w:t xml:space="preserve"> Ibid.</w:t>
      </w:r>
    </w:p>
  </w:footnote>
  <w:footnote w:id="727">
    <w:p w14:paraId="2DA5A75D" w14:textId="5B1B79D6" w:rsidR="00D82F50" w:rsidRDefault="00D82F50" w:rsidP="00D82F50">
      <w:pPr>
        <w:pStyle w:val="FootnoteText"/>
      </w:pPr>
      <w:r>
        <w:rPr>
          <w:rStyle w:val="FootnoteReference"/>
        </w:rPr>
        <w:footnoteRef/>
      </w:r>
      <w:r>
        <w:t xml:space="preserve"> CRO: WS 1708, Inventory of Mary Amery of Sutton, widow, 1708</w:t>
      </w:r>
      <w:r w:rsidR="002F014C">
        <w:t>.</w:t>
      </w:r>
    </w:p>
  </w:footnote>
  <w:footnote w:id="728">
    <w:p w14:paraId="471262F1" w14:textId="481DEA52" w:rsidR="00D82F50" w:rsidRDefault="00D82F50" w:rsidP="00D82F50">
      <w:pPr>
        <w:pStyle w:val="FootnoteText"/>
      </w:pPr>
      <w:r>
        <w:rPr>
          <w:rStyle w:val="FootnoteReference"/>
        </w:rPr>
        <w:footnoteRef/>
      </w:r>
      <w:r>
        <w:t xml:space="preserve"> Elizabeth Lowry, ‘Household textiles 1660-1850: hidden items of material culture from the country house’, </w:t>
      </w:r>
      <w:r>
        <w:rPr>
          <w:i/>
          <w:iCs/>
        </w:rPr>
        <w:t xml:space="preserve">Family &amp; Community History, </w:t>
      </w:r>
      <w:r>
        <w:t>Vol. 23, No. 2, (2020), pp.95-118, p.102</w:t>
      </w:r>
      <w:r w:rsidR="002F014C">
        <w:t>.</w:t>
      </w:r>
    </w:p>
  </w:footnote>
  <w:footnote w:id="729">
    <w:p w14:paraId="276A8E52" w14:textId="77777777" w:rsidR="00D82F50" w:rsidRDefault="00D82F50" w:rsidP="00D82F50">
      <w:pPr>
        <w:pStyle w:val="FootnoteText"/>
      </w:pPr>
      <w:r>
        <w:rPr>
          <w:rStyle w:val="FootnoteReference"/>
        </w:rPr>
        <w:footnoteRef/>
      </w:r>
      <w:r>
        <w:t xml:space="preserve"> As discussed in chapter two, flax production was far more widespread and prominent in Bolton-le-Sands than in Prestbury.</w:t>
      </w:r>
    </w:p>
  </w:footnote>
  <w:footnote w:id="730">
    <w:p w14:paraId="3DE2A04E" w14:textId="3EB334FD" w:rsidR="00D82F50" w:rsidRDefault="00D82F50" w:rsidP="00D82F50">
      <w:pPr>
        <w:pStyle w:val="CommentText"/>
      </w:pPr>
      <w:r>
        <w:rPr>
          <w:rStyle w:val="FootnoteReference"/>
        </w:rPr>
        <w:footnoteRef/>
      </w:r>
      <w:r>
        <w:t xml:space="preserve"> ‘Earthen pots’ may also have referred to some items used in food preparation, as earthenware cooking pots were also in circulation in seventeenth century England. </w:t>
      </w:r>
      <w:r w:rsidR="007873ED">
        <w:t xml:space="preserve">This is explained in </w:t>
      </w:r>
      <w:r>
        <w:t xml:space="preserve">Sara Pennell, ‘The material culture of food in early modern England, c.1650-1750’, in Sarah Tarlow and Susie West (eds), </w:t>
      </w:r>
      <w:r>
        <w:rPr>
          <w:i/>
          <w:iCs/>
        </w:rPr>
        <w:t xml:space="preserve">The Familiar Past? Archaeologies of Later Historical Britain, </w:t>
      </w:r>
      <w:r>
        <w:t>(London, 1999), pp.35-50, p.44</w:t>
      </w:r>
      <w:r w:rsidR="002F014C">
        <w:t>.</w:t>
      </w:r>
    </w:p>
  </w:footnote>
  <w:footnote w:id="731">
    <w:p w14:paraId="3A2C92DF" w14:textId="59C6C0DE" w:rsidR="00D82F50" w:rsidRDefault="00D82F50" w:rsidP="00D82F50">
      <w:pPr>
        <w:pStyle w:val="FootnoteText"/>
      </w:pPr>
      <w:r>
        <w:rPr>
          <w:rStyle w:val="FootnoteReference"/>
        </w:rPr>
        <w:footnoteRef/>
      </w:r>
      <w:r>
        <w:t xml:space="preserve"> Jonathan Goodwin, ‘An assessment of ceramic finds recovered during the </w:t>
      </w:r>
      <w:r>
        <w:rPr>
          <w:i/>
          <w:iCs/>
        </w:rPr>
        <w:t xml:space="preserve">Peeling Back the Layers </w:t>
      </w:r>
      <w:r>
        <w:t xml:space="preserve">community archaeology project, Under </w:t>
      </w:r>
      <w:proofErr w:type="spellStart"/>
      <w:r>
        <w:t>Whitle</w:t>
      </w:r>
      <w:proofErr w:type="spellEnd"/>
      <w:r>
        <w:t xml:space="preserve"> Farm, </w:t>
      </w:r>
      <w:proofErr w:type="spellStart"/>
      <w:r>
        <w:t>Longnor</w:t>
      </w:r>
      <w:proofErr w:type="spellEnd"/>
      <w:r>
        <w:t>, Staffordshire’, (</w:t>
      </w:r>
      <w:proofErr w:type="gramStart"/>
      <w:r>
        <w:t>January,</w:t>
      </w:r>
      <w:proofErr w:type="gramEnd"/>
      <w:r>
        <w:t xml:space="preserve"> 2017), Tudor Farming Interpretation Group: Peeling Back the Layers Project, [</w:t>
      </w:r>
      <w:r w:rsidRPr="00931D58">
        <w:t>https://www.tudorfarming.co.uk/_files/ugd/18f02a_8e65f3ef0d5a403cb32abb743593742c.pdf</w:t>
      </w:r>
      <w:r>
        <w:t>2023; accessed 29 November 2024]</w:t>
      </w:r>
      <w:r w:rsidR="002F014C">
        <w:t>.</w:t>
      </w:r>
    </w:p>
  </w:footnote>
  <w:footnote w:id="732">
    <w:p w14:paraId="5B0B5A3D" w14:textId="38E1F976" w:rsidR="00D82F50" w:rsidRDefault="00D82F50" w:rsidP="00D82F50">
      <w:pPr>
        <w:pStyle w:val="FootnoteText"/>
      </w:pPr>
      <w:r>
        <w:rPr>
          <w:rStyle w:val="FootnoteReference"/>
        </w:rPr>
        <w:footnoteRef/>
      </w:r>
      <w:r>
        <w:t xml:space="preserve"> Janet </w:t>
      </w:r>
      <w:proofErr w:type="spellStart"/>
      <w:r>
        <w:t>Spavold</w:t>
      </w:r>
      <w:proofErr w:type="spellEnd"/>
      <w:r>
        <w:t xml:space="preserve"> and Sue Brown, </w:t>
      </w:r>
      <w:proofErr w:type="spellStart"/>
      <w:r>
        <w:rPr>
          <w:i/>
          <w:iCs/>
        </w:rPr>
        <w:t>Ticknall</w:t>
      </w:r>
      <w:proofErr w:type="spellEnd"/>
      <w:r>
        <w:rPr>
          <w:i/>
          <w:iCs/>
        </w:rPr>
        <w:t xml:space="preserve"> Pots &amp; Potters from the Late Fifteenth Century to 1888, </w:t>
      </w:r>
      <w:r>
        <w:t>(Derbyshire, 2005), pp.128-131</w:t>
      </w:r>
      <w:r w:rsidR="002F014C">
        <w:t>.</w:t>
      </w:r>
    </w:p>
  </w:footnote>
  <w:footnote w:id="733">
    <w:p w14:paraId="5D91BF35" w14:textId="502C0486" w:rsidR="00D82F50" w:rsidRPr="003F2A43" w:rsidRDefault="00D82F50" w:rsidP="00D82F50">
      <w:pPr>
        <w:pStyle w:val="FootnoteText"/>
        <w:rPr>
          <w:b/>
          <w:bCs/>
        </w:rPr>
      </w:pPr>
      <w:r>
        <w:rPr>
          <w:rStyle w:val="FootnoteReference"/>
        </w:rPr>
        <w:footnoteRef/>
      </w:r>
      <w:r>
        <w:t xml:space="preserve"> Randle Holme, </w:t>
      </w:r>
      <w:r>
        <w:rPr>
          <w:i/>
          <w:iCs/>
        </w:rPr>
        <w:t xml:space="preserve">Academy of Armoury, </w:t>
      </w:r>
      <w:r>
        <w:t>(London, 1688)</w:t>
      </w:r>
      <w:r w:rsidR="00C00001">
        <w:t>,</w:t>
      </w:r>
      <w:r>
        <w:t xml:space="preserve"> from a facsimile image in Rupert Gentle, Rachael Field and Belinda Gentle, </w:t>
      </w:r>
      <w:r>
        <w:rPr>
          <w:i/>
          <w:iCs/>
        </w:rPr>
        <w:t xml:space="preserve">Domestic Metalwork, 1640-1820, </w:t>
      </w:r>
      <w:r>
        <w:t xml:space="preserve">(Woodbridge, 1994), p.110-111; </w:t>
      </w:r>
      <w:r w:rsidRPr="003F2A43">
        <w:t>Goodwin, ‘An assessment’, p.15</w:t>
      </w:r>
      <w:r w:rsidR="002F014C">
        <w:t>.</w:t>
      </w:r>
    </w:p>
  </w:footnote>
  <w:footnote w:id="734">
    <w:p w14:paraId="3B61476B" w14:textId="43B66EA8" w:rsidR="00D82F50" w:rsidRPr="00411E74" w:rsidRDefault="00D82F50" w:rsidP="00D82F50">
      <w:pPr>
        <w:pStyle w:val="FootnoteText"/>
      </w:pPr>
      <w:r>
        <w:rPr>
          <w:rStyle w:val="FootnoteReference"/>
        </w:rPr>
        <w:footnoteRef/>
      </w:r>
      <w:r>
        <w:t xml:space="preserve"> David Barker, ‘“The usual classes of useful articles”: Staffordshire ceramics reconsidered’, </w:t>
      </w:r>
      <w:r>
        <w:rPr>
          <w:i/>
          <w:iCs/>
        </w:rPr>
        <w:t xml:space="preserve">Ceramics in America, </w:t>
      </w:r>
      <w:r>
        <w:t>Vol. 1, (2001), pp.72-93, pp.74-5</w:t>
      </w:r>
      <w:r w:rsidR="002F014C">
        <w:t>.</w:t>
      </w:r>
    </w:p>
  </w:footnote>
  <w:footnote w:id="735">
    <w:p w14:paraId="1DFDB4AE" w14:textId="48C0050A" w:rsidR="00D82F50" w:rsidRDefault="00D82F50" w:rsidP="00D82F50">
      <w:pPr>
        <w:pStyle w:val="FootnoteText"/>
      </w:pPr>
      <w:r>
        <w:rPr>
          <w:rStyle w:val="FootnoteReference"/>
        </w:rPr>
        <w:footnoteRef/>
      </w:r>
      <w:r>
        <w:t xml:space="preserve"> </w:t>
      </w:r>
      <w:r w:rsidRPr="00011590">
        <w:rPr>
          <w:rStyle w:val="normaltextrun"/>
          <w:rFonts w:cs="Calibri"/>
          <w:color w:val="000000"/>
          <w:shd w:val="clear" w:color="auto" w:fill="FFFFFF"/>
        </w:rPr>
        <w:t xml:space="preserve">Lorna Weatherill, </w:t>
      </w:r>
      <w:r w:rsidRPr="003E0378">
        <w:rPr>
          <w:rStyle w:val="normaltextrun"/>
          <w:rFonts w:cs="Calibri"/>
          <w:i/>
          <w:iCs/>
          <w:color w:val="000000"/>
          <w:shd w:val="clear" w:color="auto" w:fill="FFFFFF"/>
        </w:rPr>
        <w:t>The Pottery Trade and North Staffordshire, 1660-1760</w:t>
      </w:r>
      <w:r w:rsidRPr="00011590">
        <w:rPr>
          <w:rStyle w:val="normaltextrun"/>
          <w:rFonts w:cs="Calibri"/>
          <w:color w:val="000000"/>
          <w:shd w:val="clear" w:color="auto" w:fill="FFFFFF"/>
        </w:rPr>
        <w:t>, (Manchester, 1971)</w:t>
      </w:r>
      <w:r>
        <w:t>, p.80</w:t>
      </w:r>
      <w:r w:rsidR="002F014C">
        <w:t>.</w:t>
      </w:r>
    </w:p>
  </w:footnote>
  <w:footnote w:id="736">
    <w:p w14:paraId="290944C3" w14:textId="0BD1843C" w:rsidR="00D82F50" w:rsidRDefault="00D82F50" w:rsidP="00D82F50">
      <w:pPr>
        <w:pStyle w:val="FootnoteText"/>
      </w:pPr>
      <w:r>
        <w:rPr>
          <w:rStyle w:val="FootnoteReference"/>
        </w:rPr>
        <w:footnoteRef/>
      </w:r>
      <w:r>
        <w:t xml:space="preserve"> Ibid., p.76</w:t>
      </w:r>
      <w:r w:rsidR="00F26EEF">
        <w:t>.</w:t>
      </w:r>
    </w:p>
  </w:footnote>
  <w:footnote w:id="737">
    <w:p w14:paraId="639FC69A" w14:textId="7FCAB5C1" w:rsidR="00D82F50" w:rsidRDefault="00D82F50" w:rsidP="00D82F50">
      <w:pPr>
        <w:pStyle w:val="FootnoteText"/>
      </w:pPr>
      <w:r w:rsidRPr="00DC578C">
        <w:rPr>
          <w:rStyle w:val="FootnoteReference"/>
        </w:rPr>
        <w:footnoteRef/>
      </w:r>
      <w:r>
        <w:t xml:space="preserve"> </w:t>
      </w:r>
      <w:r w:rsidR="00532422">
        <w:t>Ibid.,</w:t>
      </w:r>
      <w:r>
        <w:t xml:space="preserve"> p.29</w:t>
      </w:r>
      <w:r w:rsidR="00F26EEF">
        <w:t>.</w:t>
      </w:r>
    </w:p>
  </w:footnote>
  <w:footnote w:id="738">
    <w:p w14:paraId="0392F304" w14:textId="39B1FEEE" w:rsidR="00D82F50" w:rsidRDefault="00D82F50" w:rsidP="00D82F50">
      <w:pPr>
        <w:pStyle w:val="FootnoteText"/>
        <w:tabs>
          <w:tab w:val="left" w:pos="2773"/>
        </w:tabs>
      </w:pPr>
      <w:r>
        <w:rPr>
          <w:rStyle w:val="FootnoteReference"/>
        </w:rPr>
        <w:footnoteRef/>
      </w:r>
      <w:r>
        <w:t xml:space="preserve"> </w:t>
      </w:r>
      <w:r w:rsidRPr="00DF26C2">
        <w:t xml:space="preserve">Lorna Weatherill and Rhoda Edwards, ‘Pottery making in London and Whitehaven in the late seventeenth century’, </w:t>
      </w:r>
      <w:r w:rsidRPr="00DF26C2">
        <w:rPr>
          <w:i/>
          <w:iCs/>
        </w:rPr>
        <w:t xml:space="preserve">Post-Medieval Archaeology, </w:t>
      </w:r>
      <w:r w:rsidRPr="00DF26C2">
        <w:t>Vol. 5, No. 1, (1971), pp.160-181, p.172</w:t>
      </w:r>
      <w:r w:rsidR="00F26EEF">
        <w:t>.</w:t>
      </w:r>
    </w:p>
  </w:footnote>
  <w:footnote w:id="739">
    <w:p w14:paraId="3781979A" w14:textId="7C8DD250" w:rsidR="00D82F50" w:rsidRDefault="00D82F50" w:rsidP="00D82F50">
      <w:pPr>
        <w:pStyle w:val="FootnoteText"/>
      </w:pPr>
      <w:r>
        <w:rPr>
          <w:rStyle w:val="FootnoteReference"/>
        </w:rPr>
        <w:footnoteRef/>
      </w:r>
      <w:r>
        <w:t xml:space="preserve"> </w:t>
      </w:r>
      <w:r w:rsidRPr="00892D46">
        <w:t>Ibid. p.178</w:t>
      </w:r>
      <w:r w:rsidR="00F26EEF">
        <w:t>.</w:t>
      </w:r>
    </w:p>
  </w:footnote>
  <w:footnote w:id="740">
    <w:p w14:paraId="01A1BCCD" w14:textId="67CA4FCE" w:rsidR="00D82F50" w:rsidRDefault="00D82F50" w:rsidP="00D82F50">
      <w:pPr>
        <w:pStyle w:val="FootnoteText"/>
      </w:pPr>
      <w:r>
        <w:rPr>
          <w:rStyle w:val="FootnoteReference"/>
        </w:rPr>
        <w:footnoteRef/>
      </w:r>
      <w:r>
        <w:t xml:space="preserve"> This distinction is also made by Overton </w:t>
      </w:r>
      <w:r w:rsidRPr="00803506">
        <w:t>et al</w:t>
      </w:r>
      <w:r>
        <w:t xml:space="preserve"> in their comparison of Cornwall and Kent, two areas with more evident differences but nonetheless not too dissimilar in outlook</w:t>
      </w:r>
      <w:r w:rsidR="00DD038B">
        <w:t xml:space="preserve">, in </w:t>
      </w:r>
      <w:r w:rsidR="00381612">
        <w:t xml:space="preserve">Overton et al, </w:t>
      </w:r>
      <w:r w:rsidR="00381612" w:rsidRPr="00381612">
        <w:rPr>
          <w:i/>
          <w:iCs/>
        </w:rPr>
        <w:t>Production and Consumption</w:t>
      </w:r>
      <w:r w:rsidR="00381612">
        <w:rPr>
          <w:i/>
          <w:iCs/>
        </w:rPr>
        <w:t xml:space="preserve">, </w:t>
      </w:r>
      <w:r w:rsidR="00381612" w:rsidRPr="00381612">
        <w:t>pp</w:t>
      </w:r>
      <w:r w:rsidR="00381612">
        <w:t>.116-120</w:t>
      </w:r>
      <w:r w:rsidR="00F26EEF">
        <w:t>.</w:t>
      </w:r>
    </w:p>
  </w:footnote>
  <w:footnote w:id="741">
    <w:p w14:paraId="34D4AD62" w14:textId="57647EB5" w:rsidR="00D82F50" w:rsidRDefault="00D82F50" w:rsidP="00D82F50">
      <w:pPr>
        <w:pStyle w:val="FootnoteText"/>
      </w:pPr>
      <w:r>
        <w:rPr>
          <w:rStyle w:val="FootnoteReference"/>
        </w:rPr>
        <w:footnoteRef/>
      </w:r>
      <w:r>
        <w:t xml:space="preserve"> </w:t>
      </w:r>
      <w:r w:rsidRPr="0002464F">
        <w:t xml:space="preserve">CRO: WS 1731, Inventory of </w:t>
      </w:r>
      <w:proofErr w:type="spellStart"/>
      <w:r w:rsidRPr="0002464F">
        <w:t>Alsant</w:t>
      </w:r>
      <w:proofErr w:type="spellEnd"/>
      <w:r w:rsidRPr="0002464F">
        <w:t xml:space="preserve"> Hulme of Sutton, widow, 1731</w:t>
      </w:r>
      <w:r w:rsidR="00F26EEF">
        <w:t>.</w:t>
      </w:r>
    </w:p>
  </w:footnote>
  <w:footnote w:id="742">
    <w:p w14:paraId="5E0C692F" w14:textId="455DBCAC" w:rsidR="00D82F50" w:rsidRDefault="00D82F50" w:rsidP="00D82F50">
      <w:pPr>
        <w:pStyle w:val="FootnoteText"/>
      </w:pPr>
      <w:r>
        <w:rPr>
          <w:rStyle w:val="FootnoteReference"/>
        </w:rPr>
        <w:footnoteRef/>
      </w:r>
      <w:r>
        <w:t xml:space="preserve"> </w:t>
      </w:r>
      <w:r w:rsidRPr="00314D8D">
        <w:t xml:space="preserve">Mary Hodges, ‘Widows of the ‘middling sort’ and their assets in two seventeenth-century towns’, in Tom Arkell, Nesta Evans and Nigel Goose (eds), </w:t>
      </w:r>
      <w:r w:rsidRPr="00314D8D">
        <w:rPr>
          <w:i/>
          <w:iCs/>
        </w:rPr>
        <w:t>When</w:t>
      </w:r>
      <w:r w:rsidRPr="00314D8D">
        <w:t xml:space="preserve"> </w:t>
      </w:r>
      <w:r w:rsidRPr="00314D8D">
        <w:rPr>
          <w:i/>
          <w:iCs/>
        </w:rPr>
        <w:t xml:space="preserve">Death Do Us Part: Understanding and Interpreting the Probate Records of Early Modern England, </w:t>
      </w:r>
      <w:r w:rsidRPr="00314D8D">
        <w:t>(Oxford, 2000), pp.306-324, p.317</w:t>
      </w:r>
      <w:r w:rsidR="00F26EEF">
        <w:t>.</w:t>
      </w:r>
    </w:p>
  </w:footnote>
  <w:footnote w:id="743">
    <w:p w14:paraId="1D2C1A96" w14:textId="381BE0EF" w:rsidR="00D82F50" w:rsidRDefault="00D82F50" w:rsidP="00D82F50">
      <w:pPr>
        <w:pStyle w:val="FootnoteText"/>
      </w:pPr>
      <w:r>
        <w:rPr>
          <w:rStyle w:val="FootnoteReference"/>
        </w:rPr>
        <w:footnoteRef/>
      </w:r>
      <w:r>
        <w:t xml:space="preserve"> CRO: WS 1731, Inventory of </w:t>
      </w:r>
      <w:proofErr w:type="spellStart"/>
      <w:r>
        <w:t>Alsant</w:t>
      </w:r>
      <w:proofErr w:type="spellEnd"/>
      <w:r>
        <w:t xml:space="preserve"> Hulme of Sutton, widow, 1731</w:t>
      </w:r>
      <w:r w:rsidR="00F26EEF">
        <w:t>.</w:t>
      </w:r>
    </w:p>
  </w:footnote>
  <w:footnote w:id="744">
    <w:p w14:paraId="4004BADE" w14:textId="2091117C" w:rsidR="00D82F50" w:rsidRDefault="00D82F50" w:rsidP="00D82F50">
      <w:pPr>
        <w:pStyle w:val="FootnoteText"/>
      </w:pPr>
      <w:r>
        <w:rPr>
          <w:rStyle w:val="FootnoteReference"/>
        </w:rPr>
        <w:footnoteRef/>
      </w:r>
      <w:r>
        <w:t xml:space="preserve"> Angela McShane, ‘Tobacco-taking and identity-making in early modern Britain and North America’, </w:t>
      </w:r>
      <w:r>
        <w:rPr>
          <w:i/>
          <w:iCs/>
        </w:rPr>
        <w:t xml:space="preserve">The Historical Journal, </w:t>
      </w:r>
      <w:r>
        <w:t>Vol. 65, (2022), pp.108-129, p.118</w:t>
      </w:r>
      <w:r w:rsidR="00F26EEF">
        <w:t>.</w:t>
      </w:r>
    </w:p>
  </w:footnote>
  <w:footnote w:id="745">
    <w:p w14:paraId="1081B057" w14:textId="7B3CF25B" w:rsidR="00D82F50" w:rsidRDefault="00D82F50" w:rsidP="00D82F50">
      <w:pPr>
        <w:pStyle w:val="FootnoteText"/>
      </w:pPr>
      <w:r>
        <w:rPr>
          <w:rStyle w:val="FootnoteReference"/>
        </w:rPr>
        <w:footnoteRef/>
      </w:r>
      <w:r>
        <w:t xml:space="preserve"> Ibid.</w:t>
      </w:r>
    </w:p>
  </w:footnote>
  <w:footnote w:id="746">
    <w:p w14:paraId="5A56BD57" w14:textId="785881A8" w:rsidR="00D82F50" w:rsidRDefault="00D82F50" w:rsidP="00D82F50">
      <w:pPr>
        <w:pStyle w:val="FootnoteText"/>
      </w:pPr>
      <w:r>
        <w:rPr>
          <w:rStyle w:val="FootnoteReference"/>
        </w:rPr>
        <w:footnoteRef/>
      </w:r>
      <w:r>
        <w:t xml:space="preserve"> CRO: WS 1731, Inventory of </w:t>
      </w:r>
      <w:proofErr w:type="spellStart"/>
      <w:r>
        <w:t>Alsant</w:t>
      </w:r>
      <w:proofErr w:type="spellEnd"/>
      <w:r>
        <w:t xml:space="preserve"> Hulme of Sutton, widow, 1731</w:t>
      </w:r>
      <w:r w:rsidR="00F26EEF">
        <w:t>.</w:t>
      </w:r>
    </w:p>
  </w:footnote>
  <w:footnote w:id="747">
    <w:p w14:paraId="4CAA943D" w14:textId="76731266" w:rsidR="00D82F50" w:rsidRDefault="00D82F50" w:rsidP="00D82F50">
      <w:pPr>
        <w:pStyle w:val="FootnoteText"/>
      </w:pPr>
      <w:r>
        <w:rPr>
          <w:rStyle w:val="FootnoteReference"/>
        </w:rPr>
        <w:footnoteRef/>
      </w:r>
      <w:r>
        <w:t xml:space="preserve"> McShane, ‘Tobacco-taking’, p.120</w:t>
      </w:r>
      <w:r w:rsidR="00F26EEF">
        <w:t>.</w:t>
      </w:r>
    </w:p>
  </w:footnote>
  <w:footnote w:id="748">
    <w:p w14:paraId="4705B5A3" w14:textId="77777777" w:rsidR="00D82F50" w:rsidRDefault="00D82F50" w:rsidP="00D82F50">
      <w:pPr>
        <w:pStyle w:val="FootnoteText"/>
      </w:pPr>
      <w:r>
        <w:rPr>
          <w:rStyle w:val="FootnoteReference"/>
        </w:rPr>
        <w:footnoteRef/>
      </w:r>
      <w:r>
        <w:t xml:space="preserve"> Angela McShane, ‘Belonging and belongings: identity, emotion and memory stored in a tobacco box’, in Dagmar </w:t>
      </w:r>
      <w:proofErr w:type="spellStart"/>
      <w:r>
        <w:t>Freist</w:t>
      </w:r>
      <w:proofErr w:type="spellEnd"/>
      <w:r>
        <w:t xml:space="preserve">, Sabine </w:t>
      </w:r>
      <w:proofErr w:type="spellStart"/>
      <w:r>
        <w:t>Kyora</w:t>
      </w:r>
      <w:proofErr w:type="spellEnd"/>
      <w:r>
        <w:t xml:space="preserve"> and Melanie Unseld (eds), </w:t>
      </w:r>
      <w:proofErr w:type="spellStart"/>
      <w:r>
        <w:rPr>
          <w:i/>
          <w:iCs/>
        </w:rPr>
        <w:t>Transkulturelle</w:t>
      </w:r>
      <w:proofErr w:type="spellEnd"/>
      <w:r>
        <w:rPr>
          <w:i/>
          <w:iCs/>
        </w:rPr>
        <w:t xml:space="preserve"> </w:t>
      </w:r>
      <w:proofErr w:type="spellStart"/>
      <w:r w:rsidRPr="0015666C">
        <w:rPr>
          <w:i/>
          <w:iCs/>
        </w:rPr>
        <w:t>Mehrfachzugehörigkeiten</w:t>
      </w:r>
      <w:proofErr w:type="spellEnd"/>
      <w:r w:rsidRPr="0015666C">
        <w:rPr>
          <w:i/>
          <w:iCs/>
        </w:rPr>
        <w:t xml:space="preserve"> </w:t>
      </w:r>
      <w:proofErr w:type="spellStart"/>
      <w:r w:rsidRPr="0015666C">
        <w:rPr>
          <w:i/>
          <w:iCs/>
        </w:rPr>
        <w:t>als</w:t>
      </w:r>
      <w:proofErr w:type="spellEnd"/>
      <w:r w:rsidRPr="0015666C">
        <w:rPr>
          <w:i/>
          <w:iCs/>
        </w:rPr>
        <w:t xml:space="preserve"> </w:t>
      </w:r>
      <w:proofErr w:type="spellStart"/>
      <w:r w:rsidRPr="0015666C">
        <w:rPr>
          <w:i/>
          <w:iCs/>
        </w:rPr>
        <w:t>kulturhistorisches</w:t>
      </w:r>
      <w:proofErr w:type="spellEnd"/>
      <w:r w:rsidRPr="0015666C">
        <w:rPr>
          <w:i/>
          <w:iCs/>
        </w:rPr>
        <w:t xml:space="preserve"> </w:t>
      </w:r>
      <w:proofErr w:type="spellStart"/>
      <w:r w:rsidRPr="0015666C">
        <w:rPr>
          <w:i/>
          <w:iCs/>
        </w:rPr>
        <w:t>Phänomen</w:t>
      </w:r>
      <w:proofErr w:type="spellEnd"/>
      <w:r w:rsidRPr="0015666C">
        <w:rPr>
          <w:i/>
          <w:iCs/>
        </w:rPr>
        <w:t xml:space="preserve">. </w:t>
      </w:r>
      <w:proofErr w:type="spellStart"/>
      <w:r w:rsidRPr="0015666C">
        <w:rPr>
          <w:i/>
          <w:iCs/>
        </w:rPr>
        <w:t>Räume</w:t>
      </w:r>
      <w:proofErr w:type="spellEnd"/>
      <w:r w:rsidRPr="0015666C">
        <w:rPr>
          <w:i/>
          <w:iCs/>
        </w:rPr>
        <w:t xml:space="preserve"> – </w:t>
      </w:r>
      <w:proofErr w:type="spellStart"/>
      <w:r w:rsidRPr="0015666C">
        <w:rPr>
          <w:i/>
          <w:iCs/>
        </w:rPr>
        <w:t>Materialitäten</w:t>
      </w:r>
      <w:proofErr w:type="spellEnd"/>
      <w:r w:rsidRPr="0015666C">
        <w:rPr>
          <w:i/>
          <w:iCs/>
        </w:rPr>
        <w:t xml:space="preserve"> – </w:t>
      </w:r>
      <w:proofErr w:type="spellStart"/>
      <w:r w:rsidRPr="0015666C">
        <w:rPr>
          <w:i/>
          <w:iCs/>
        </w:rPr>
        <w:t>Erinnerungen</w:t>
      </w:r>
      <w:proofErr w:type="spellEnd"/>
      <w:r>
        <w:rPr>
          <w:i/>
          <w:iCs/>
        </w:rPr>
        <w:t xml:space="preserve">, </w:t>
      </w:r>
      <w:r>
        <w:t xml:space="preserve">(Bielefeld, 2019), pp.59-82, p.66 </w:t>
      </w:r>
    </w:p>
  </w:footnote>
  <w:footnote w:id="749">
    <w:p w14:paraId="41160103" w14:textId="3795C35F" w:rsidR="00D82F50" w:rsidRDefault="00D82F50" w:rsidP="00D82F50">
      <w:pPr>
        <w:pStyle w:val="FootnoteText"/>
      </w:pPr>
      <w:r>
        <w:rPr>
          <w:rStyle w:val="FootnoteReference"/>
        </w:rPr>
        <w:footnoteRef/>
      </w:r>
      <w:r>
        <w:t>Ibid., p.69</w:t>
      </w:r>
      <w:r w:rsidR="00F26EEF">
        <w:t>.</w:t>
      </w:r>
    </w:p>
  </w:footnote>
  <w:footnote w:id="750">
    <w:p w14:paraId="04319EEB" w14:textId="0774F825" w:rsidR="00D82F50" w:rsidRDefault="00D82F50" w:rsidP="00D82F50">
      <w:pPr>
        <w:pStyle w:val="FootnoteText"/>
      </w:pPr>
      <w:r>
        <w:rPr>
          <w:rStyle w:val="FootnoteReference"/>
        </w:rPr>
        <w:footnoteRef/>
      </w:r>
      <w:r>
        <w:t xml:space="preserve"> McShane, ‘Tobacco-taking’, p.125</w:t>
      </w:r>
      <w:r w:rsidR="00F26EEF">
        <w:t>.</w:t>
      </w:r>
    </w:p>
  </w:footnote>
  <w:footnote w:id="751">
    <w:p w14:paraId="7EAA5424" w14:textId="2D6054BF" w:rsidR="00D82F50" w:rsidRPr="00CD357D" w:rsidRDefault="00D82F50" w:rsidP="00D82F50">
      <w:pPr>
        <w:pStyle w:val="FootnoteText"/>
      </w:pPr>
      <w:r>
        <w:rPr>
          <w:rStyle w:val="FootnoteReference"/>
        </w:rPr>
        <w:footnoteRef/>
      </w:r>
      <w:r>
        <w:t xml:space="preserve"> Edward Town and Angela McShane (eds), </w:t>
      </w:r>
      <w:r>
        <w:rPr>
          <w:i/>
          <w:iCs/>
        </w:rPr>
        <w:t xml:space="preserve">Marking Time: Objects, People, and Their Lives, 1500-1800, </w:t>
      </w:r>
      <w:r>
        <w:t>(New Haven, 2020),</w:t>
      </w:r>
      <w:r>
        <w:rPr>
          <w:i/>
          <w:iCs/>
        </w:rPr>
        <w:t xml:space="preserve"> </w:t>
      </w:r>
      <w:r>
        <w:t>p.310, p.318</w:t>
      </w:r>
      <w:r w:rsidR="00F26EEF">
        <w:t>.</w:t>
      </w:r>
    </w:p>
  </w:footnote>
  <w:footnote w:id="752">
    <w:p w14:paraId="676AE0D0" w14:textId="4502704F" w:rsidR="00D82F50" w:rsidRDefault="00D82F50" w:rsidP="00D82F50">
      <w:pPr>
        <w:pStyle w:val="FootnoteText"/>
      </w:pPr>
      <w:r>
        <w:rPr>
          <w:rStyle w:val="FootnoteReference"/>
        </w:rPr>
        <w:footnoteRef/>
      </w:r>
      <w:r w:rsidR="00DD038B">
        <w:t xml:space="preserve"> </w:t>
      </w:r>
      <w:r w:rsidRPr="001E2536">
        <w:t xml:space="preserve">Juliet Fleming, </w:t>
      </w:r>
      <w:r w:rsidRPr="001E2536">
        <w:rPr>
          <w:i/>
          <w:iCs/>
        </w:rPr>
        <w:t xml:space="preserve">Graffiti and the Writing Arts of Early Modern England, </w:t>
      </w:r>
      <w:r w:rsidRPr="001E2536">
        <w:t>(London, 2001), p.14</w:t>
      </w:r>
      <w:r>
        <w:t>0</w:t>
      </w:r>
      <w:r w:rsidR="00F26EEF">
        <w:t>.</w:t>
      </w:r>
    </w:p>
  </w:footnote>
  <w:footnote w:id="753">
    <w:p w14:paraId="0A3F6F98" w14:textId="08FF4B8F" w:rsidR="00D82F50" w:rsidRPr="0021666C" w:rsidRDefault="00D82F50" w:rsidP="00D82F50">
      <w:pPr>
        <w:pStyle w:val="FootnoteText"/>
      </w:pPr>
      <w:r>
        <w:rPr>
          <w:rStyle w:val="FootnoteReference"/>
        </w:rPr>
        <w:footnoteRef/>
      </w:r>
      <w:r>
        <w:t xml:space="preserve"> ‘Ring, 17</w:t>
      </w:r>
      <w:r w:rsidRPr="0021666C">
        <w:rPr>
          <w:vertAlign w:val="superscript"/>
        </w:rPr>
        <w:t>th</w:t>
      </w:r>
      <w:r>
        <w:t xml:space="preserve"> century (made)’, </w:t>
      </w:r>
      <w:r>
        <w:rPr>
          <w:i/>
          <w:iCs/>
        </w:rPr>
        <w:t xml:space="preserve">Victoria &amp; Albert Museum, </w:t>
      </w:r>
      <w:r>
        <w:t>[</w:t>
      </w:r>
      <w:r w:rsidRPr="0021666C">
        <w:t>https://collections.vam.ac.uk/item/O118545/ring-unknown/</w:t>
      </w:r>
      <w:r>
        <w:t>; accessed 20 October 2021]</w:t>
      </w:r>
      <w:r w:rsidR="00F26EEF">
        <w:t>.</w:t>
      </w:r>
    </w:p>
  </w:footnote>
  <w:footnote w:id="754">
    <w:p w14:paraId="3EA8E080" w14:textId="639FEACB" w:rsidR="00D82F50" w:rsidRDefault="00D82F50" w:rsidP="00D82F50">
      <w:pPr>
        <w:pStyle w:val="FootnoteText"/>
      </w:pPr>
      <w:r>
        <w:rPr>
          <w:rStyle w:val="FootnoteReference"/>
        </w:rPr>
        <w:footnoteRef/>
      </w:r>
      <w:r>
        <w:t xml:space="preserve"> Fleming, </w:t>
      </w:r>
      <w:r>
        <w:rPr>
          <w:i/>
          <w:iCs/>
        </w:rPr>
        <w:t>Graffiti,</w:t>
      </w:r>
      <w:r>
        <w:t xml:space="preserve"> p.142</w:t>
      </w:r>
      <w:r w:rsidR="00F26EEF">
        <w:t>.</w:t>
      </w:r>
    </w:p>
  </w:footnote>
  <w:footnote w:id="755">
    <w:p w14:paraId="6FB976DF" w14:textId="099B6BDB" w:rsidR="00D82F50" w:rsidRPr="008612CC" w:rsidRDefault="00D82F50" w:rsidP="00D82F50">
      <w:pPr>
        <w:pStyle w:val="FootnoteText"/>
      </w:pPr>
      <w:r>
        <w:rPr>
          <w:rStyle w:val="FootnoteReference"/>
        </w:rPr>
        <w:footnoteRef/>
      </w:r>
      <w:r>
        <w:t xml:space="preserve"> Bower Marsh (ed.), </w:t>
      </w:r>
      <w:r>
        <w:rPr>
          <w:i/>
          <w:iCs/>
        </w:rPr>
        <w:t xml:space="preserve">Memorial Rings: Charles the Second to William the Fourth, in the Possession of Frederick Arthur Crisp, </w:t>
      </w:r>
      <w:r>
        <w:t>(London, 1908)</w:t>
      </w:r>
      <w:r>
        <w:rPr>
          <w:i/>
          <w:iCs/>
        </w:rPr>
        <w:t xml:space="preserve">, </w:t>
      </w:r>
      <w:r>
        <w:t>p.1</w:t>
      </w:r>
      <w:r w:rsidR="00F26EEF">
        <w:t>.</w:t>
      </w:r>
    </w:p>
  </w:footnote>
  <w:footnote w:id="756">
    <w:p w14:paraId="39124A30" w14:textId="5B97B0B7" w:rsidR="00D82F50" w:rsidRDefault="00D82F50" w:rsidP="00D82F50">
      <w:pPr>
        <w:pStyle w:val="FootnoteText"/>
      </w:pPr>
      <w:r>
        <w:rPr>
          <w:rStyle w:val="FootnoteReference"/>
        </w:rPr>
        <w:footnoteRef/>
      </w:r>
      <w:r>
        <w:t xml:space="preserve"> Diana </w:t>
      </w:r>
      <w:r w:rsidRPr="00790F32">
        <w:t xml:space="preserve">Scarisbrick, </w:t>
      </w:r>
      <w:r w:rsidRPr="00504B35">
        <w:rPr>
          <w:i/>
          <w:iCs/>
        </w:rPr>
        <w:t xml:space="preserve">Rings: </w:t>
      </w:r>
      <w:proofErr w:type="spellStart"/>
      <w:r w:rsidRPr="00504B35">
        <w:rPr>
          <w:i/>
          <w:iCs/>
        </w:rPr>
        <w:t>Jewelry</w:t>
      </w:r>
      <w:proofErr w:type="spellEnd"/>
      <w:r w:rsidRPr="00504B35">
        <w:rPr>
          <w:i/>
          <w:iCs/>
        </w:rPr>
        <w:t xml:space="preserve"> of Power, Love and Loyalty</w:t>
      </w:r>
      <w:r w:rsidRPr="00790F32">
        <w:t>,</w:t>
      </w:r>
      <w:r>
        <w:t xml:space="preserve"> (London, 2007),</w:t>
      </w:r>
      <w:r w:rsidRPr="00790F32">
        <w:t xml:space="preserve"> p.166; </w:t>
      </w:r>
      <w:r>
        <w:t xml:space="preserve">Diana </w:t>
      </w:r>
      <w:r w:rsidRPr="00790F32">
        <w:t>Scarisbrick</w:t>
      </w:r>
      <w:r w:rsidRPr="00504B35">
        <w:rPr>
          <w:i/>
          <w:iCs/>
        </w:rPr>
        <w:t>, Rings: Symbols of Wealth, Power and Affection</w:t>
      </w:r>
      <w:r w:rsidRPr="00790F32">
        <w:t>,</w:t>
      </w:r>
      <w:r>
        <w:t xml:space="preserve"> (London, 1993)</w:t>
      </w:r>
      <w:r w:rsidR="00AE24F4">
        <w:t>,</w:t>
      </w:r>
      <w:r w:rsidRPr="00790F32">
        <w:t xml:space="preserve"> p. 85</w:t>
      </w:r>
      <w:r w:rsidR="00F26EEF">
        <w:t>.</w:t>
      </w:r>
    </w:p>
  </w:footnote>
  <w:footnote w:id="757">
    <w:p w14:paraId="0DB4F2F9" w14:textId="2A856C47" w:rsidR="00D82F50" w:rsidRDefault="00D82F50" w:rsidP="00D82F50">
      <w:pPr>
        <w:pStyle w:val="FootnoteText"/>
      </w:pPr>
      <w:r>
        <w:rPr>
          <w:rStyle w:val="FootnoteReference"/>
        </w:rPr>
        <w:footnoteRef/>
      </w:r>
      <w:r>
        <w:t xml:space="preserve"> Cara Sian Middlemass, ‘Mourning jewellery in England, c.1500-1800’, (Newcastle University, 2018</w:t>
      </w:r>
      <w:r w:rsidR="003E66F7">
        <w:t xml:space="preserve">; </w:t>
      </w:r>
      <w:r w:rsidR="003E66F7" w:rsidRPr="003E66F7">
        <w:t>unpublished PhD thesis</w:t>
      </w:r>
      <w:r>
        <w:t>), p.68</w:t>
      </w:r>
      <w:r w:rsidR="00F26EEF">
        <w:t>.</w:t>
      </w:r>
    </w:p>
  </w:footnote>
  <w:footnote w:id="758">
    <w:p w14:paraId="71DA04A2" w14:textId="65633CE9" w:rsidR="00D82F50" w:rsidRPr="007D6D1A" w:rsidRDefault="00D82F50" w:rsidP="00D82F50">
      <w:pPr>
        <w:pStyle w:val="FootnoteText"/>
      </w:pPr>
      <w:r>
        <w:rPr>
          <w:rStyle w:val="FootnoteReference"/>
        </w:rPr>
        <w:footnoteRef/>
      </w:r>
      <w:r>
        <w:t xml:space="preserve"> James Raine, </w:t>
      </w:r>
      <w:r>
        <w:rPr>
          <w:i/>
          <w:iCs/>
        </w:rPr>
        <w:t xml:space="preserve">The Fabric Rolls of York Minster: Vol. 35, </w:t>
      </w:r>
      <w:r>
        <w:t>(Durham, 1858), p.350, cited in Ibid., p.56</w:t>
      </w:r>
      <w:r w:rsidR="00F26EEF">
        <w:t>.</w:t>
      </w:r>
    </w:p>
  </w:footnote>
  <w:footnote w:id="759">
    <w:p w14:paraId="53F0B44F" w14:textId="77777777" w:rsidR="00D82F50" w:rsidRDefault="00D82F50" w:rsidP="00D82F50">
      <w:pPr>
        <w:pStyle w:val="FootnoteText"/>
      </w:pPr>
      <w:r>
        <w:rPr>
          <w:rStyle w:val="FootnoteReference"/>
        </w:rPr>
        <w:footnoteRef/>
      </w:r>
      <w:r>
        <w:t xml:space="preserve"> Chapter three explored this connection in detail.</w:t>
      </w:r>
    </w:p>
  </w:footnote>
  <w:footnote w:id="760">
    <w:p w14:paraId="54422579" w14:textId="393723A3" w:rsidR="00D82F50" w:rsidRDefault="00D82F50" w:rsidP="00D82F50">
      <w:pPr>
        <w:pStyle w:val="FootnoteText"/>
      </w:pPr>
      <w:r>
        <w:rPr>
          <w:rStyle w:val="FootnoteReference"/>
        </w:rPr>
        <w:footnoteRef/>
      </w:r>
      <w:r>
        <w:t xml:space="preserve"> Bridget Millmore, ‘Love tokens: engraved coins, emotions and the poor 1700-1856’, (University of Brighton, 2015</w:t>
      </w:r>
      <w:r w:rsidR="00AE7ECF">
        <w:t xml:space="preserve">; </w:t>
      </w:r>
      <w:r w:rsidR="00AE7ECF" w:rsidRPr="00AE7ECF">
        <w:t>unpublished PhD thesis</w:t>
      </w:r>
      <w:r>
        <w:t>), p.24</w:t>
      </w:r>
      <w:r w:rsidR="00F26EEF">
        <w:t>.</w:t>
      </w:r>
    </w:p>
  </w:footnote>
  <w:footnote w:id="761">
    <w:p w14:paraId="08A46695" w14:textId="2B24AE15" w:rsidR="00D82F50" w:rsidRDefault="00D82F50" w:rsidP="00D82F50">
      <w:pPr>
        <w:pStyle w:val="FootnoteText"/>
      </w:pPr>
      <w:r>
        <w:rPr>
          <w:rStyle w:val="FootnoteReference"/>
        </w:rPr>
        <w:footnoteRef/>
      </w:r>
      <w:r>
        <w:t xml:space="preserve"> Ibid., p.14</w:t>
      </w:r>
      <w:r w:rsidR="00F26EEF">
        <w:t>.</w:t>
      </w:r>
    </w:p>
  </w:footnote>
  <w:footnote w:id="762">
    <w:p w14:paraId="26000A84" w14:textId="135EED0C" w:rsidR="00D82F50" w:rsidRPr="00705F73" w:rsidRDefault="00D82F50" w:rsidP="00D82F50">
      <w:pPr>
        <w:pStyle w:val="FootnoteText"/>
      </w:pPr>
      <w:r>
        <w:rPr>
          <w:rStyle w:val="FootnoteReference"/>
        </w:rPr>
        <w:footnoteRef/>
      </w:r>
      <w:r>
        <w:t xml:space="preserve"> George Berry, </w:t>
      </w:r>
      <w:r>
        <w:rPr>
          <w:i/>
          <w:iCs/>
        </w:rPr>
        <w:t xml:space="preserve">Discovering Trade Tokens, </w:t>
      </w:r>
      <w:r>
        <w:t>(Princes Risborough, 1969), p.3</w:t>
      </w:r>
      <w:r w:rsidR="00F26EEF">
        <w:t>.</w:t>
      </w:r>
    </w:p>
  </w:footnote>
  <w:footnote w:id="763">
    <w:p w14:paraId="6AA0401E" w14:textId="3BB8AE1E" w:rsidR="00D82F50" w:rsidRPr="007076EF" w:rsidRDefault="00D82F50" w:rsidP="00D82F50">
      <w:pPr>
        <w:pStyle w:val="FootnoteText"/>
      </w:pPr>
      <w:r>
        <w:rPr>
          <w:rStyle w:val="FootnoteReference"/>
        </w:rPr>
        <w:footnoteRef/>
      </w:r>
      <w:r>
        <w:t xml:space="preserve"> Adrian Marsden, ‘How and how far did seventeenth-century tokens circulate? A consideration of some of the evidence from Norfolk’, </w:t>
      </w:r>
      <w:r>
        <w:rPr>
          <w:i/>
          <w:iCs/>
        </w:rPr>
        <w:t xml:space="preserve">Token Corresponding Society Bulletin, </w:t>
      </w:r>
      <w:r>
        <w:t>Vol. 13, No. 6, (2021), pp.213-222</w:t>
      </w:r>
      <w:r w:rsidR="00F26EEF">
        <w:t>.</w:t>
      </w:r>
    </w:p>
  </w:footnote>
  <w:footnote w:id="764">
    <w:p w14:paraId="20C8BAC2" w14:textId="36FC76B0" w:rsidR="00D82F50" w:rsidRDefault="00D82F50" w:rsidP="00D82F50">
      <w:pPr>
        <w:pStyle w:val="FootnoteText"/>
      </w:pPr>
      <w:r>
        <w:rPr>
          <w:rStyle w:val="FootnoteReference"/>
        </w:rPr>
        <w:footnoteRef/>
      </w:r>
      <w:r>
        <w:t xml:space="preserve"> Michael Mitchiner and Anne Skinner, ‘English tokens, c.1425-1672’, </w:t>
      </w:r>
      <w:r>
        <w:rPr>
          <w:i/>
          <w:iCs/>
        </w:rPr>
        <w:t xml:space="preserve">British Numismatic Journal, </w:t>
      </w:r>
      <w:r>
        <w:t>Vol. 54, No. 11, (1984), pp.86-153, p.124</w:t>
      </w:r>
      <w:r w:rsidR="00F26EEF">
        <w:t>.</w:t>
      </w:r>
    </w:p>
  </w:footnote>
  <w:footnote w:id="765">
    <w:p w14:paraId="4FB1619E" w14:textId="773B0102" w:rsidR="00D82F50" w:rsidRDefault="00D82F50" w:rsidP="00D82F50">
      <w:pPr>
        <w:pStyle w:val="FootnoteText"/>
      </w:pPr>
      <w:r>
        <w:rPr>
          <w:rStyle w:val="FootnoteReference"/>
        </w:rPr>
        <w:footnoteRef/>
      </w:r>
      <w:r>
        <w:t xml:space="preserve"> </w:t>
      </w:r>
      <w:r w:rsidRPr="00AE1FE1">
        <w:t>Idit Ben-</w:t>
      </w:r>
      <w:proofErr w:type="gramStart"/>
      <w:r w:rsidRPr="00AE1FE1">
        <w:t>Or,</w:t>
      </w:r>
      <w:proofErr w:type="gramEnd"/>
      <w:r w:rsidRPr="00AE1FE1">
        <w:t xml:space="preserve"> ‘Women’s work on small change: privately issued currency by women in mid-</w:t>
      </w:r>
      <w:r>
        <w:t>seventeenth</w:t>
      </w:r>
      <w:r w:rsidRPr="00AE1FE1">
        <w:t xml:space="preserve"> century London’, </w:t>
      </w:r>
      <w:r w:rsidRPr="00AE1FE1">
        <w:rPr>
          <w:i/>
          <w:iCs/>
        </w:rPr>
        <w:t xml:space="preserve">Humanities and Social Sciences Communication, </w:t>
      </w:r>
      <w:r w:rsidRPr="00AE1FE1">
        <w:t>Vol. 9, No.107, (2022), pp.1-10</w:t>
      </w:r>
      <w:r>
        <w:t>, p.4</w:t>
      </w:r>
      <w:r w:rsidR="00F26EEF">
        <w:t>.</w:t>
      </w:r>
    </w:p>
  </w:footnote>
  <w:footnote w:id="766">
    <w:p w14:paraId="62FACCA1" w14:textId="4064D48D" w:rsidR="00D82F50" w:rsidRDefault="00D82F50" w:rsidP="00D82F50">
      <w:pPr>
        <w:pStyle w:val="FootnoteText"/>
      </w:pPr>
      <w:r>
        <w:rPr>
          <w:rStyle w:val="FootnoteReference"/>
        </w:rPr>
        <w:footnoteRef/>
      </w:r>
      <w:r>
        <w:t xml:space="preserve"> William Boyne, </w:t>
      </w:r>
      <w:r>
        <w:rPr>
          <w:i/>
          <w:iCs/>
        </w:rPr>
        <w:t xml:space="preserve">Trade tokens issued in the seventeenth century in England, Wales, and Ireland, by corporations, merchants, tradesmen, etc., Vol. 2, </w:t>
      </w:r>
      <w:r>
        <w:t>(London, 1889), p.402</w:t>
      </w:r>
      <w:r w:rsidR="00F26EEF">
        <w:t>.</w:t>
      </w:r>
    </w:p>
  </w:footnote>
  <w:footnote w:id="767">
    <w:p w14:paraId="4A891B59" w14:textId="17B61C35" w:rsidR="00D82F50" w:rsidRDefault="00D82F50" w:rsidP="00D82F50">
      <w:pPr>
        <w:pStyle w:val="FootnoteText"/>
      </w:pPr>
      <w:r>
        <w:rPr>
          <w:rStyle w:val="FootnoteReference"/>
        </w:rPr>
        <w:footnoteRef/>
      </w:r>
      <w:r>
        <w:t xml:space="preserve"> Ibid., </w:t>
      </w:r>
      <w:r>
        <w:rPr>
          <w:i/>
          <w:iCs/>
        </w:rPr>
        <w:t>Vol. 2</w:t>
      </w:r>
      <w:r>
        <w:t>, pp.89-93</w:t>
      </w:r>
      <w:r w:rsidR="00F26EEF">
        <w:t>.</w:t>
      </w:r>
    </w:p>
  </w:footnote>
  <w:footnote w:id="768">
    <w:p w14:paraId="08EAFD87" w14:textId="613A615D" w:rsidR="00D82F50" w:rsidRDefault="00D82F50" w:rsidP="00D82F50">
      <w:pPr>
        <w:pStyle w:val="FootnoteText"/>
      </w:pPr>
      <w:r>
        <w:rPr>
          <w:rStyle w:val="FootnoteReference"/>
        </w:rPr>
        <w:footnoteRef/>
      </w:r>
      <w:r>
        <w:t xml:space="preserve"> </w:t>
      </w:r>
      <w:r w:rsidRPr="002B3709">
        <w:t xml:space="preserve">Sasha Handley, </w:t>
      </w:r>
      <w:r w:rsidRPr="002B3709">
        <w:rPr>
          <w:i/>
          <w:iCs/>
        </w:rPr>
        <w:t xml:space="preserve">Sleep in Early Modern England, </w:t>
      </w:r>
      <w:r w:rsidRPr="002B3709">
        <w:t>(Yale, 2016)</w:t>
      </w:r>
      <w:r>
        <w:t>,</w:t>
      </w:r>
      <w:r w:rsidRPr="002B3709">
        <w:t xml:space="preserve"> </w:t>
      </w:r>
      <w:r>
        <w:t>pp.</w:t>
      </w:r>
      <w:r w:rsidRPr="002B3709">
        <w:t>133</w:t>
      </w:r>
      <w:r>
        <w:t>-134</w:t>
      </w:r>
      <w:r w:rsidR="00F26EEF">
        <w:t>.</w:t>
      </w:r>
    </w:p>
  </w:footnote>
  <w:footnote w:id="769">
    <w:p w14:paraId="3A0CCF81" w14:textId="0E6203D9" w:rsidR="00D82F50" w:rsidRDefault="00D82F50" w:rsidP="00D82F50">
      <w:pPr>
        <w:pStyle w:val="FootnoteText"/>
      </w:pPr>
      <w:r>
        <w:rPr>
          <w:rStyle w:val="FootnoteReference"/>
        </w:rPr>
        <w:footnoteRef/>
      </w:r>
      <w:r>
        <w:t xml:space="preserve"> Ibid., p.134</w:t>
      </w:r>
      <w:r w:rsidR="00F26EEF">
        <w:t>.</w:t>
      </w:r>
    </w:p>
  </w:footnote>
  <w:footnote w:id="770">
    <w:p w14:paraId="188148D4" w14:textId="518C6198" w:rsidR="00D82F50" w:rsidRDefault="00D82F50" w:rsidP="00D82F50">
      <w:pPr>
        <w:pStyle w:val="FootnoteText"/>
      </w:pPr>
      <w:r>
        <w:rPr>
          <w:rStyle w:val="FootnoteReference"/>
        </w:rPr>
        <w:footnoteRef/>
      </w:r>
      <w:r>
        <w:t xml:space="preserve"> CRO: WS 1731, Will of </w:t>
      </w:r>
      <w:proofErr w:type="spellStart"/>
      <w:r>
        <w:t>Alsant</w:t>
      </w:r>
      <w:proofErr w:type="spellEnd"/>
      <w:r>
        <w:t xml:space="preserve"> Hulme of Sutton, widow, 1731</w:t>
      </w:r>
      <w:r w:rsidR="00F26EEF">
        <w:t>.</w:t>
      </w:r>
    </w:p>
  </w:footnote>
  <w:footnote w:id="771">
    <w:p w14:paraId="32D3B300" w14:textId="2DA29720" w:rsidR="00D82F50" w:rsidRDefault="00D82F50" w:rsidP="00D82F50">
      <w:pPr>
        <w:pStyle w:val="FootnoteText"/>
      </w:pPr>
      <w:r>
        <w:rPr>
          <w:rStyle w:val="FootnoteReference"/>
        </w:rPr>
        <w:footnoteRef/>
      </w:r>
      <w:r>
        <w:t xml:space="preserve"> Handley, </w:t>
      </w:r>
      <w:r>
        <w:rPr>
          <w:i/>
          <w:iCs/>
        </w:rPr>
        <w:t xml:space="preserve">Sleep, </w:t>
      </w:r>
      <w:r>
        <w:t>p.134</w:t>
      </w:r>
      <w:r w:rsidR="00F26EEF">
        <w:t>.</w:t>
      </w:r>
    </w:p>
  </w:footnote>
  <w:footnote w:id="772">
    <w:p w14:paraId="7E86D380" w14:textId="1188DC30" w:rsidR="00D82F50" w:rsidRDefault="00D82F50" w:rsidP="00D82F50">
      <w:pPr>
        <w:pStyle w:val="FootnoteText"/>
      </w:pPr>
      <w:r>
        <w:rPr>
          <w:rStyle w:val="FootnoteReference"/>
        </w:rPr>
        <w:footnoteRef/>
      </w:r>
      <w:r>
        <w:t xml:space="preserve"> Barbara Burman and Seth Denbo, ‘The history of tie-on pockets’, </w:t>
      </w:r>
      <w:r w:rsidRPr="00E157A2">
        <w:rPr>
          <w:i/>
          <w:iCs/>
        </w:rPr>
        <w:t>Pockets of History Project</w:t>
      </w:r>
      <w:r>
        <w:t>, p.5 [</w:t>
      </w:r>
      <w:r w:rsidRPr="00380510">
        <w:t>https://www.vads.ac.uk/digital/collection/POCKETS</w:t>
      </w:r>
      <w:r>
        <w:t>; accessed 16 October 2023]</w:t>
      </w:r>
      <w:r w:rsidR="00F26EEF">
        <w:t>.</w:t>
      </w:r>
    </w:p>
  </w:footnote>
  <w:footnote w:id="773">
    <w:p w14:paraId="156CC0CD" w14:textId="77777777" w:rsidR="00D82F50" w:rsidRDefault="00D82F50" w:rsidP="00D82F50">
      <w:pPr>
        <w:pStyle w:val="FootnoteText"/>
      </w:pPr>
      <w:r>
        <w:rPr>
          <w:rStyle w:val="FootnoteReference"/>
        </w:rPr>
        <w:footnoteRef/>
      </w:r>
      <w:r>
        <w:t xml:space="preserve"> </w:t>
      </w:r>
      <w:r w:rsidRPr="00A35F65">
        <w:t xml:space="preserve">George Eliot, </w:t>
      </w:r>
      <w:r w:rsidRPr="00A35F65">
        <w:rPr>
          <w:i/>
          <w:iCs/>
        </w:rPr>
        <w:t xml:space="preserve">The Mill on the Floss, </w:t>
      </w:r>
      <w:r w:rsidRPr="00A35F65">
        <w:t>(London, 1860), p.282</w:t>
      </w:r>
      <w:r>
        <w:t xml:space="preserve">: Eliot’s nineteenth-century novel shows Mrs </w:t>
      </w:r>
      <w:proofErr w:type="spellStart"/>
      <w:r>
        <w:t>Tulliver</w:t>
      </w:r>
      <w:proofErr w:type="spellEnd"/>
      <w:r>
        <w:t xml:space="preserve"> taking great pride in a tablecloth indelibly stitched with her maiden name, stating ‘I marked ‘</w:t>
      </w:r>
      <w:proofErr w:type="spellStart"/>
      <w:r>
        <w:t>em</w:t>
      </w:r>
      <w:proofErr w:type="spellEnd"/>
      <w:r>
        <w:t xml:space="preserve"> so as nobody ever saw such marking – they must cut the cloth to get it out, for it’s a particular stitch’.</w:t>
      </w:r>
    </w:p>
  </w:footnote>
  <w:footnote w:id="774">
    <w:p w14:paraId="082D3026" w14:textId="7B178CC8" w:rsidR="00D82F50" w:rsidRDefault="00D82F50" w:rsidP="00D82F50">
      <w:pPr>
        <w:pStyle w:val="FootnoteText"/>
      </w:pPr>
      <w:r>
        <w:rPr>
          <w:rStyle w:val="FootnoteReference"/>
        </w:rPr>
        <w:footnoteRef/>
      </w:r>
      <w:r>
        <w:t xml:space="preserve"> </w:t>
      </w:r>
      <w:r w:rsidRPr="009A48EF">
        <w:t xml:space="preserve">Handley, </w:t>
      </w:r>
      <w:r w:rsidRPr="009A48EF">
        <w:rPr>
          <w:i/>
          <w:iCs/>
        </w:rPr>
        <w:t>Sleep</w:t>
      </w:r>
      <w:r>
        <w:t>, p.130</w:t>
      </w:r>
      <w:r w:rsidR="003E5977">
        <w:t>.</w:t>
      </w:r>
    </w:p>
  </w:footnote>
  <w:footnote w:id="775">
    <w:p w14:paraId="489CD3B5" w14:textId="3109D1AB" w:rsidR="00D82F50" w:rsidRPr="00E81EEE" w:rsidRDefault="00D82F50" w:rsidP="00D82F50">
      <w:pPr>
        <w:pStyle w:val="FootnoteText"/>
      </w:pPr>
      <w:r>
        <w:rPr>
          <w:rStyle w:val="FootnoteReference"/>
        </w:rPr>
        <w:footnoteRef/>
      </w:r>
      <w:r>
        <w:t xml:space="preserve"> </w:t>
      </w:r>
      <w:r w:rsidRPr="00A472BC">
        <w:t xml:space="preserve">Barbara Burman and Ariane </w:t>
      </w:r>
      <w:proofErr w:type="spellStart"/>
      <w:r w:rsidRPr="00A472BC">
        <w:t>Fennetaux</w:t>
      </w:r>
      <w:proofErr w:type="spellEnd"/>
      <w:r w:rsidRPr="00A472BC">
        <w:t xml:space="preserve">, </w:t>
      </w:r>
      <w:r w:rsidRPr="00A472BC">
        <w:rPr>
          <w:i/>
          <w:iCs/>
        </w:rPr>
        <w:t xml:space="preserve">The Pocket: A Hidden History of Women’s Lives, </w:t>
      </w:r>
      <w:r w:rsidRPr="00A472BC">
        <w:t xml:space="preserve">(Yale, 2019), </w:t>
      </w:r>
      <w:r>
        <w:t>p.96</w:t>
      </w:r>
      <w:r w:rsidR="003E5977">
        <w:t>.</w:t>
      </w:r>
    </w:p>
  </w:footnote>
  <w:footnote w:id="776">
    <w:p w14:paraId="43729F8B" w14:textId="56532F04" w:rsidR="00D82F50" w:rsidRDefault="00D82F50" w:rsidP="00D82F50">
      <w:pPr>
        <w:pStyle w:val="FootnoteText"/>
      </w:pPr>
      <w:r>
        <w:rPr>
          <w:rStyle w:val="FootnoteReference"/>
        </w:rPr>
        <w:footnoteRef/>
      </w:r>
      <w:r>
        <w:t xml:space="preserve"> </w:t>
      </w:r>
      <w:r w:rsidRPr="00306EA7">
        <w:t xml:space="preserve">Mark Hailwood, ‘Rethinking literacy in rural England, 1550-1700', </w:t>
      </w:r>
      <w:r w:rsidRPr="00306EA7">
        <w:rPr>
          <w:i/>
          <w:iCs/>
        </w:rPr>
        <w:t xml:space="preserve">Past and Present, </w:t>
      </w:r>
      <w:r w:rsidRPr="00306EA7">
        <w:t>(2022), pp.1-33, p</w:t>
      </w:r>
      <w:r>
        <w:t>p.28-29</w:t>
      </w:r>
      <w:r w:rsidR="003E5977">
        <w:t>.</w:t>
      </w:r>
    </w:p>
  </w:footnote>
  <w:footnote w:id="777">
    <w:p w14:paraId="1F5F7AB4" w14:textId="5180D409" w:rsidR="00D82F50" w:rsidRDefault="00D82F50" w:rsidP="00D82F50">
      <w:pPr>
        <w:pStyle w:val="FootnoteText"/>
      </w:pPr>
      <w:r>
        <w:rPr>
          <w:rStyle w:val="FootnoteReference"/>
        </w:rPr>
        <w:footnoteRef/>
      </w:r>
      <w:r>
        <w:t xml:space="preserve"> Ibid., p.28</w:t>
      </w:r>
      <w:r w:rsidR="003E5977">
        <w:t>.</w:t>
      </w:r>
    </w:p>
  </w:footnote>
  <w:footnote w:id="778">
    <w:p w14:paraId="2CF311C0" w14:textId="503F8CCF" w:rsidR="00D82F50" w:rsidRDefault="00D82F50" w:rsidP="00D82F50">
      <w:pPr>
        <w:pStyle w:val="FootnoteText"/>
      </w:pPr>
      <w:r>
        <w:rPr>
          <w:rStyle w:val="FootnoteReference"/>
        </w:rPr>
        <w:footnoteRef/>
      </w:r>
      <w:r>
        <w:t xml:space="preserve"> </w:t>
      </w:r>
      <w:r w:rsidRPr="00C63540">
        <w:t>Carmel Biggs,</w:t>
      </w:r>
      <w:r w:rsidRPr="00C63540">
        <w:rPr>
          <w:rFonts w:cs="Calibri"/>
          <w:sz w:val="24"/>
          <w:szCs w:val="24"/>
        </w:rPr>
        <w:t xml:space="preserve"> </w:t>
      </w:r>
      <w:r w:rsidRPr="00C63540">
        <w:t xml:space="preserve">‘Early modern Blakesley: a study based on wills 1543-1700', </w:t>
      </w:r>
      <w:r w:rsidRPr="00C63540">
        <w:rPr>
          <w:i/>
          <w:iCs/>
        </w:rPr>
        <w:t xml:space="preserve">Northamptonshire Past and Present, </w:t>
      </w:r>
      <w:r w:rsidRPr="00C63540">
        <w:t>Vol. 58, (2005),</w:t>
      </w:r>
      <w:r w:rsidRPr="00C63540">
        <w:rPr>
          <w:i/>
          <w:iCs/>
        </w:rPr>
        <w:t xml:space="preserve"> </w:t>
      </w:r>
      <w:r w:rsidRPr="00C63540">
        <w:t>pp.37-53</w:t>
      </w:r>
      <w:r w:rsidRPr="00C63540">
        <w:rPr>
          <w:b/>
          <w:bCs/>
        </w:rPr>
        <w:t xml:space="preserve">, </w:t>
      </w:r>
      <w:r w:rsidRPr="00C63540">
        <w:t>p.45</w:t>
      </w:r>
      <w:r>
        <w:t xml:space="preserve">; CRO: WS 1731, Will of </w:t>
      </w:r>
      <w:proofErr w:type="spellStart"/>
      <w:r>
        <w:t>Alsant</w:t>
      </w:r>
      <w:proofErr w:type="spellEnd"/>
      <w:r>
        <w:t xml:space="preserve"> Hulme of Sutton, widow, 1731</w:t>
      </w:r>
      <w:r w:rsidR="003E5977">
        <w:t>.</w:t>
      </w:r>
    </w:p>
  </w:footnote>
  <w:footnote w:id="779">
    <w:p w14:paraId="03FCBBBC" w14:textId="60BD593F" w:rsidR="00D82F50" w:rsidRDefault="00D82F50" w:rsidP="00D82F50">
      <w:pPr>
        <w:pStyle w:val="FootnoteText"/>
      </w:pPr>
      <w:r>
        <w:rPr>
          <w:rStyle w:val="FootnoteReference"/>
        </w:rPr>
        <w:footnoteRef/>
      </w:r>
      <w:r>
        <w:t xml:space="preserve"> LA: WRW/R490A/10, Will of Elizabeth Wales of Bolton-le-Sands, widow, 1702</w:t>
      </w:r>
      <w:r w:rsidR="003E5977">
        <w:t>.</w:t>
      </w:r>
    </w:p>
  </w:footnote>
  <w:footnote w:id="780">
    <w:p w14:paraId="11BACBA1" w14:textId="5B15B4B4" w:rsidR="00D82F50" w:rsidRDefault="00D82F50" w:rsidP="00D82F50">
      <w:pPr>
        <w:pStyle w:val="FootnoteText"/>
      </w:pPr>
      <w:r>
        <w:rPr>
          <w:rStyle w:val="FootnoteReference"/>
        </w:rPr>
        <w:footnoteRef/>
      </w:r>
      <w:r>
        <w:t xml:space="preserve"> LA: </w:t>
      </w:r>
      <w:r w:rsidRPr="009C3EC1">
        <w:rPr>
          <w:lang w:val="en-US"/>
        </w:rPr>
        <w:t xml:space="preserve">PR 3315/1/1, </w:t>
      </w:r>
      <w:r w:rsidR="00C92377">
        <w:rPr>
          <w:lang w:val="en-US"/>
        </w:rPr>
        <w:t>Parish Register of</w:t>
      </w:r>
      <w:r w:rsidRPr="009C3EC1">
        <w:rPr>
          <w:lang w:val="en-US"/>
        </w:rPr>
        <w:t xml:space="preserve"> Holy Trinity Church, Bolton-le-Sands, 1642-1737,</w:t>
      </w:r>
      <w:r>
        <w:rPr>
          <w:lang w:val="en-US"/>
        </w:rPr>
        <w:t xml:space="preserve"> </w:t>
      </w:r>
      <w:r>
        <w:t>Burial of Henry Holme, 29 January 1684</w:t>
      </w:r>
      <w:r w:rsidR="003E5977">
        <w:t>.</w:t>
      </w:r>
    </w:p>
  </w:footnote>
  <w:footnote w:id="781">
    <w:p w14:paraId="46229908" w14:textId="6AC25007" w:rsidR="00D82F50" w:rsidRDefault="00D82F50" w:rsidP="00D82F50">
      <w:pPr>
        <w:pStyle w:val="FootnoteText"/>
      </w:pPr>
      <w:r>
        <w:rPr>
          <w:rStyle w:val="FootnoteReference"/>
        </w:rPr>
        <w:footnoteRef/>
      </w:r>
      <w:r>
        <w:t xml:space="preserve"> James Daybell, </w:t>
      </w:r>
      <w:r>
        <w:rPr>
          <w:i/>
          <w:iCs/>
        </w:rPr>
        <w:t xml:space="preserve">The Material Letter in Early Modern England: Manuscript Letters and the Culture and Practices of Letter-Writing, 1512-1635, </w:t>
      </w:r>
      <w:r>
        <w:t>(Basingstoke, 2012), p.44</w:t>
      </w:r>
      <w:r w:rsidR="003E5977">
        <w:t>.</w:t>
      </w:r>
    </w:p>
  </w:footnote>
  <w:footnote w:id="782">
    <w:p w14:paraId="3855B4ED" w14:textId="3B85194D" w:rsidR="00D82F50" w:rsidRPr="00610898" w:rsidRDefault="00D82F50" w:rsidP="00D82F50">
      <w:pPr>
        <w:pStyle w:val="FootnoteText"/>
      </w:pPr>
      <w:r>
        <w:rPr>
          <w:rStyle w:val="FootnoteReference"/>
        </w:rPr>
        <w:footnoteRef/>
      </w:r>
      <w:r>
        <w:t xml:space="preserve"> </w:t>
      </w:r>
      <w:r w:rsidRPr="00610898">
        <w:t>Hailwood, ‘Rethinking literacy', p.25</w:t>
      </w:r>
      <w:r w:rsidR="003E5977">
        <w:t>.</w:t>
      </w:r>
    </w:p>
  </w:footnote>
  <w:footnote w:id="783">
    <w:p w14:paraId="4B0ACCF3" w14:textId="7C286301" w:rsidR="00D82F50" w:rsidRDefault="00D82F50" w:rsidP="00D82F50">
      <w:pPr>
        <w:pStyle w:val="FootnoteText"/>
      </w:pPr>
      <w:r>
        <w:rPr>
          <w:rStyle w:val="FootnoteReference"/>
        </w:rPr>
        <w:footnoteRef/>
      </w:r>
      <w:r>
        <w:t xml:space="preserve"> </w:t>
      </w:r>
      <w:r w:rsidR="00436015">
        <w:t>Ibid.</w:t>
      </w:r>
      <w:r w:rsidRPr="00F13E02">
        <w:t>,</w:t>
      </w:r>
      <w:r>
        <w:t xml:space="preserve"> pp.15-17</w:t>
      </w:r>
      <w:r w:rsidR="003E5977">
        <w:t>.</w:t>
      </w:r>
    </w:p>
  </w:footnote>
  <w:footnote w:id="784">
    <w:p w14:paraId="786572D8" w14:textId="346B1ADF" w:rsidR="00D82F50" w:rsidRDefault="00D82F50" w:rsidP="00D82F50">
      <w:pPr>
        <w:pStyle w:val="FootnoteText"/>
      </w:pPr>
      <w:r>
        <w:rPr>
          <w:rStyle w:val="FootnoteReference"/>
        </w:rPr>
        <w:footnoteRef/>
      </w:r>
      <w:r>
        <w:t xml:space="preserve"> LA: </w:t>
      </w:r>
      <w:r w:rsidRPr="009C3EC1">
        <w:rPr>
          <w:lang w:val="en-US"/>
        </w:rPr>
        <w:t xml:space="preserve">PR 3315/1/1, </w:t>
      </w:r>
      <w:r w:rsidR="00C92377">
        <w:rPr>
          <w:lang w:val="en-US"/>
        </w:rPr>
        <w:t>Parish Register of</w:t>
      </w:r>
      <w:r w:rsidRPr="009C3EC1">
        <w:rPr>
          <w:lang w:val="en-US"/>
        </w:rPr>
        <w:t xml:space="preserve"> Holy Trinity Church, Bolton-le-Sands, 1642-1737,</w:t>
      </w:r>
      <w:r>
        <w:rPr>
          <w:lang w:val="en-US"/>
        </w:rPr>
        <w:t xml:space="preserve"> </w:t>
      </w:r>
      <w:r>
        <w:t xml:space="preserve">Marriage of Robert </w:t>
      </w:r>
      <w:proofErr w:type="spellStart"/>
      <w:r>
        <w:t>Chippindall</w:t>
      </w:r>
      <w:proofErr w:type="spellEnd"/>
      <w:r>
        <w:t xml:space="preserve"> and Isabell Toulnson, 24 August 1645</w:t>
      </w:r>
      <w:r w:rsidR="003E5977">
        <w:t>.</w:t>
      </w:r>
    </w:p>
  </w:footnote>
  <w:footnote w:id="785">
    <w:p w14:paraId="66F3D03D" w14:textId="0BF29A15" w:rsidR="00D82F50" w:rsidRDefault="00D82F50" w:rsidP="00D82F50">
      <w:pPr>
        <w:pStyle w:val="FootnoteText"/>
      </w:pPr>
      <w:r>
        <w:rPr>
          <w:rStyle w:val="FootnoteReference"/>
        </w:rPr>
        <w:footnoteRef/>
      </w:r>
      <w:r>
        <w:t xml:space="preserve"> </w:t>
      </w:r>
      <w:r w:rsidRPr="00273172">
        <w:t xml:space="preserve">Dolly MacKinnon, ‘“Charity is worth it when it looks that good”: rural women and bequests of clothing in early modern England, in Susan Broomhall and Stephanie </w:t>
      </w:r>
      <w:proofErr w:type="spellStart"/>
      <w:r w:rsidRPr="00273172">
        <w:t>Tarbin</w:t>
      </w:r>
      <w:proofErr w:type="spellEnd"/>
      <w:r w:rsidRPr="00273172">
        <w:t xml:space="preserve"> (eds), </w:t>
      </w:r>
      <w:r w:rsidRPr="00273172">
        <w:rPr>
          <w:i/>
          <w:iCs/>
        </w:rPr>
        <w:t xml:space="preserve">Women, Identities and Communities in Early Modern Europe, </w:t>
      </w:r>
      <w:r w:rsidRPr="00273172">
        <w:t>(Farnham, 2008), pp.79-93, p.</w:t>
      </w:r>
      <w:r>
        <w:t xml:space="preserve">87; </w:t>
      </w:r>
      <w:r w:rsidRPr="004C5E38">
        <w:t>Pennell, ‘”Pots and pans history”</w:t>
      </w:r>
      <w:r>
        <w:t>’, p.211; LA: WRW/K/R490A/10, Will of Elizabeth Wales of Bolton-le-Sands, widow, 1702</w:t>
      </w:r>
      <w:r w:rsidR="003E5977">
        <w:t>.</w:t>
      </w:r>
    </w:p>
  </w:footnote>
  <w:footnote w:id="786">
    <w:p w14:paraId="32889318" w14:textId="750DCC86" w:rsidR="00D82F50" w:rsidRDefault="00D82F50" w:rsidP="00D82F50">
      <w:pPr>
        <w:pStyle w:val="FootnoteText"/>
      </w:pPr>
      <w:r>
        <w:rPr>
          <w:rStyle w:val="FootnoteReference"/>
        </w:rPr>
        <w:footnoteRef/>
      </w:r>
      <w:r>
        <w:t xml:space="preserve"> </w:t>
      </w:r>
      <w:r w:rsidRPr="00413E42">
        <w:t xml:space="preserve">Amy Louise Erickson, ‘Possession - and the other one-tenth of the law: assessing women’s ownership and economic roles in early modern England’, </w:t>
      </w:r>
      <w:r w:rsidRPr="00413E42">
        <w:rPr>
          <w:i/>
          <w:iCs/>
        </w:rPr>
        <w:t xml:space="preserve">Women’s History Review, </w:t>
      </w:r>
      <w:r w:rsidRPr="00413E42">
        <w:t>Vol. 16, No. 3, (2007), pp.369-385, p.373</w:t>
      </w:r>
      <w:r w:rsidR="003E5977">
        <w:t>.</w:t>
      </w:r>
    </w:p>
  </w:footnote>
  <w:footnote w:id="787">
    <w:p w14:paraId="3C7FDEE1" w14:textId="7783280E" w:rsidR="00D82F50" w:rsidRDefault="00D82F50" w:rsidP="00D82F50">
      <w:pPr>
        <w:pStyle w:val="FootnoteText"/>
      </w:pPr>
      <w:r>
        <w:rPr>
          <w:rStyle w:val="FootnoteReference"/>
        </w:rPr>
        <w:footnoteRef/>
      </w:r>
      <w:r>
        <w:t xml:space="preserve"> Ibid.</w:t>
      </w:r>
    </w:p>
  </w:footnote>
  <w:footnote w:id="788">
    <w:p w14:paraId="10962B71" w14:textId="0ED97831" w:rsidR="00D82F50" w:rsidRDefault="00D82F50" w:rsidP="00D82F50">
      <w:pPr>
        <w:pStyle w:val="FootnoteText"/>
      </w:pPr>
      <w:r>
        <w:rPr>
          <w:rStyle w:val="FootnoteReference"/>
        </w:rPr>
        <w:footnoteRef/>
      </w:r>
      <w:r>
        <w:t xml:space="preserve"> The Bolton-le-Sands parish register includes baptism entries for 10 children whose father is listed as Robert </w:t>
      </w:r>
      <w:proofErr w:type="spellStart"/>
      <w:r>
        <w:t>Chippindall</w:t>
      </w:r>
      <w:proofErr w:type="spellEnd"/>
      <w:r>
        <w:t xml:space="preserve">: LA: </w:t>
      </w:r>
      <w:r w:rsidRPr="00F13154">
        <w:rPr>
          <w:lang w:val="en-US"/>
        </w:rPr>
        <w:t xml:space="preserve">PR 3315/1/1, </w:t>
      </w:r>
      <w:r w:rsidR="00C92377">
        <w:rPr>
          <w:lang w:val="en-US"/>
        </w:rPr>
        <w:t>Parish Register of</w:t>
      </w:r>
      <w:r w:rsidRPr="00F13154">
        <w:rPr>
          <w:lang w:val="en-US"/>
        </w:rPr>
        <w:t xml:space="preserve"> Holy Trinity Church, Bolton-le-Sands, 1642-1737</w:t>
      </w:r>
      <w:r>
        <w:rPr>
          <w:lang w:val="en-US"/>
        </w:rPr>
        <w:t>:</w:t>
      </w:r>
      <w:r>
        <w:t xml:space="preserve"> Baptism of Jane </w:t>
      </w:r>
      <w:proofErr w:type="spellStart"/>
      <w:r>
        <w:t>Chippindall</w:t>
      </w:r>
      <w:proofErr w:type="spellEnd"/>
      <w:r>
        <w:t xml:space="preserve">, 5 July 1664; Baptism of Alice </w:t>
      </w:r>
      <w:proofErr w:type="spellStart"/>
      <w:r>
        <w:t>Chippindall</w:t>
      </w:r>
      <w:proofErr w:type="spellEnd"/>
      <w:r>
        <w:t xml:space="preserve">, 20 January 1666; Baptism of Frances </w:t>
      </w:r>
      <w:proofErr w:type="spellStart"/>
      <w:r>
        <w:t>Chippindall</w:t>
      </w:r>
      <w:proofErr w:type="spellEnd"/>
      <w:r>
        <w:t xml:space="preserve">, 9 June 1668; Baptism of Alice </w:t>
      </w:r>
      <w:proofErr w:type="spellStart"/>
      <w:r>
        <w:t>Chippindall</w:t>
      </w:r>
      <w:proofErr w:type="spellEnd"/>
      <w:r>
        <w:t xml:space="preserve">, 26 September 1669; Baptism of Francis </w:t>
      </w:r>
      <w:proofErr w:type="spellStart"/>
      <w:r>
        <w:t>Chippindall</w:t>
      </w:r>
      <w:proofErr w:type="spellEnd"/>
      <w:r>
        <w:t xml:space="preserve">, 1 September 1672; Baptism of Elizabeth </w:t>
      </w:r>
      <w:proofErr w:type="spellStart"/>
      <w:r>
        <w:t>Chippindall</w:t>
      </w:r>
      <w:proofErr w:type="spellEnd"/>
      <w:r>
        <w:t xml:space="preserve">, 15 August 1675; Baptism of Richard </w:t>
      </w:r>
      <w:proofErr w:type="spellStart"/>
      <w:r>
        <w:t>Chippindall</w:t>
      </w:r>
      <w:proofErr w:type="spellEnd"/>
      <w:r>
        <w:t xml:space="preserve">, 1 September 1678; Baptism of </w:t>
      </w:r>
      <w:proofErr w:type="spellStart"/>
      <w:r>
        <w:t>Elnear</w:t>
      </w:r>
      <w:proofErr w:type="spellEnd"/>
      <w:r>
        <w:t xml:space="preserve"> </w:t>
      </w:r>
      <w:proofErr w:type="spellStart"/>
      <w:r>
        <w:t>Chippindall</w:t>
      </w:r>
      <w:proofErr w:type="spellEnd"/>
      <w:r>
        <w:t xml:space="preserve">, 8 May 1681; Baptism of Deborah </w:t>
      </w:r>
      <w:proofErr w:type="spellStart"/>
      <w:r>
        <w:t>Chippindall</w:t>
      </w:r>
      <w:proofErr w:type="spellEnd"/>
      <w:r>
        <w:t xml:space="preserve">, 22 June 1684; Baptism of John </w:t>
      </w:r>
      <w:proofErr w:type="spellStart"/>
      <w:r>
        <w:t>Chippindall</w:t>
      </w:r>
      <w:proofErr w:type="spellEnd"/>
      <w:r>
        <w:t>, 15 January 1687. Three children – Alice, Frances and John – died in infancy, and two of their names were re-used by the couple.</w:t>
      </w:r>
    </w:p>
  </w:footnote>
  <w:footnote w:id="789">
    <w:p w14:paraId="6C0D4F63" w14:textId="77777777" w:rsidR="00D82F50" w:rsidRDefault="00D82F50" w:rsidP="00D82F50">
      <w:pPr>
        <w:pStyle w:val="FootnoteText"/>
      </w:pPr>
      <w:r>
        <w:rPr>
          <w:rStyle w:val="FootnoteReference"/>
        </w:rPr>
        <w:footnoteRef/>
      </w:r>
      <w:r>
        <w:t xml:space="preserve"> The parish register entry for the baptism of Deborah </w:t>
      </w:r>
      <w:proofErr w:type="spellStart"/>
      <w:r>
        <w:t>Chippindall</w:t>
      </w:r>
      <w:proofErr w:type="spellEnd"/>
      <w:r>
        <w:t xml:space="preserve"> is affected by staining on the manuscript, rendering the exact date of the ceremony illegible. </w:t>
      </w:r>
    </w:p>
  </w:footnote>
  <w:footnote w:id="790">
    <w:p w14:paraId="55AB71CA" w14:textId="2D6C3A06" w:rsidR="00D82F50" w:rsidRDefault="00D82F50" w:rsidP="00D82F50">
      <w:pPr>
        <w:pStyle w:val="FootnoteText"/>
      </w:pPr>
      <w:r w:rsidRPr="00837EF4">
        <w:rPr>
          <w:rStyle w:val="FootnoteReference"/>
        </w:rPr>
        <w:footnoteRef/>
      </w:r>
      <w:r w:rsidRPr="00837EF4">
        <w:t xml:space="preserve"> Catherine Richardson, </w:t>
      </w:r>
      <w:r w:rsidRPr="00837EF4">
        <w:rPr>
          <w:i/>
          <w:iCs/>
        </w:rPr>
        <w:t>Domestic Life and Domestic Tragedy in Early Modern England: The Material Life of the</w:t>
      </w:r>
      <w:r w:rsidRPr="005C4D43">
        <w:rPr>
          <w:i/>
          <w:iCs/>
        </w:rPr>
        <w:t xml:space="preserve"> Household</w:t>
      </w:r>
      <w:r w:rsidRPr="005C4D43">
        <w:t>, (Manchester, 2009)</w:t>
      </w:r>
      <w:r>
        <w:rPr>
          <w:b/>
          <w:bCs/>
        </w:rPr>
        <w:t xml:space="preserve">, </w:t>
      </w:r>
      <w:r>
        <w:t>p.77</w:t>
      </w:r>
      <w:r w:rsidR="003E5977">
        <w:t>.</w:t>
      </w:r>
    </w:p>
  </w:footnote>
  <w:footnote w:id="791">
    <w:p w14:paraId="2D3930B8" w14:textId="2BFAD012" w:rsidR="00D82F50" w:rsidRDefault="00D82F50" w:rsidP="00D82F50">
      <w:pPr>
        <w:pStyle w:val="FootnoteText"/>
      </w:pPr>
      <w:r>
        <w:rPr>
          <w:rStyle w:val="FootnoteReference"/>
        </w:rPr>
        <w:footnoteRef/>
      </w:r>
      <w:r>
        <w:t xml:space="preserve"> </w:t>
      </w:r>
      <w:r w:rsidRPr="00D64F84">
        <w:t xml:space="preserve">Ronald W. Brunskill, </w:t>
      </w:r>
      <w:r w:rsidRPr="00D64F84">
        <w:rPr>
          <w:i/>
          <w:iCs/>
        </w:rPr>
        <w:t xml:space="preserve">Vernacular Architecture: An Illustrated Handbook, </w:t>
      </w:r>
      <w:r w:rsidRPr="00D64F84">
        <w:t>(London, 1970)</w:t>
      </w:r>
      <w:r>
        <w:t>, p.146</w:t>
      </w:r>
      <w:r w:rsidR="003E5977">
        <w:t>.</w:t>
      </w:r>
    </w:p>
  </w:footnote>
  <w:footnote w:id="792">
    <w:p w14:paraId="060ED0A0" w14:textId="0163E831" w:rsidR="00D82F50" w:rsidRDefault="00D82F50" w:rsidP="00D82F50">
      <w:pPr>
        <w:pStyle w:val="FootnoteText"/>
      </w:pPr>
      <w:r>
        <w:rPr>
          <w:rStyle w:val="FootnoteReference"/>
        </w:rPr>
        <w:footnoteRef/>
      </w:r>
      <w:r>
        <w:t xml:space="preserve"> </w:t>
      </w:r>
      <w:r w:rsidRPr="00CA0EF2">
        <w:t xml:space="preserve">James Walton, ‘The built-in bed tradition in North Yorkshire’, </w:t>
      </w:r>
      <w:proofErr w:type="spellStart"/>
      <w:r w:rsidRPr="00CA0EF2">
        <w:rPr>
          <w:i/>
          <w:iCs/>
        </w:rPr>
        <w:t>Gwerin</w:t>
      </w:r>
      <w:proofErr w:type="spellEnd"/>
      <w:r w:rsidRPr="00CA0EF2">
        <w:rPr>
          <w:i/>
          <w:iCs/>
        </w:rPr>
        <w:t xml:space="preserve">: A Half-Yearly Journal of Folk Life, </w:t>
      </w:r>
      <w:r w:rsidRPr="00CA0EF2">
        <w:t>Vol. 3, No. 3, (1961), pp.114-125</w:t>
      </w:r>
      <w:r>
        <w:t>, p.124</w:t>
      </w:r>
      <w:r w:rsidR="003E5977">
        <w:t>.</w:t>
      </w:r>
    </w:p>
  </w:footnote>
  <w:footnote w:id="793">
    <w:p w14:paraId="01662C12" w14:textId="2686186E" w:rsidR="00D82F50" w:rsidRPr="00BD4EB2" w:rsidRDefault="00D82F50" w:rsidP="00D82F50">
      <w:pPr>
        <w:pStyle w:val="FootnoteText"/>
      </w:pPr>
      <w:r>
        <w:rPr>
          <w:rStyle w:val="FootnoteReference"/>
        </w:rPr>
        <w:footnoteRef/>
      </w:r>
      <w:r>
        <w:t xml:space="preserve"> </w:t>
      </w:r>
      <w:r w:rsidRPr="008D48A1">
        <w:t xml:space="preserve">James Walton, ‘The open hearth’, </w:t>
      </w:r>
      <w:r w:rsidRPr="008D48A1">
        <w:rPr>
          <w:i/>
          <w:iCs/>
        </w:rPr>
        <w:t xml:space="preserve">Country Life, </w:t>
      </w:r>
      <w:r w:rsidR="009C415B">
        <w:t>(</w:t>
      </w:r>
      <w:r w:rsidRPr="008D48A1">
        <w:t>1948</w:t>
      </w:r>
      <w:r w:rsidR="009C415B">
        <w:t>)</w:t>
      </w:r>
      <w:r w:rsidRPr="008D48A1">
        <w:t>, pp.1160-1161</w:t>
      </w:r>
      <w:r>
        <w:t xml:space="preserve">; Ronald W. Brunskill, </w:t>
      </w:r>
      <w:r>
        <w:rPr>
          <w:i/>
          <w:iCs/>
        </w:rPr>
        <w:t xml:space="preserve">Traditional Buildings of Britain, </w:t>
      </w:r>
      <w:r>
        <w:t xml:space="preserve">(London, 1981), p.107, p.113, p.115, cited in Jonathan Duck, ‘The domestic, ritual use of ‘salt niches’ in southern and eastern England, c.1500 to 1700 AD’, in Liz Thomas and Jill Campbell (eds), </w:t>
      </w:r>
      <w:r>
        <w:rPr>
          <w:i/>
          <w:iCs/>
        </w:rPr>
        <w:t xml:space="preserve">Buildings in Society: International Studies in the Historic Era, </w:t>
      </w:r>
      <w:r>
        <w:t>(Oxford, 2018), pp.9-23,</w:t>
      </w:r>
      <w:r>
        <w:rPr>
          <w:i/>
          <w:iCs/>
        </w:rPr>
        <w:t xml:space="preserve"> </w:t>
      </w:r>
      <w:r>
        <w:t>p.9</w:t>
      </w:r>
      <w:r w:rsidR="003E5977">
        <w:t>.</w:t>
      </w:r>
    </w:p>
  </w:footnote>
  <w:footnote w:id="794">
    <w:p w14:paraId="47B56CE1" w14:textId="226562A5" w:rsidR="00D82F50" w:rsidRPr="00FA50AD" w:rsidRDefault="00D82F50" w:rsidP="00D82F50">
      <w:pPr>
        <w:pStyle w:val="FootnoteText"/>
      </w:pPr>
      <w:r>
        <w:rPr>
          <w:rStyle w:val="FootnoteReference"/>
        </w:rPr>
        <w:footnoteRef/>
      </w:r>
      <w:r>
        <w:t xml:space="preserve"> Victor Chinnery, </w:t>
      </w:r>
      <w:r>
        <w:rPr>
          <w:i/>
          <w:iCs/>
        </w:rPr>
        <w:t xml:space="preserve">Oak Furniture, The British Tradition: A History of Early Furniture in the British Isles and New England, </w:t>
      </w:r>
      <w:r>
        <w:t>(Woodbridge, 1979),</w:t>
      </w:r>
      <w:r>
        <w:rPr>
          <w:i/>
          <w:iCs/>
        </w:rPr>
        <w:t xml:space="preserve"> </w:t>
      </w:r>
      <w:r>
        <w:t>p.490</w:t>
      </w:r>
      <w:r w:rsidR="003E5977">
        <w:t>.</w:t>
      </w:r>
    </w:p>
  </w:footnote>
  <w:footnote w:id="795">
    <w:p w14:paraId="161ED260" w14:textId="500D1EDA" w:rsidR="00D82F50" w:rsidRDefault="00D82F50" w:rsidP="00D82F50">
      <w:pPr>
        <w:pStyle w:val="FootnoteText"/>
      </w:pPr>
      <w:r>
        <w:rPr>
          <w:rStyle w:val="FootnoteReference"/>
        </w:rPr>
        <w:footnoteRef/>
      </w:r>
      <w:r>
        <w:t xml:space="preserve"> Brunskill, </w:t>
      </w:r>
      <w:r>
        <w:rPr>
          <w:i/>
          <w:iCs/>
        </w:rPr>
        <w:t xml:space="preserve">Vernacular Architecture, </w:t>
      </w:r>
      <w:r>
        <w:t>p.146</w:t>
      </w:r>
      <w:r w:rsidR="003E5977">
        <w:t>.</w:t>
      </w:r>
    </w:p>
  </w:footnote>
  <w:footnote w:id="796">
    <w:p w14:paraId="37797BA0" w14:textId="70CF4410" w:rsidR="00D82F50" w:rsidRDefault="00D82F50" w:rsidP="00D82F50">
      <w:pPr>
        <w:pStyle w:val="FootnoteText"/>
      </w:pPr>
      <w:r>
        <w:rPr>
          <w:rStyle w:val="FootnoteReference"/>
        </w:rPr>
        <w:footnoteRef/>
      </w:r>
      <w:r>
        <w:t xml:space="preserve"> </w:t>
      </w:r>
      <w:r w:rsidRPr="00F41442">
        <w:t xml:space="preserve">Nat Alcock and Linda Hall, </w:t>
      </w:r>
      <w:r w:rsidRPr="00F41442">
        <w:rPr>
          <w:i/>
          <w:iCs/>
        </w:rPr>
        <w:t xml:space="preserve">Fixtures and Fittings in Dated Houses 1567-1763, </w:t>
      </w:r>
      <w:r w:rsidRPr="00F41442">
        <w:t>(York, 1994), pp.46-49</w:t>
      </w:r>
      <w:r w:rsidR="003E5977">
        <w:t>.</w:t>
      </w:r>
    </w:p>
  </w:footnote>
  <w:footnote w:id="797">
    <w:p w14:paraId="4A887F4B" w14:textId="5A7316B8" w:rsidR="00D82F50" w:rsidRPr="007B5588" w:rsidRDefault="00D82F50" w:rsidP="00D82F50">
      <w:pPr>
        <w:pStyle w:val="FootnoteText"/>
      </w:pPr>
      <w:r>
        <w:rPr>
          <w:rStyle w:val="FootnoteReference"/>
        </w:rPr>
        <w:footnoteRef/>
      </w:r>
      <w:r>
        <w:t xml:space="preserve"> Emmeline Garnett, </w:t>
      </w:r>
      <w:r>
        <w:rPr>
          <w:i/>
          <w:iCs/>
        </w:rPr>
        <w:t xml:space="preserve">The Dated Buildings of South Lonsdale, </w:t>
      </w:r>
      <w:r>
        <w:t>(Lancaster, 1994), p.121</w:t>
      </w:r>
      <w:r w:rsidR="003E5977">
        <w:t>.</w:t>
      </w:r>
    </w:p>
  </w:footnote>
  <w:footnote w:id="798">
    <w:p w14:paraId="718835BD" w14:textId="0C3B6E6F" w:rsidR="00D82F50" w:rsidRDefault="00D82F50" w:rsidP="00D82F50">
      <w:pPr>
        <w:pStyle w:val="FootnoteText"/>
      </w:pPr>
      <w:r>
        <w:rPr>
          <w:rStyle w:val="FootnoteReference"/>
        </w:rPr>
        <w:footnoteRef/>
      </w:r>
      <w:r>
        <w:t xml:space="preserve"> LA: WRW/K/R436A/61, Inventory of Robert Gibson of Over Kellet, yeoman, 1725</w:t>
      </w:r>
      <w:r w:rsidR="003E5977">
        <w:t>.</w:t>
      </w:r>
    </w:p>
  </w:footnote>
  <w:footnote w:id="799">
    <w:p w14:paraId="1182772B" w14:textId="5F0846C7" w:rsidR="00D82F50" w:rsidRPr="00061EA3" w:rsidRDefault="00D82F50" w:rsidP="00D82F50">
      <w:pPr>
        <w:pStyle w:val="FootnoteText"/>
      </w:pPr>
      <w:r w:rsidRPr="00061EA3">
        <w:rPr>
          <w:rStyle w:val="FootnoteReference"/>
        </w:rPr>
        <w:footnoteRef/>
      </w:r>
      <w:r w:rsidRPr="00061EA3">
        <w:t xml:space="preserve"> Garnett,</w:t>
      </w:r>
      <w:r>
        <w:t xml:space="preserve"> </w:t>
      </w:r>
      <w:r w:rsidRPr="00061EA3">
        <w:rPr>
          <w:i/>
          <w:iCs/>
        </w:rPr>
        <w:t>Dated Buildings</w:t>
      </w:r>
      <w:r>
        <w:rPr>
          <w:i/>
          <w:iCs/>
        </w:rPr>
        <w:t xml:space="preserve">, </w:t>
      </w:r>
      <w:r>
        <w:t>p.121</w:t>
      </w:r>
      <w:r w:rsidR="003E5977">
        <w:t>.</w:t>
      </w:r>
    </w:p>
  </w:footnote>
  <w:footnote w:id="800">
    <w:p w14:paraId="5522687D" w14:textId="5B9031CF" w:rsidR="00D82F50" w:rsidRDefault="00D82F50" w:rsidP="00D82F50">
      <w:pPr>
        <w:pStyle w:val="FootnoteText"/>
      </w:pPr>
      <w:r>
        <w:rPr>
          <w:rStyle w:val="FootnoteReference"/>
        </w:rPr>
        <w:footnoteRef/>
      </w:r>
      <w:r>
        <w:t xml:space="preserve"> </w:t>
      </w:r>
      <w:r w:rsidRPr="00024B36">
        <w:t>Alcock and</w:t>
      </w:r>
      <w:r w:rsidR="00AD23E6">
        <w:t xml:space="preserve"> </w:t>
      </w:r>
      <w:r w:rsidRPr="00024B36">
        <w:t xml:space="preserve">Hall, </w:t>
      </w:r>
      <w:r w:rsidR="00AD23E6">
        <w:rPr>
          <w:i/>
          <w:iCs/>
        </w:rPr>
        <w:t xml:space="preserve">Fixtures and Fittings, </w:t>
      </w:r>
      <w:r>
        <w:t>pp.46-49</w:t>
      </w:r>
      <w:r w:rsidR="003E5977">
        <w:t>.</w:t>
      </w:r>
    </w:p>
  </w:footnote>
  <w:footnote w:id="801">
    <w:p w14:paraId="240F6245" w14:textId="45D3B328" w:rsidR="00D82F50" w:rsidRDefault="00D82F50" w:rsidP="00D82F50">
      <w:pPr>
        <w:pStyle w:val="FootnoteText"/>
      </w:pPr>
      <w:r>
        <w:rPr>
          <w:rStyle w:val="FootnoteReference"/>
        </w:rPr>
        <w:footnoteRef/>
      </w:r>
      <w:r>
        <w:t xml:space="preserve"> Hailwood, ‘Rethinking literacy’, p.29</w:t>
      </w:r>
      <w:r w:rsidR="003E5977">
        <w:t>.</w:t>
      </w:r>
    </w:p>
  </w:footnote>
  <w:footnote w:id="802">
    <w:p w14:paraId="7D39C941" w14:textId="658CE104" w:rsidR="00D82F50" w:rsidRDefault="00D82F50" w:rsidP="00D82F50">
      <w:pPr>
        <w:pStyle w:val="FootnoteText"/>
      </w:pPr>
      <w:r>
        <w:rPr>
          <w:rStyle w:val="FootnoteReference"/>
        </w:rPr>
        <w:footnoteRef/>
      </w:r>
      <w:r>
        <w:t xml:space="preserve"> </w:t>
      </w:r>
      <w:r w:rsidRPr="00B32116">
        <w:t xml:space="preserve">Sheelah Ruggles-Brise, </w:t>
      </w:r>
      <w:r w:rsidRPr="00B32116">
        <w:rPr>
          <w:i/>
          <w:iCs/>
        </w:rPr>
        <w:t xml:space="preserve">Sealed Bottles, </w:t>
      </w:r>
      <w:r w:rsidRPr="00B32116">
        <w:t>(London, 1949), p.</w:t>
      </w:r>
      <w:r>
        <w:t>34</w:t>
      </w:r>
      <w:r w:rsidR="003E5977">
        <w:t>.</w:t>
      </w:r>
    </w:p>
  </w:footnote>
  <w:footnote w:id="803">
    <w:p w14:paraId="2CEABACD" w14:textId="447F84CA" w:rsidR="00D82F50" w:rsidRDefault="00D82F50" w:rsidP="00D82F50">
      <w:pPr>
        <w:pStyle w:val="FootnoteText"/>
      </w:pPr>
      <w:r>
        <w:rPr>
          <w:rStyle w:val="FootnoteReference"/>
        </w:rPr>
        <w:footnoteRef/>
      </w:r>
      <w:r>
        <w:t xml:space="preserve"> Ibid.</w:t>
      </w:r>
    </w:p>
  </w:footnote>
  <w:footnote w:id="804">
    <w:p w14:paraId="440D0B70" w14:textId="68A14E56" w:rsidR="00D82F50" w:rsidRPr="00042255" w:rsidRDefault="00D82F50" w:rsidP="00D82F50">
      <w:pPr>
        <w:pStyle w:val="FootnoteText"/>
      </w:pPr>
      <w:r>
        <w:rPr>
          <w:rStyle w:val="FootnoteReference"/>
        </w:rPr>
        <w:footnoteRef/>
      </w:r>
      <w:r>
        <w:t xml:space="preserve"> Tara Hamling, </w:t>
      </w:r>
      <w:r w:rsidRPr="001439C8">
        <w:t>'</w:t>
      </w:r>
      <w:r>
        <w:t>“</w:t>
      </w:r>
      <w:r w:rsidRPr="001439C8">
        <w:t xml:space="preserve">An </w:t>
      </w:r>
      <w:proofErr w:type="spellStart"/>
      <w:r w:rsidRPr="001439C8">
        <w:t>arelome</w:t>
      </w:r>
      <w:proofErr w:type="spellEnd"/>
      <w:r w:rsidRPr="001439C8">
        <w:t xml:space="preserve"> to this </w:t>
      </w:r>
      <w:proofErr w:type="spellStart"/>
      <w:r w:rsidRPr="001439C8">
        <w:t>hous</w:t>
      </w:r>
      <w:proofErr w:type="spellEnd"/>
      <w:r w:rsidRPr="001439C8">
        <w:t xml:space="preserve"> for ever</w:t>
      </w:r>
      <w:r>
        <w:t>”</w:t>
      </w:r>
      <w:r w:rsidRPr="001439C8">
        <w:t>: monumental fixtures and furnishings in the English domestic Interior, c.1560- c.1660</w:t>
      </w:r>
      <w:r>
        <w:t xml:space="preserve">’, in Andrew Gordon and Thomas Rist (eds), </w:t>
      </w:r>
      <w:r w:rsidRPr="00042255">
        <w:rPr>
          <w:i/>
          <w:iCs/>
        </w:rPr>
        <w:t>The Arts of Remembrance in Early Modern England: Memorial Cultures in the Post Reformation</w:t>
      </w:r>
      <w:r>
        <w:rPr>
          <w:i/>
          <w:iCs/>
        </w:rPr>
        <w:t xml:space="preserve">, </w:t>
      </w:r>
      <w:r>
        <w:t>(Abingdon, 2013), pp.59-83, p.63</w:t>
      </w:r>
      <w:r w:rsidR="003E5977">
        <w:t>.</w:t>
      </w:r>
    </w:p>
  </w:footnote>
  <w:footnote w:id="805">
    <w:p w14:paraId="437C8DAC" w14:textId="026D5AED" w:rsidR="00D82F50" w:rsidRPr="00931632" w:rsidRDefault="00D82F50" w:rsidP="00D82F50">
      <w:pPr>
        <w:pStyle w:val="FootnoteText"/>
      </w:pPr>
      <w:r>
        <w:rPr>
          <w:rStyle w:val="FootnoteReference"/>
        </w:rPr>
        <w:footnoteRef/>
      </w:r>
      <w:r>
        <w:t xml:space="preserve"> Garnett, </w:t>
      </w:r>
      <w:r>
        <w:rPr>
          <w:i/>
          <w:iCs/>
        </w:rPr>
        <w:t xml:space="preserve">Dated Buildings, </w:t>
      </w:r>
      <w:r>
        <w:t>p.20</w:t>
      </w:r>
      <w:r w:rsidR="00E91CA5">
        <w:t>.</w:t>
      </w:r>
    </w:p>
  </w:footnote>
  <w:footnote w:id="806">
    <w:p w14:paraId="1C53CBFD" w14:textId="4B75D4B1" w:rsidR="00D82F50" w:rsidRPr="00C938BA" w:rsidRDefault="00D82F50" w:rsidP="00D82F50">
      <w:pPr>
        <w:pStyle w:val="FootnoteText"/>
      </w:pPr>
      <w:r>
        <w:rPr>
          <w:rStyle w:val="FootnoteReference"/>
        </w:rPr>
        <w:footnoteRef/>
      </w:r>
      <w:r>
        <w:t xml:space="preserve"> Alcock and Hall, </w:t>
      </w:r>
      <w:r>
        <w:rPr>
          <w:i/>
          <w:iCs/>
        </w:rPr>
        <w:t xml:space="preserve">Fixtures, </w:t>
      </w:r>
      <w:r>
        <w:t>p.24</w:t>
      </w:r>
      <w:r w:rsidR="00E91CA5">
        <w:t>.</w:t>
      </w:r>
    </w:p>
  </w:footnote>
  <w:footnote w:id="807">
    <w:p w14:paraId="55C56DD8" w14:textId="3845FAA8" w:rsidR="00D82F50" w:rsidRDefault="00D82F50" w:rsidP="00D82F50">
      <w:pPr>
        <w:pStyle w:val="FootnoteText"/>
      </w:pPr>
      <w:r>
        <w:rPr>
          <w:rStyle w:val="FootnoteReference"/>
        </w:rPr>
        <w:footnoteRef/>
      </w:r>
      <w:r>
        <w:t xml:space="preserve"> Garnett, </w:t>
      </w:r>
      <w:r w:rsidRPr="001431B8">
        <w:rPr>
          <w:i/>
          <w:iCs/>
        </w:rPr>
        <w:t xml:space="preserve">Dated Buildings, </w:t>
      </w:r>
      <w:r w:rsidRPr="001431B8">
        <w:t>p.20</w:t>
      </w:r>
      <w:r w:rsidR="00E91CA5">
        <w:t>.</w:t>
      </w:r>
    </w:p>
  </w:footnote>
  <w:footnote w:id="808">
    <w:p w14:paraId="1213D582" w14:textId="4CAC3C25" w:rsidR="00D82F50" w:rsidRDefault="00D82F50" w:rsidP="00D82F50">
      <w:pPr>
        <w:pStyle w:val="FootnoteText"/>
      </w:pPr>
      <w:r>
        <w:rPr>
          <w:rStyle w:val="FootnoteReference"/>
        </w:rPr>
        <w:footnoteRef/>
      </w:r>
      <w:r>
        <w:t xml:space="preserve"> Ibid.</w:t>
      </w:r>
    </w:p>
  </w:footnote>
  <w:footnote w:id="809">
    <w:p w14:paraId="1DF28E22" w14:textId="6B2DEBF1" w:rsidR="00D82F50" w:rsidRDefault="00D82F50" w:rsidP="00D82F50">
      <w:pPr>
        <w:pStyle w:val="FootnoteText"/>
      </w:pPr>
      <w:r>
        <w:rPr>
          <w:rStyle w:val="FootnoteReference"/>
        </w:rPr>
        <w:footnoteRef/>
      </w:r>
      <w:r>
        <w:t xml:space="preserve"> The Bolton-le-Sands parish register includes baptism entries for six children whose father is named as Edmund </w:t>
      </w:r>
      <w:proofErr w:type="spellStart"/>
      <w:r>
        <w:t>Freare</w:t>
      </w:r>
      <w:proofErr w:type="spellEnd"/>
      <w:r>
        <w:t xml:space="preserve">/Frear. </w:t>
      </w:r>
      <w:r w:rsidRPr="003F26D9">
        <w:t xml:space="preserve">LA: </w:t>
      </w:r>
      <w:r w:rsidRPr="003F26D9">
        <w:rPr>
          <w:lang w:val="en-US"/>
        </w:rPr>
        <w:t xml:space="preserve">PR 3315/1/1, </w:t>
      </w:r>
      <w:r w:rsidR="00C92377">
        <w:rPr>
          <w:lang w:val="en-US"/>
        </w:rPr>
        <w:t>Parish Register of</w:t>
      </w:r>
      <w:r w:rsidRPr="003F26D9">
        <w:rPr>
          <w:lang w:val="en-US"/>
        </w:rPr>
        <w:t xml:space="preserve"> Holy Trinity Church, Bolton-le-Sands, 1642-1737:</w:t>
      </w:r>
      <w:r w:rsidRPr="003F26D9">
        <w:t xml:space="preserve"> </w:t>
      </w:r>
      <w:r>
        <w:t xml:space="preserve">Baptism of William </w:t>
      </w:r>
      <w:proofErr w:type="spellStart"/>
      <w:r>
        <w:t>Freare</w:t>
      </w:r>
      <w:proofErr w:type="spellEnd"/>
      <w:r>
        <w:t xml:space="preserve">, 1665; Baptism of Thomas </w:t>
      </w:r>
      <w:proofErr w:type="spellStart"/>
      <w:r>
        <w:t>Freare</w:t>
      </w:r>
      <w:proofErr w:type="spellEnd"/>
      <w:r>
        <w:t xml:space="preserve">, 1667; Baptism of Edmund </w:t>
      </w:r>
      <w:proofErr w:type="spellStart"/>
      <w:r>
        <w:t>Freare</w:t>
      </w:r>
      <w:proofErr w:type="spellEnd"/>
      <w:r>
        <w:t xml:space="preserve">, 1669; Baptism of Grace </w:t>
      </w:r>
      <w:proofErr w:type="spellStart"/>
      <w:r>
        <w:t>Freare</w:t>
      </w:r>
      <w:proofErr w:type="spellEnd"/>
      <w:r>
        <w:t xml:space="preserve">, 14 January 1672; Baptism of John </w:t>
      </w:r>
      <w:proofErr w:type="spellStart"/>
      <w:r>
        <w:t>Freare</w:t>
      </w:r>
      <w:proofErr w:type="spellEnd"/>
      <w:r>
        <w:t xml:space="preserve">, 24 May 1674; Baptism of Samuel </w:t>
      </w:r>
      <w:proofErr w:type="spellStart"/>
      <w:r>
        <w:t>Freare</w:t>
      </w:r>
      <w:proofErr w:type="spellEnd"/>
      <w:r>
        <w:t>, 3 April</w:t>
      </w:r>
      <w:r w:rsidR="0026424E">
        <w:t xml:space="preserve"> </w:t>
      </w:r>
      <w:r>
        <w:t>1676.</w:t>
      </w:r>
    </w:p>
  </w:footnote>
  <w:footnote w:id="810">
    <w:p w14:paraId="7D4360C6" w14:textId="5BC17E53" w:rsidR="00D82F50" w:rsidRDefault="00D82F50" w:rsidP="00D82F50">
      <w:pPr>
        <w:pStyle w:val="FootnoteText"/>
      </w:pPr>
      <w:r>
        <w:rPr>
          <w:rStyle w:val="FootnoteReference"/>
        </w:rPr>
        <w:footnoteRef/>
      </w:r>
      <w:r>
        <w:t xml:space="preserve"> </w:t>
      </w:r>
      <w:r w:rsidRPr="00F75941">
        <w:t xml:space="preserve">LA: </w:t>
      </w:r>
      <w:r w:rsidRPr="00F75941">
        <w:rPr>
          <w:lang w:val="en-US"/>
        </w:rPr>
        <w:t xml:space="preserve">PR 3315/1/1, </w:t>
      </w:r>
      <w:r w:rsidR="00C92377">
        <w:rPr>
          <w:lang w:val="en-US"/>
        </w:rPr>
        <w:t>Parish Register of</w:t>
      </w:r>
      <w:r w:rsidRPr="00F75941">
        <w:rPr>
          <w:lang w:val="en-US"/>
        </w:rPr>
        <w:t xml:space="preserve"> Holy Trinity Church, Bolton-le-Sands, 1642-1737</w:t>
      </w:r>
      <w:r>
        <w:rPr>
          <w:lang w:val="en-US"/>
        </w:rPr>
        <w:t xml:space="preserve">, Marriage of Edmond </w:t>
      </w:r>
      <w:proofErr w:type="spellStart"/>
      <w:r>
        <w:rPr>
          <w:lang w:val="en-US"/>
        </w:rPr>
        <w:t>Freare</w:t>
      </w:r>
      <w:proofErr w:type="spellEnd"/>
      <w:r>
        <w:rPr>
          <w:lang w:val="en-US"/>
        </w:rPr>
        <w:t xml:space="preserve"> and Grace Wingreen, 13 April 1664</w:t>
      </w:r>
      <w:r w:rsidR="0026424E">
        <w:rPr>
          <w:lang w:val="en-US"/>
        </w:rPr>
        <w:t>.</w:t>
      </w:r>
    </w:p>
  </w:footnote>
  <w:footnote w:id="811">
    <w:p w14:paraId="1CE49580" w14:textId="29182712" w:rsidR="00D82F50" w:rsidRDefault="00D82F50" w:rsidP="00D82F50">
      <w:pPr>
        <w:pStyle w:val="FootnoteText"/>
      </w:pPr>
      <w:r>
        <w:rPr>
          <w:rStyle w:val="FootnoteReference"/>
        </w:rPr>
        <w:footnoteRef/>
      </w:r>
      <w:r>
        <w:t xml:space="preserve"> </w:t>
      </w:r>
      <w:r w:rsidRPr="00F75941">
        <w:t xml:space="preserve">LA: </w:t>
      </w:r>
      <w:r w:rsidRPr="00F75941">
        <w:rPr>
          <w:lang w:val="en-US"/>
        </w:rPr>
        <w:t xml:space="preserve">PR 3315/1/1, </w:t>
      </w:r>
      <w:r w:rsidR="00C92377">
        <w:rPr>
          <w:lang w:val="en-US"/>
        </w:rPr>
        <w:t>Parish Register of</w:t>
      </w:r>
      <w:r w:rsidRPr="00F75941">
        <w:rPr>
          <w:lang w:val="en-US"/>
        </w:rPr>
        <w:t xml:space="preserve"> Holy Trinity Church, Bolton-le-Sands, 1642-1737</w:t>
      </w:r>
      <w:r>
        <w:rPr>
          <w:lang w:val="en-US"/>
        </w:rPr>
        <w:t>, Burial of Gracia Frear, 21 April 1710</w:t>
      </w:r>
      <w:r w:rsidR="0026424E">
        <w:rPr>
          <w:lang w:val="en-US"/>
        </w:rPr>
        <w:t>.</w:t>
      </w:r>
    </w:p>
  </w:footnote>
  <w:footnote w:id="812">
    <w:p w14:paraId="084815DD" w14:textId="1E9FAD1E" w:rsidR="00D82F50" w:rsidRDefault="00D82F50" w:rsidP="00D82F50">
      <w:pPr>
        <w:pStyle w:val="FootnoteText"/>
      </w:pPr>
      <w:r>
        <w:rPr>
          <w:rStyle w:val="FootnoteReference"/>
        </w:rPr>
        <w:footnoteRef/>
      </w:r>
      <w:r>
        <w:t xml:space="preserve"> </w:t>
      </w:r>
      <w:r w:rsidRPr="0020016B">
        <w:rPr>
          <w:lang w:val="en-US"/>
        </w:rPr>
        <w:t xml:space="preserve">Garnett, </w:t>
      </w:r>
      <w:r w:rsidRPr="0020016B">
        <w:rPr>
          <w:i/>
          <w:iCs/>
          <w:lang w:val="en-US"/>
        </w:rPr>
        <w:t xml:space="preserve">Dated Buildings, </w:t>
      </w:r>
      <w:r w:rsidRPr="0020016B">
        <w:rPr>
          <w:lang w:val="en-US"/>
        </w:rPr>
        <w:t>p.21</w:t>
      </w:r>
      <w:r w:rsidR="0026424E">
        <w:rPr>
          <w:lang w:val="en-US"/>
        </w:rPr>
        <w:t>.</w:t>
      </w:r>
    </w:p>
  </w:footnote>
  <w:footnote w:id="813">
    <w:p w14:paraId="507B61E7" w14:textId="6EC107A0" w:rsidR="00D82F50" w:rsidRDefault="00D82F50" w:rsidP="00D82F50">
      <w:pPr>
        <w:pStyle w:val="FootnoteText"/>
      </w:pPr>
      <w:r>
        <w:rPr>
          <w:rStyle w:val="FootnoteReference"/>
        </w:rPr>
        <w:footnoteRef/>
      </w:r>
      <w:r>
        <w:t xml:space="preserve"> </w:t>
      </w:r>
      <w:r w:rsidRPr="00400168">
        <w:t xml:space="preserve">LA: </w:t>
      </w:r>
      <w:r w:rsidRPr="00400168">
        <w:rPr>
          <w:lang w:val="en-US"/>
        </w:rPr>
        <w:t xml:space="preserve">PR 3315/1/1, </w:t>
      </w:r>
      <w:r w:rsidR="00C92377">
        <w:rPr>
          <w:lang w:val="en-US"/>
        </w:rPr>
        <w:t>Parish Register of</w:t>
      </w:r>
      <w:r w:rsidRPr="00400168">
        <w:rPr>
          <w:lang w:val="en-US"/>
        </w:rPr>
        <w:t xml:space="preserve"> Holy Trinity Church, Bolton-le-Sands, 1642-1737,</w:t>
      </w:r>
      <w:r>
        <w:rPr>
          <w:lang w:val="en-US"/>
        </w:rPr>
        <w:t xml:space="preserve"> Marriage of Thomas Frear and Elizabeth Hall, 13 March 1695</w:t>
      </w:r>
      <w:r w:rsidR="0026424E">
        <w:rPr>
          <w:lang w:val="en-US"/>
        </w:rPr>
        <w:t>.</w:t>
      </w:r>
    </w:p>
  </w:footnote>
  <w:footnote w:id="814">
    <w:p w14:paraId="2867B19D" w14:textId="7E4E7A02" w:rsidR="00D82F50" w:rsidRDefault="00D82F50" w:rsidP="00D82F50">
      <w:pPr>
        <w:pStyle w:val="FootnoteText"/>
      </w:pPr>
      <w:r>
        <w:rPr>
          <w:rStyle w:val="FootnoteReference"/>
        </w:rPr>
        <w:footnoteRef/>
      </w:r>
      <w:r>
        <w:t xml:space="preserve"> </w:t>
      </w:r>
      <w:r w:rsidRPr="00400168">
        <w:t xml:space="preserve">LA: </w:t>
      </w:r>
      <w:r w:rsidRPr="00400168">
        <w:rPr>
          <w:lang w:val="en-US"/>
        </w:rPr>
        <w:t xml:space="preserve">PR 3315/1/1, </w:t>
      </w:r>
      <w:r w:rsidR="00C92377">
        <w:rPr>
          <w:lang w:val="en-US"/>
        </w:rPr>
        <w:t>Parish Register of</w:t>
      </w:r>
      <w:r w:rsidRPr="00400168">
        <w:rPr>
          <w:lang w:val="en-US"/>
        </w:rPr>
        <w:t xml:space="preserve"> Holy Trinity Church, Bolton-le-Sands, 1642-1737,</w:t>
      </w:r>
      <w:r>
        <w:rPr>
          <w:lang w:val="en-US"/>
        </w:rPr>
        <w:t xml:space="preserve"> Burial of William Fryer, 29 November 1725</w:t>
      </w:r>
      <w:r w:rsidR="0026424E">
        <w:rPr>
          <w:lang w:val="en-US"/>
        </w:rPr>
        <w:t>.</w:t>
      </w:r>
    </w:p>
  </w:footnote>
  <w:footnote w:id="815">
    <w:p w14:paraId="2D158D95" w14:textId="23ABACB8" w:rsidR="00D82F50" w:rsidRDefault="00D82F50" w:rsidP="00D82F50">
      <w:pPr>
        <w:pStyle w:val="FootnoteText"/>
      </w:pPr>
      <w:r>
        <w:rPr>
          <w:rStyle w:val="FootnoteReference"/>
        </w:rPr>
        <w:footnoteRef/>
      </w:r>
      <w:r>
        <w:t xml:space="preserve"> Hamling, ‘“An </w:t>
      </w:r>
      <w:proofErr w:type="spellStart"/>
      <w:r>
        <w:t>arelome</w:t>
      </w:r>
      <w:proofErr w:type="spellEnd"/>
      <w:r>
        <w:t>”’, p.74</w:t>
      </w:r>
      <w:r w:rsidR="0026424E">
        <w:t>.</w:t>
      </w:r>
    </w:p>
  </w:footnote>
  <w:footnote w:id="816">
    <w:p w14:paraId="2EE553CA" w14:textId="0C0DCA6A" w:rsidR="00D82F50" w:rsidRDefault="00D82F50" w:rsidP="00D82F50">
      <w:pPr>
        <w:pStyle w:val="FootnoteText"/>
      </w:pPr>
      <w:r>
        <w:rPr>
          <w:rStyle w:val="FootnoteReference"/>
        </w:rPr>
        <w:footnoteRef/>
      </w:r>
      <w:r>
        <w:t xml:space="preserve"> </w:t>
      </w:r>
      <w:r w:rsidRPr="00824230">
        <w:t xml:space="preserve">JWRC Conservation, </w:t>
      </w:r>
      <w:r w:rsidRPr="00824230">
        <w:rPr>
          <w:i/>
          <w:iCs/>
        </w:rPr>
        <w:t>The Manor House, Slyne: Proposed Conversion of Outbuilding to Tea Room: Heritage Statement,</w:t>
      </w:r>
      <w:r w:rsidRPr="00824230">
        <w:t xml:space="preserve"> (Morecambe, 201</w:t>
      </w:r>
      <w:r>
        <w:t>8), p.4</w:t>
      </w:r>
      <w:r w:rsidR="0026424E">
        <w:t>.</w:t>
      </w:r>
    </w:p>
  </w:footnote>
  <w:footnote w:id="817">
    <w:p w14:paraId="2ECC2AE0" w14:textId="081B077F" w:rsidR="00D82F50" w:rsidRPr="0040396B" w:rsidRDefault="00D82F50" w:rsidP="00D82F50">
      <w:pPr>
        <w:pStyle w:val="FootnoteText"/>
      </w:pPr>
      <w:r>
        <w:rPr>
          <w:rStyle w:val="FootnoteReference"/>
        </w:rPr>
        <w:footnoteRef/>
      </w:r>
      <w:r>
        <w:t xml:space="preserve"> Chinnery, </w:t>
      </w:r>
      <w:r>
        <w:rPr>
          <w:i/>
          <w:iCs/>
        </w:rPr>
        <w:t xml:space="preserve">Oak Furniture, </w:t>
      </w:r>
      <w:r>
        <w:t xml:space="preserve">p.227; </w:t>
      </w:r>
      <w:r w:rsidRPr="003715C5">
        <w:t xml:space="preserve">Antony Buxton, </w:t>
      </w:r>
      <w:r w:rsidRPr="003715C5">
        <w:rPr>
          <w:i/>
          <w:iCs/>
        </w:rPr>
        <w:t xml:space="preserve">Domestic Culture in Early Modern England, </w:t>
      </w:r>
      <w:r w:rsidRPr="003715C5">
        <w:t>(Woodbridge, 2015)</w:t>
      </w:r>
      <w:r>
        <w:t>,</w:t>
      </w:r>
      <w:r w:rsidRPr="003715C5">
        <w:rPr>
          <w:b/>
          <w:bCs/>
        </w:rPr>
        <w:t xml:space="preserve"> </w:t>
      </w:r>
      <w:r>
        <w:t>p.220</w:t>
      </w:r>
      <w:r w:rsidR="0026424E">
        <w:t>.</w:t>
      </w:r>
    </w:p>
  </w:footnote>
  <w:footnote w:id="818">
    <w:p w14:paraId="69959995" w14:textId="442454E6" w:rsidR="00D82F50" w:rsidRDefault="00D82F50" w:rsidP="00D82F50">
      <w:pPr>
        <w:pStyle w:val="FootnoteText"/>
      </w:pPr>
      <w:r>
        <w:rPr>
          <w:rStyle w:val="FootnoteReference"/>
        </w:rPr>
        <w:footnoteRef/>
      </w:r>
      <w:r>
        <w:t xml:space="preserve"> I</w:t>
      </w:r>
      <w:r w:rsidRPr="00CE3135">
        <w:t>bid.</w:t>
      </w:r>
    </w:p>
  </w:footnote>
  <w:footnote w:id="819">
    <w:p w14:paraId="2B31CA8A" w14:textId="0FFB5574" w:rsidR="00D82F50" w:rsidRDefault="00D82F50" w:rsidP="00D82F50">
      <w:pPr>
        <w:pStyle w:val="FootnoteText"/>
      </w:pPr>
      <w:r>
        <w:rPr>
          <w:rStyle w:val="FootnoteReference"/>
        </w:rPr>
        <w:footnoteRef/>
      </w:r>
      <w:r>
        <w:t xml:space="preserve"> Ibid., p.486</w:t>
      </w:r>
      <w:r w:rsidR="0026424E">
        <w:t>.</w:t>
      </w:r>
    </w:p>
  </w:footnote>
  <w:footnote w:id="820">
    <w:p w14:paraId="3033C8B4" w14:textId="6FD9CD7E" w:rsidR="00D82F50" w:rsidRDefault="00D82F50" w:rsidP="00D82F50">
      <w:pPr>
        <w:pStyle w:val="FootnoteText"/>
      </w:pPr>
      <w:r>
        <w:rPr>
          <w:rStyle w:val="FootnoteReference"/>
        </w:rPr>
        <w:footnoteRef/>
      </w:r>
      <w:r>
        <w:t xml:space="preserve"> Angela </w:t>
      </w:r>
      <w:r w:rsidRPr="00F023CA">
        <w:t xml:space="preserve">McShane, ‘Subjects and objects: material expressions of love and loyalty in seventeenth-century England’, </w:t>
      </w:r>
      <w:r w:rsidRPr="00F023CA">
        <w:rPr>
          <w:i/>
          <w:iCs/>
        </w:rPr>
        <w:t xml:space="preserve">Journal of British Studies, </w:t>
      </w:r>
      <w:r w:rsidRPr="00F023CA">
        <w:t>Vol. 48, (2009), pp.871-886</w:t>
      </w:r>
      <w:r>
        <w:t>, p.877</w:t>
      </w:r>
      <w:r w:rsidR="0026424E">
        <w:t>.</w:t>
      </w:r>
    </w:p>
  </w:footnote>
  <w:footnote w:id="821">
    <w:p w14:paraId="4DA7808D" w14:textId="3809ED1A" w:rsidR="00D82F50" w:rsidRPr="00C26117" w:rsidRDefault="00D82F50" w:rsidP="00D82F50">
      <w:pPr>
        <w:pStyle w:val="FootnoteText"/>
      </w:pPr>
      <w:r>
        <w:rPr>
          <w:rStyle w:val="FootnoteReference"/>
        </w:rPr>
        <w:footnoteRef/>
      </w:r>
      <w:r>
        <w:t xml:space="preserve"> </w:t>
      </w:r>
      <w:r w:rsidRPr="006E68FE">
        <w:t xml:space="preserve">Ruth Bird (ed.), </w:t>
      </w:r>
      <w:r w:rsidRPr="006E68FE">
        <w:rPr>
          <w:i/>
          <w:iCs/>
        </w:rPr>
        <w:t xml:space="preserve">The Journal of Giles Moore, </w:t>
      </w:r>
      <w:r w:rsidRPr="006E68FE">
        <w:t xml:space="preserve">(Lewes, 1971), </w:t>
      </w:r>
      <w:r>
        <w:t>p.29</w:t>
      </w:r>
      <w:r w:rsidR="0026424E">
        <w:t>.</w:t>
      </w:r>
    </w:p>
  </w:footnote>
  <w:footnote w:id="822">
    <w:p w14:paraId="2DFB6EED" w14:textId="11AD4CD1" w:rsidR="00D82F50" w:rsidRDefault="00D82F50" w:rsidP="00D82F50">
      <w:pPr>
        <w:pStyle w:val="FootnoteText"/>
      </w:pPr>
      <w:r>
        <w:rPr>
          <w:rStyle w:val="FootnoteReference"/>
        </w:rPr>
        <w:footnoteRef/>
      </w:r>
      <w:r>
        <w:t xml:space="preserve"> Ibid., </w:t>
      </w:r>
      <w:proofErr w:type="spellStart"/>
      <w:r>
        <w:t>p.viii</w:t>
      </w:r>
      <w:proofErr w:type="spellEnd"/>
      <w:r>
        <w:t xml:space="preserve">: Bird states that no exact date for Moore’s marriage is traceable, but in a </w:t>
      </w:r>
      <w:proofErr w:type="gramStart"/>
      <w:r>
        <w:t>diary</w:t>
      </w:r>
      <w:proofErr w:type="gramEnd"/>
      <w:r>
        <w:t xml:space="preserve"> entry dated 1665 Moore describes a gift he gave to his wife 16 years before. Thus, by 1673, he had almost certainly been married for over twenty years; McShane, ‘Subjects and objects’, p.877</w:t>
      </w:r>
      <w:r w:rsidR="0026424E">
        <w:t>.</w:t>
      </w:r>
    </w:p>
  </w:footnote>
  <w:footnote w:id="823">
    <w:p w14:paraId="21DB3B70" w14:textId="4068B316" w:rsidR="00D82F50" w:rsidRPr="002C3F15" w:rsidRDefault="00D82F50" w:rsidP="00D82F50">
      <w:pPr>
        <w:pStyle w:val="FootnoteText"/>
      </w:pPr>
      <w:r>
        <w:rPr>
          <w:rStyle w:val="FootnoteReference"/>
        </w:rPr>
        <w:footnoteRef/>
      </w:r>
      <w:r>
        <w:t xml:space="preserve"> Fleming, </w:t>
      </w:r>
      <w:r>
        <w:rPr>
          <w:i/>
          <w:iCs/>
        </w:rPr>
        <w:t>Graffiti and the Writing Arts</w:t>
      </w:r>
      <w:r>
        <w:t>, pp.152-153</w:t>
      </w:r>
      <w:r w:rsidR="0026424E">
        <w:t>.</w:t>
      </w:r>
    </w:p>
  </w:footnote>
  <w:footnote w:id="824">
    <w:p w14:paraId="7283FA25" w14:textId="0BAB1F93" w:rsidR="00D82F50" w:rsidRPr="00652257" w:rsidRDefault="00D82F50" w:rsidP="00D82F50">
      <w:pPr>
        <w:pStyle w:val="FootnoteText"/>
      </w:pPr>
      <w:r>
        <w:rPr>
          <w:rStyle w:val="FootnoteReference"/>
        </w:rPr>
        <w:footnoteRef/>
      </w:r>
      <w:r>
        <w:t xml:space="preserve"> Frank Britton, </w:t>
      </w:r>
      <w:r>
        <w:rPr>
          <w:i/>
          <w:iCs/>
        </w:rPr>
        <w:t xml:space="preserve">London Delftware, </w:t>
      </w:r>
      <w:r>
        <w:t>(London, 1987), p.110, p.131, p.125, p.158</w:t>
      </w:r>
      <w:r w:rsidR="0026424E">
        <w:t>.</w:t>
      </w:r>
    </w:p>
  </w:footnote>
  <w:footnote w:id="825">
    <w:p w14:paraId="4C206210" w14:textId="3EE6EFF1" w:rsidR="00D82F50" w:rsidRDefault="00D82F50" w:rsidP="00D82F50">
      <w:pPr>
        <w:pStyle w:val="FootnoteText"/>
      </w:pPr>
      <w:r>
        <w:rPr>
          <w:rStyle w:val="FootnoteReference"/>
        </w:rPr>
        <w:footnoteRef/>
      </w:r>
      <w:r>
        <w:t xml:space="preserve"> </w:t>
      </w:r>
      <w:r w:rsidRPr="00776126">
        <w:t xml:space="preserve">Jasmine Kilburn-Toppin, ‘Gifting cultures and artisanal guilds in sixteenth- and early seventeenth-century London’, </w:t>
      </w:r>
      <w:r w:rsidRPr="00776126">
        <w:rPr>
          <w:i/>
          <w:iCs/>
        </w:rPr>
        <w:t xml:space="preserve">The Historical Journal, </w:t>
      </w:r>
      <w:r w:rsidRPr="00776126">
        <w:t>Vol. 60, No. 4, (2017), pp.865-887</w:t>
      </w:r>
      <w:r>
        <w:t>, p.880-881</w:t>
      </w:r>
      <w:r w:rsidR="0026424E">
        <w:t>.</w:t>
      </w:r>
    </w:p>
  </w:footnote>
  <w:footnote w:id="826">
    <w:p w14:paraId="115EED23" w14:textId="3C8FCA77" w:rsidR="00D82F50" w:rsidRDefault="00D82F50" w:rsidP="00D82F50">
      <w:pPr>
        <w:pStyle w:val="FootnoteText"/>
      </w:pPr>
      <w:r>
        <w:rPr>
          <w:rStyle w:val="FootnoteReference"/>
        </w:rPr>
        <w:footnoteRef/>
      </w:r>
      <w:r>
        <w:t xml:space="preserve"> This is a point Tara Hamling has also developed in relation to permanent fixtures within the home, positing them as a ‘permanent replacement for the social body’, memorialising the individual responsible for them into perpetuity – particularly among the ‘sympathetic audience’ of their own descendants. Hamling, ‘“</w:t>
      </w:r>
      <w:proofErr w:type="spellStart"/>
      <w:r>
        <w:t>Arelome</w:t>
      </w:r>
      <w:proofErr w:type="spellEnd"/>
      <w:r>
        <w:t>”’, p.83</w:t>
      </w:r>
      <w:r w:rsidR="0026424E">
        <w:t>.</w:t>
      </w:r>
    </w:p>
  </w:footnote>
  <w:footnote w:id="827">
    <w:p w14:paraId="01BC0BB8" w14:textId="73570FDE" w:rsidR="00D82F50" w:rsidRPr="00554823" w:rsidRDefault="00D82F50" w:rsidP="00D82F50">
      <w:pPr>
        <w:pStyle w:val="FootnoteText"/>
      </w:pPr>
      <w:r>
        <w:rPr>
          <w:rStyle w:val="FootnoteReference"/>
        </w:rPr>
        <w:footnoteRef/>
      </w:r>
      <w:r>
        <w:t xml:space="preserve"> Buxton, </w:t>
      </w:r>
      <w:r>
        <w:rPr>
          <w:i/>
          <w:iCs/>
        </w:rPr>
        <w:t xml:space="preserve">Domestic Culture, </w:t>
      </w:r>
      <w:r>
        <w:t>p.213</w:t>
      </w:r>
      <w:r w:rsidR="0026424E">
        <w:t>.</w:t>
      </w:r>
    </w:p>
  </w:footnote>
  <w:footnote w:id="828">
    <w:p w14:paraId="261A4792" w14:textId="6E08B347" w:rsidR="00D82F50" w:rsidRDefault="00D82F50" w:rsidP="00D82F50">
      <w:pPr>
        <w:pStyle w:val="FootnoteText"/>
      </w:pPr>
      <w:r>
        <w:rPr>
          <w:rStyle w:val="FootnoteReference"/>
        </w:rPr>
        <w:footnoteRef/>
      </w:r>
      <w:r>
        <w:t xml:space="preserve"> Ibid., p.226, p.236</w:t>
      </w:r>
      <w:r w:rsidR="0026424E">
        <w:t>.</w:t>
      </w:r>
    </w:p>
  </w:footnote>
  <w:footnote w:id="829">
    <w:p w14:paraId="59386895" w14:textId="5ED29FE8" w:rsidR="00D82F50" w:rsidRDefault="00D82F50" w:rsidP="00D82F50">
      <w:pPr>
        <w:pStyle w:val="FootnoteText"/>
      </w:pPr>
      <w:r>
        <w:rPr>
          <w:rStyle w:val="FootnoteReference"/>
        </w:rPr>
        <w:footnoteRef/>
      </w:r>
      <w:r>
        <w:t xml:space="preserve"> Ibid., p.226</w:t>
      </w:r>
      <w:r w:rsidR="0026424E">
        <w:t>.</w:t>
      </w:r>
    </w:p>
  </w:footnote>
  <w:footnote w:id="830">
    <w:p w14:paraId="641103FA" w14:textId="2009BA25" w:rsidR="00D82F50" w:rsidRDefault="00D82F50" w:rsidP="00D82F50">
      <w:pPr>
        <w:pStyle w:val="FootnoteText"/>
      </w:pPr>
      <w:r>
        <w:rPr>
          <w:rStyle w:val="FootnoteReference"/>
        </w:rPr>
        <w:footnoteRef/>
      </w:r>
      <w:r>
        <w:t xml:space="preserve"> </w:t>
      </w:r>
      <w:r w:rsidRPr="006307EC">
        <w:t xml:space="preserve">Céline Rosselin, ‘The ins and outs of the hall: a Parisian example’, in Irene </w:t>
      </w:r>
      <w:proofErr w:type="spellStart"/>
      <w:r w:rsidRPr="006307EC">
        <w:t>Cieraad</w:t>
      </w:r>
      <w:proofErr w:type="spellEnd"/>
      <w:r w:rsidRPr="006307EC">
        <w:t xml:space="preserve"> (ed.), </w:t>
      </w:r>
      <w:r w:rsidRPr="006307EC">
        <w:rPr>
          <w:i/>
          <w:iCs/>
        </w:rPr>
        <w:t xml:space="preserve">At Home: An Anthropology of Domestic Space, </w:t>
      </w:r>
      <w:r w:rsidRPr="006307EC">
        <w:t>(Syracuse, 1999), pp.53-59</w:t>
      </w:r>
      <w:r>
        <w:t>,</w:t>
      </w:r>
      <w:r w:rsidRPr="006307EC">
        <w:rPr>
          <w:b/>
          <w:bCs/>
        </w:rPr>
        <w:t xml:space="preserve"> </w:t>
      </w:r>
      <w:r>
        <w:t>pp.55-56</w:t>
      </w:r>
      <w:r w:rsidR="0026424E">
        <w:t>.</w:t>
      </w:r>
    </w:p>
  </w:footnote>
  <w:footnote w:id="831">
    <w:p w14:paraId="7BD28494" w14:textId="514D5D86" w:rsidR="00D82F50" w:rsidRDefault="00D82F50" w:rsidP="00D82F50">
      <w:pPr>
        <w:pStyle w:val="FootnoteText"/>
      </w:pPr>
      <w:r>
        <w:rPr>
          <w:rStyle w:val="FootnoteReference"/>
        </w:rPr>
        <w:footnoteRef/>
      </w:r>
      <w:r>
        <w:t xml:space="preserve"> </w:t>
      </w:r>
      <w:r w:rsidRPr="00F44CB3">
        <w:t>Hamling, ‘</w:t>
      </w:r>
      <w:r>
        <w:t>“</w:t>
      </w:r>
      <w:proofErr w:type="spellStart"/>
      <w:r w:rsidRPr="00F44CB3">
        <w:t>Arelome</w:t>
      </w:r>
      <w:proofErr w:type="spellEnd"/>
      <w:r>
        <w:t>”</w:t>
      </w:r>
      <w:r w:rsidRPr="00F44CB3">
        <w:t>’</w:t>
      </w:r>
      <w:r>
        <w:t>, p.68</w:t>
      </w:r>
      <w:r w:rsidR="0026424E">
        <w:t>.</w:t>
      </w:r>
    </w:p>
  </w:footnote>
  <w:footnote w:id="832">
    <w:p w14:paraId="56351E25" w14:textId="3036D677" w:rsidR="00D82F50" w:rsidRPr="007B3260" w:rsidRDefault="00D82F50" w:rsidP="00D82F50">
      <w:pPr>
        <w:pStyle w:val="FootnoteText"/>
      </w:pPr>
      <w:r>
        <w:rPr>
          <w:rStyle w:val="FootnoteReference"/>
        </w:rPr>
        <w:footnoteRef/>
      </w:r>
      <w:r>
        <w:t xml:space="preserve"> Chinnery, </w:t>
      </w:r>
      <w:r>
        <w:rPr>
          <w:i/>
          <w:iCs/>
        </w:rPr>
        <w:t xml:space="preserve">Oak Furniture, </w:t>
      </w:r>
      <w:r>
        <w:t>p.49</w:t>
      </w:r>
      <w:r w:rsidR="0026424E">
        <w:t>.</w:t>
      </w:r>
    </w:p>
  </w:footnote>
  <w:footnote w:id="833">
    <w:p w14:paraId="4ED25F5C" w14:textId="42CE4F79" w:rsidR="00D82F50" w:rsidRDefault="00D82F50" w:rsidP="00D82F50">
      <w:pPr>
        <w:pStyle w:val="FootnoteText"/>
      </w:pPr>
      <w:r w:rsidRPr="001F3285">
        <w:rPr>
          <w:rStyle w:val="FootnoteReference"/>
        </w:rPr>
        <w:footnoteRef/>
      </w:r>
      <w:r>
        <w:t xml:space="preserve"> Catherine Richardson, ‘Furniture and furnishings’, in Amanda Flather (ed.), </w:t>
      </w:r>
      <w:r>
        <w:rPr>
          <w:i/>
          <w:iCs/>
        </w:rPr>
        <w:t xml:space="preserve">A Cultural History of the Home in the Renaissance, </w:t>
      </w:r>
      <w:r>
        <w:t>(London, 2021), pp.83-102, p.94</w:t>
      </w:r>
      <w:r w:rsidR="0026424E">
        <w:t>.</w:t>
      </w:r>
    </w:p>
  </w:footnote>
  <w:footnote w:id="834">
    <w:p w14:paraId="77A1382A" w14:textId="7FCBB04B" w:rsidR="00D82F50" w:rsidRDefault="00D82F50" w:rsidP="00D82F50">
      <w:pPr>
        <w:pStyle w:val="FootnoteText"/>
      </w:pPr>
      <w:r>
        <w:rPr>
          <w:rStyle w:val="FootnoteReference"/>
        </w:rPr>
        <w:footnoteRef/>
      </w:r>
      <w:r>
        <w:t xml:space="preserve"> </w:t>
      </w:r>
      <w:r w:rsidRPr="00C30C41">
        <w:t xml:space="preserve">Tara Hamling, ‘The household’, in Anna French (ed.), </w:t>
      </w:r>
      <w:r w:rsidRPr="00C30C41">
        <w:rPr>
          <w:i/>
          <w:iCs/>
        </w:rPr>
        <w:t xml:space="preserve">Early Modern Childhood: An Introduction, </w:t>
      </w:r>
      <w:r w:rsidRPr="00C30C41">
        <w:t>(London, 2020), pp.33-54, p.39</w:t>
      </w:r>
      <w:r w:rsidR="0026424E">
        <w:t>.</w:t>
      </w:r>
    </w:p>
  </w:footnote>
  <w:footnote w:id="835">
    <w:p w14:paraId="7EF4AB19" w14:textId="44371732" w:rsidR="00D82F50" w:rsidRDefault="00D82F50" w:rsidP="00D82F50">
      <w:pPr>
        <w:pStyle w:val="FootnoteText"/>
      </w:pPr>
      <w:r>
        <w:rPr>
          <w:rStyle w:val="FootnoteReference"/>
        </w:rPr>
        <w:footnoteRef/>
      </w:r>
      <w:r>
        <w:t xml:space="preserve"> </w:t>
      </w:r>
      <w:r w:rsidRPr="0067105D">
        <w:t>C</w:t>
      </w:r>
      <w:r>
        <w:t>ynthia</w:t>
      </w:r>
      <w:r w:rsidRPr="0067105D">
        <w:t xml:space="preserve"> Robin and N</w:t>
      </w:r>
      <w:r>
        <w:t>an</w:t>
      </w:r>
      <w:r w:rsidRPr="0067105D">
        <w:t xml:space="preserve"> Rothschild, ‘Archaeological </w:t>
      </w:r>
      <w:r>
        <w:t>e</w:t>
      </w:r>
      <w:r w:rsidRPr="0067105D">
        <w:t xml:space="preserve">thnographies: </w:t>
      </w:r>
      <w:r>
        <w:t>s</w:t>
      </w:r>
      <w:r w:rsidRPr="0067105D">
        <w:t xml:space="preserve">ocial </w:t>
      </w:r>
      <w:r>
        <w:t>d</w:t>
      </w:r>
      <w:r w:rsidRPr="0067105D">
        <w:t xml:space="preserve">ynamics of </w:t>
      </w:r>
      <w:r>
        <w:t>o</w:t>
      </w:r>
      <w:r w:rsidRPr="0067105D">
        <w:t xml:space="preserve">utdoor </w:t>
      </w:r>
      <w:r>
        <w:t>s</w:t>
      </w:r>
      <w:r w:rsidRPr="0067105D">
        <w:t xml:space="preserve">pace’, </w:t>
      </w:r>
      <w:r w:rsidRPr="00C26F71">
        <w:rPr>
          <w:i/>
          <w:iCs/>
        </w:rPr>
        <w:t>Journal of Social</w:t>
      </w:r>
      <w:r w:rsidRPr="0067105D">
        <w:t xml:space="preserve"> </w:t>
      </w:r>
      <w:r w:rsidRPr="00C26F71">
        <w:rPr>
          <w:i/>
          <w:iCs/>
        </w:rPr>
        <w:t>Archaeology</w:t>
      </w:r>
      <w:r>
        <w:rPr>
          <w:i/>
          <w:iCs/>
        </w:rPr>
        <w:t xml:space="preserve">, </w:t>
      </w:r>
      <w:r>
        <w:t>Vol.</w:t>
      </w:r>
      <w:r w:rsidRPr="0067105D">
        <w:t xml:space="preserve"> 2</w:t>
      </w:r>
      <w:r>
        <w:t xml:space="preserve">, No. </w:t>
      </w:r>
      <w:r w:rsidRPr="0067105D">
        <w:t>2</w:t>
      </w:r>
      <w:r>
        <w:t>,</w:t>
      </w:r>
      <w:r w:rsidRPr="0067105D">
        <w:t xml:space="preserve"> (2002), </w:t>
      </w:r>
      <w:r>
        <w:t>pp.</w:t>
      </w:r>
      <w:r w:rsidRPr="0067105D">
        <w:t>159</w:t>
      </w:r>
      <w:r>
        <w:t>-</w:t>
      </w:r>
      <w:r w:rsidRPr="0067105D">
        <w:t xml:space="preserve">72, </w:t>
      </w:r>
      <w:r>
        <w:t>p.</w:t>
      </w:r>
      <w:r w:rsidRPr="0067105D">
        <w:t>161</w:t>
      </w:r>
      <w:r>
        <w:t>; King, ‘Domestic buildings</w:t>
      </w:r>
      <w:r w:rsidR="00DA4752">
        <w:t>’</w:t>
      </w:r>
      <w:r>
        <w:rPr>
          <w:lang w:val="en-US"/>
        </w:rPr>
        <w:t>, p.116</w:t>
      </w:r>
      <w:r w:rsidR="0026424E">
        <w:rPr>
          <w:lang w:val="en-US"/>
        </w:rPr>
        <w:t>.</w:t>
      </w:r>
    </w:p>
  </w:footnote>
  <w:footnote w:id="836">
    <w:p w14:paraId="0B54EA6D" w14:textId="0A887267" w:rsidR="00D82F50" w:rsidRDefault="00D82F50" w:rsidP="00D82F50">
      <w:pPr>
        <w:pStyle w:val="FootnoteText"/>
      </w:pPr>
      <w:r>
        <w:rPr>
          <w:rStyle w:val="FootnoteReference"/>
        </w:rPr>
        <w:footnoteRef/>
      </w:r>
      <w:r>
        <w:t xml:space="preserve"> Joseph Blagrave, </w:t>
      </w:r>
      <w:r>
        <w:rPr>
          <w:i/>
          <w:iCs/>
        </w:rPr>
        <w:t xml:space="preserve">Blagraves astrological practice of physick discovering the true way to cure all kinds of diseases and infirmities being performed by such herbs and plants which grow within our own nation, </w:t>
      </w:r>
      <w:r>
        <w:t>(London, 1671), p.154</w:t>
      </w:r>
      <w:r w:rsidR="0026424E">
        <w:t>.</w:t>
      </w:r>
    </w:p>
  </w:footnote>
  <w:footnote w:id="837">
    <w:p w14:paraId="53B21351" w14:textId="298FBE68" w:rsidR="00D82F50" w:rsidRDefault="00D82F50" w:rsidP="00D82F50">
      <w:pPr>
        <w:pStyle w:val="FootnoteText"/>
      </w:pPr>
      <w:r>
        <w:rPr>
          <w:rStyle w:val="FootnoteReference"/>
        </w:rPr>
        <w:footnoteRef/>
      </w:r>
      <w:r>
        <w:t xml:space="preserve"> </w:t>
      </w:r>
      <w:r w:rsidRPr="00186B5A">
        <w:rPr>
          <w:rStyle w:val="normaltextrun"/>
          <w:rFonts w:cs="Calibri"/>
          <w:color w:val="000000"/>
          <w:shd w:val="clear" w:color="auto" w:fill="FFFFFF"/>
        </w:rPr>
        <w:t>Zoe Crossland, ‘Materiality and embodiment’, in Dan Hicks and Mary C. Beaudry (eds),</w:t>
      </w:r>
      <w:r w:rsidRPr="00A10529">
        <w:rPr>
          <w:rStyle w:val="normaltextrun"/>
          <w:rFonts w:cs="Calibri"/>
          <w:i/>
          <w:iCs/>
          <w:color w:val="000000"/>
          <w:shd w:val="clear" w:color="auto" w:fill="FFFFFF"/>
        </w:rPr>
        <w:t xml:space="preserve"> The Oxford Handbook of Material Culture Studies</w:t>
      </w:r>
      <w:r w:rsidRPr="00186B5A">
        <w:rPr>
          <w:rStyle w:val="normaltextrun"/>
          <w:rFonts w:cs="Calibri"/>
          <w:color w:val="000000"/>
          <w:shd w:val="clear" w:color="auto" w:fill="FFFFFF"/>
        </w:rPr>
        <w:t>, (Oxford, 2010), pp.386-405, p.</w:t>
      </w:r>
      <w:r>
        <w:t>399</w:t>
      </w:r>
      <w:r w:rsidR="0026424E">
        <w:t>.</w:t>
      </w:r>
    </w:p>
  </w:footnote>
  <w:footnote w:id="838">
    <w:p w14:paraId="719BDB58" w14:textId="05AD52DD" w:rsidR="00D82F50" w:rsidRDefault="00D82F50" w:rsidP="00D82F50">
      <w:pPr>
        <w:pStyle w:val="FootnoteText"/>
      </w:pPr>
      <w:r>
        <w:rPr>
          <w:rStyle w:val="FootnoteReference"/>
        </w:rPr>
        <w:footnoteRef/>
      </w:r>
      <w:r>
        <w:t xml:space="preserve"> Brian Hoggard, ‘</w:t>
      </w:r>
      <w:r w:rsidRPr="006326C0">
        <w:t>The archaeology of counter‐witchcraft and popular magic</w:t>
      </w:r>
      <w:r>
        <w:t>’,</w:t>
      </w:r>
      <w:r w:rsidRPr="006326C0">
        <w:t xml:space="preserve"> </w:t>
      </w:r>
      <w:r>
        <w:t>i</w:t>
      </w:r>
      <w:r w:rsidRPr="006326C0">
        <w:t>n O</w:t>
      </w:r>
      <w:r>
        <w:t>wen</w:t>
      </w:r>
      <w:r w:rsidRPr="006326C0">
        <w:t xml:space="preserve"> Davies and W</w:t>
      </w:r>
      <w:r>
        <w:t>illem</w:t>
      </w:r>
      <w:r w:rsidRPr="006326C0">
        <w:t xml:space="preserve"> de </w:t>
      </w:r>
      <w:proofErr w:type="spellStart"/>
      <w:r w:rsidRPr="006326C0">
        <w:t>Blécourt</w:t>
      </w:r>
      <w:proofErr w:type="spellEnd"/>
      <w:r w:rsidRPr="006326C0">
        <w:t xml:space="preserve"> (eds)</w:t>
      </w:r>
      <w:r>
        <w:t>,</w:t>
      </w:r>
      <w:r w:rsidRPr="006326C0">
        <w:t xml:space="preserve"> </w:t>
      </w:r>
      <w:r w:rsidRPr="006326C0">
        <w:rPr>
          <w:i/>
          <w:iCs/>
        </w:rPr>
        <w:t>Beyond the Witch Trials: witchcraft and magic in Enlightenment Europe</w:t>
      </w:r>
      <w:r>
        <w:t>,</w:t>
      </w:r>
      <w:r w:rsidRPr="006326C0">
        <w:t xml:space="preserve"> </w:t>
      </w:r>
      <w:r>
        <w:t>(</w:t>
      </w:r>
      <w:r w:rsidRPr="006326C0">
        <w:t>Manchester,</w:t>
      </w:r>
      <w:r>
        <w:t xml:space="preserve"> 2004)</w:t>
      </w:r>
      <w:r w:rsidR="00A838C4">
        <w:t>,</w:t>
      </w:r>
      <w:r w:rsidRPr="006326C0">
        <w:t xml:space="preserve"> pp. 167–186</w:t>
      </w:r>
      <w:r>
        <w:t>, p.173 cited in Ibid.</w:t>
      </w:r>
    </w:p>
  </w:footnote>
  <w:footnote w:id="839">
    <w:p w14:paraId="033AC5C5" w14:textId="77777777" w:rsidR="00D82F50" w:rsidRPr="00C24B77" w:rsidRDefault="00D82F50" w:rsidP="00D82F50">
      <w:pPr>
        <w:pStyle w:val="FootnoteText"/>
      </w:pPr>
      <w:r>
        <w:rPr>
          <w:rStyle w:val="FootnoteReference"/>
        </w:rPr>
        <w:footnoteRef/>
      </w:r>
      <w:r>
        <w:t xml:space="preserve"> “</w:t>
      </w:r>
      <w:proofErr w:type="gramStart"/>
      <w:r w:rsidRPr="00082B78">
        <w:t>apotropaic</w:t>
      </w:r>
      <w:proofErr w:type="gramEnd"/>
      <w:r w:rsidRPr="00082B78">
        <w:t>, (</w:t>
      </w:r>
      <w:r w:rsidRPr="00082B78">
        <w:rPr>
          <w:i/>
          <w:iCs/>
        </w:rPr>
        <w:t>adj</w:t>
      </w:r>
      <w:r w:rsidRPr="00082B78">
        <w:t>.)”,</w:t>
      </w:r>
      <w:r>
        <w:t xml:space="preserve"> </w:t>
      </w:r>
      <w:r>
        <w:rPr>
          <w:i/>
          <w:iCs/>
        </w:rPr>
        <w:t xml:space="preserve">OED, </w:t>
      </w:r>
      <w:r>
        <w:t>[</w:t>
      </w:r>
      <w:r w:rsidRPr="00C24B77">
        <w:t>https://doi.org/10.1093/OED/6972711737</w:t>
      </w:r>
      <w:r>
        <w:t>; accessed 2</w:t>
      </w:r>
      <w:r w:rsidRPr="00C24B77">
        <w:rPr>
          <w:vertAlign w:val="superscript"/>
        </w:rPr>
        <w:t>nd</w:t>
      </w:r>
      <w:r>
        <w:t xml:space="preserve"> March 2023]</w:t>
      </w:r>
    </w:p>
  </w:footnote>
  <w:footnote w:id="840">
    <w:p w14:paraId="00C1C15B" w14:textId="59D70961" w:rsidR="00D82F50" w:rsidRDefault="00D82F50" w:rsidP="00D82F50">
      <w:pPr>
        <w:pStyle w:val="FootnoteText"/>
      </w:pPr>
      <w:r>
        <w:rPr>
          <w:rStyle w:val="FootnoteReference"/>
        </w:rPr>
        <w:footnoteRef/>
      </w:r>
      <w:r>
        <w:t xml:space="preserve"> </w:t>
      </w:r>
      <w:r w:rsidRPr="008558C7">
        <w:rPr>
          <w:rStyle w:val="normaltextrun"/>
          <w:rFonts w:cs="Calibri"/>
          <w:color w:val="000000"/>
          <w:shd w:val="clear" w:color="auto" w:fill="FFFFFF"/>
        </w:rPr>
        <w:t xml:space="preserve">Alfred Gell, </w:t>
      </w:r>
      <w:r w:rsidRPr="00A10529">
        <w:rPr>
          <w:rStyle w:val="normaltextrun"/>
          <w:rFonts w:cs="Calibri"/>
          <w:i/>
          <w:iCs/>
          <w:color w:val="000000"/>
          <w:shd w:val="clear" w:color="auto" w:fill="FFFFFF"/>
        </w:rPr>
        <w:t>Art and Agency: An Anthropological Theory</w:t>
      </w:r>
      <w:r w:rsidRPr="008558C7">
        <w:rPr>
          <w:rStyle w:val="normaltextrun"/>
          <w:rFonts w:cs="Calibri"/>
          <w:color w:val="000000"/>
          <w:shd w:val="clear" w:color="auto" w:fill="FFFFFF"/>
        </w:rPr>
        <w:t>, (Oxford, 1998)</w:t>
      </w:r>
      <w:r>
        <w:rPr>
          <w:rStyle w:val="normaltextrun"/>
          <w:rFonts w:cs="Calibri"/>
          <w:color w:val="000000"/>
          <w:shd w:val="clear" w:color="auto" w:fill="FFFFFF"/>
        </w:rPr>
        <w:t>, pp.83-84</w:t>
      </w:r>
      <w:r w:rsidR="0026424E">
        <w:rPr>
          <w:rStyle w:val="normaltextrun"/>
          <w:rFonts w:cs="Calibri"/>
          <w:color w:val="000000"/>
          <w:shd w:val="clear" w:color="auto" w:fill="FFFFFF"/>
        </w:rPr>
        <w:t>.</w:t>
      </w:r>
    </w:p>
  </w:footnote>
  <w:footnote w:id="841">
    <w:p w14:paraId="242368AD" w14:textId="1081AD03" w:rsidR="00D82F50" w:rsidRDefault="00D82F50" w:rsidP="00D82F50">
      <w:pPr>
        <w:pStyle w:val="FootnoteText"/>
      </w:pPr>
      <w:r>
        <w:rPr>
          <w:rStyle w:val="FootnoteReference"/>
        </w:rPr>
        <w:footnoteRef/>
      </w:r>
      <w:r>
        <w:t xml:space="preserve"> </w:t>
      </w:r>
      <w:r w:rsidRPr="00D737B9">
        <w:rPr>
          <w:rStyle w:val="normaltextrun"/>
          <w:rFonts w:cs="Calibri"/>
          <w:color w:val="000000"/>
          <w:shd w:val="clear" w:color="auto" w:fill="FFFFFF"/>
        </w:rPr>
        <w:t xml:space="preserve">Ana Maria Gruia, ‘Magic in the house: functions of images on medieval stoves tiles from Transylvania, Moldavia and Walachia’, </w:t>
      </w:r>
      <w:r w:rsidRPr="00A10529">
        <w:rPr>
          <w:rStyle w:val="normaltextrun"/>
          <w:rFonts w:cs="Calibri"/>
          <w:i/>
          <w:iCs/>
          <w:color w:val="000000"/>
          <w:shd w:val="clear" w:color="auto" w:fill="FFFFFF"/>
        </w:rPr>
        <w:t xml:space="preserve">Studia </w:t>
      </w:r>
      <w:proofErr w:type="spellStart"/>
      <w:r w:rsidRPr="00A10529">
        <w:rPr>
          <w:rStyle w:val="normaltextrun"/>
          <w:rFonts w:cs="Calibri"/>
          <w:i/>
          <w:iCs/>
          <w:color w:val="000000"/>
          <w:shd w:val="clear" w:color="auto" w:fill="FFFFFF"/>
        </w:rPr>
        <w:t>Patzinaka</w:t>
      </w:r>
      <w:proofErr w:type="spellEnd"/>
      <w:r w:rsidRPr="00D737B9">
        <w:rPr>
          <w:rStyle w:val="normaltextrun"/>
          <w:rFonts w:cs="Calibri"/>
          <w:color w:val="000000"/>
          <w:shd w:val="clear" w:color="auto" w:fill="FFFFFF"/>
        </w:rPr>
        <w:t>, Vol. 5, (2007), pp.7-46</w:t>
      </w:r>
      <w:r>
        <w:rPr>
          <w:rStyle w:val="normaltextrun"/>
          <w:rFonts w:cs="Calibri"/>
          <w:color w:val="000000"/>
          <w:shd w:val="clear" w:color="auto" w:fill="FFFFFF"/>
        </w:rPr>
        <w:t>, p.13</w:t>
      </w:r>
      <w:r w:rsidR="0026424E">
        <w:rPr>
          <w:rStyle w:val="normaltextrun"/>
          <w:rFonts w:cs="Calibri"/>
          <w:color w:val="000000"/>
          <w:shd w:val="clear" w:color="auto" w:fill="FFFFFF"/>
        </w:rPr>
        <w:t>.</w:t>
      </w:r>
    </w:p>
  </w:footnote>
  <w:footnote w:id="842">
    <w:p w14:paraId="7D736A30" w14:textId="2F998BFF" w:rsidR="00D82F50" w:rsidRPr="00416C4A" w:rsidRDefault="00D82F50" w:rsidP="00D82F50">
      <w:pPr>
        <w:pStyle w:val="FootnoteText"/>
      </w:pPr>
      <w:r>
        <w:rPr>
          <w:rStyle w:val="FootnoteReference"/>
        </w:rPr>
        <w:footnoteRef/>
      </w:r>
      <w:r>
        <w:t xml:space="preserve"> Chris Caple, ‘The apotropaic symbolled threshold to </w:t>
      </w:r>
      <w:proofErr w:type="spellStart"/>
      <w:r>
        <w:t>Nevern</w:t>
      </w:r>
      <w:proofErr w:type="spellEnd"/>
      <w:r>
        <w:t xml:space="preserve"> Castle – Castle </w:t>
      </w:r>
      <w:proofErr w:type="spellStart"/>
      <w:r>
        <w:t>Nanyfer</w:t>
      </w:r>
      <w:proofErr w:type="spellEnd"/>
      <w:r>
        <w:t xml:space="preserve">’, </w:t>
      </w:r>
      <w:r w:rsidRPr="004A3308">
        <w:rPr>
          <w:i/>
          <w:iCs/>
        </w:rPr>
        <w:t>Archaeological Journal</w:t>
      </w:r>
      <w:r>
        <w:t xml:space="preserve">, Vol. 169, No. 1, (2012), pp.422-452, p.444; The room in which the fireplace is located also features a well in the floor, a short distance in front of the hearth. Wells have long been intimately connected with ritual beliefs and practices, perhaps magnifying the need for protective symbols inside the house rather than simply at the threshold. Gary Chamberlain, ‘From holy water to holy waters’, </w:t>
      </w:r>
      <w:r>
        <w:rPr>
          <w:i/>
          <w:iCs/>
        </w:rPr>
        <w:t xml:space="preserve">Water Resources IMPACT: Religion, Culture and Water, </w:t>
      </w:r>
      <w:r>
        <w:t>Vol. 14, No. 2, (2012), pp.6-9</w:t>
      </w:r>
      <w:r w:rsidR="0026424E">
        <w:t>.</w:t>
      </w:r>
    </w:p>
  </w:footnote>
  <w:footnote w:id="843">
    <w:p w14:paraId="4FBDAD15" w14:textId="5242BF54" w:rsidR="00D82F50" w:rsidRPr="002A741E" w:rsidRDefault="00D82F50" w:rsidP="00D82F50">
      <w:pPr>
        <w:pStyle w:val="FootnoteText"/>
      </w:pPr>
      <w:r>
        <w:rPr>
          <w:rStyle w:val="FootnoteReference"/>
        </w:rPr>
        <w:footnoteRef/>
      </w:r>
      <w:r>
        <w:t xml:space="preserve"> Matthew Champion, ‘Magic on the walls: ritual protection marks in the medieval church’, in Ronald Hutton (ed.), </w:t>
      </w:r>
      <w:r>
        <w:rPr>
          <w:i/>
          <w:iCs/>
        </w:rPr>
        <w:t xml:space="preserve">Physical Evidence for Ritual Acts, Sorcery and Witchcraft in Christian Britain: A Feeling for Magic, </w:t>
      </w:r>
      <w:r>
        <w:t xml:space="preserve">(London, 2015), pp.15-38, pp.29-30; Timothy Easton, ‘Apotropaic symbols and other measures for protecting buildings against misfortune’, in Hutton, </w:t>
      </w:r>
      <w:r>
        <w:rPr>
          <w:i/>
          <w:iCs/>
        </w:rPr>
        <w:t xml:space="preserve">Physical Evidence, </w:t>
      </w:r>
      <w:r>
        <w:t xml:space="preserve">pp.39-67, p.42; Brian Hoggard notes that Matthew Champion has questioned the direct translation of ‘VV’ as Virgo </w:t>
      </w:r>
      <w:proofErr w:type="spellStart"/>
      <w:r>
        <w:t>Virginum</w:t>
      </w:r>
      <w:proofErr w:type="spellEnd"/>
      <w:r>
        <w:t>, and asserts that regardless of whether these exact words were intended, their positioning and use alongside other Marian marks remains the same</w:t>
      </w:r>
      <w:r w:rsidR="00523CAD">
        <w:t>,</w:t>
      </w:r>
      <w:r>
        <w:t xml:space="preserve"> </w:t>
      </w:r>
      <w:r w:rsidR="00523CAD">
        <w:t xml:space="preserve">in </w:t>
      </w:r>
      <w:r>
        <w:t xml:space="preserve">Brian Hoggard, </w:t>
      </w:r>
      <w:r w:rsidRPr="00832B9D">
        <w:rPr>
          <w:i/>
          <w:iCs/>
        </w:rPr>
        <w:t xml:space="preserve">Magical </w:t>
      </w:r>
      <w:r>
        <w:rPr>
          <w:i/>
          <w:iCs/>
        </w:rPr>
        <w:t>H</w:t>
      </w:r>
      <w:r w:rsidRPr="00832B9D">
        <w:rPr>
          <w:i/>
          <w:iCs/>
        </w:rPr>
        <w:t xml:space="preserve">ouse </w:t>
      </w:r>
      <w:r>
        <w:rPr>
          <w:i/>
          <w:iCs/>
        </w:rPr>
        <w:t>P</w:t>
      </w:r>
      <w:r w:rsidRPr="00832B9D">
        <w:rPr>
          <w:i/>
          <w:iCs/>
        </w:rPr>
        <w:t xml:space="preserve">rotection: </w:t>
      </w:r>
      <w:r>
        <w:rPr>
          <w:i/>
          <w:iCs/>
        </w:rPr>
        <w:t>t</w:t>
      </w:r>
      <w:r w:rsidRPr="00832B9D">
        <w:rPr>
          <w:i/>
          <w:iCs/>
        </w:rPr>
        <w:t xml:space="preserve">he </w:t>
      </w:r>
      <w:r>
        <w:rPr>
          <w:i/>
          <w:iCs/>
        </w:rPr>
        <w:t>A</w:t>
      </w:r>
      <w:r w:rsidRPr="00832B9D">
        <w:rPr>
          <w:i/>
          <w:iCs/>
        </w:rPr>
        <w:t xml:space="preserve">rchaeology of </w:t>
      </w:r>
      <w:r>
        <w:rPr>
          <w:i/>
          <w:iCs/>
        </w:rPr>
        <w:t>C</w:t>
      </w:r>
      <w:r w:rsidRPr="00832B9D">
        <w:rPr>
          <w:i/>
          <w:iCs/>
        </w:rPr>
        <w:t>ounter-</w:t>
      </w:r>
      <w:r>
        <w:rPr>
          <w:i/>
          <w:iCs/>
        </w:rPr>
        <w:t>W</w:t>
      </w:r>
      <w:r w:rsidRPr="00832B9D">
        <w:rPr>
          <w:i/>
          <w:iCs/>
        </w:rPr>
        <w:t>itchcraft</w:t>
      </w:r>
      <w:r>
        <w:t>, (Oxford, 2019), p.87</w:t>
      </w:r>
      <w:r w:rsidR="00523CAD">
        <w:t>.</w:t>
      </w:r>
    </w:p>
  </w:footnote>
  <w:footnote w:id="844">
    <w:p w14:paraId="3AA5E79B" w14:textId="309C806B" w:rsidR="00D82F50" w:rsidRDefault="00D82F50" w:rsidP="00D82F50">
      <w:pPr>
        <w:pStyle w:val="FootnoteText"/>
      </w:pPr>
      <w:r>
        <w:rPr>
          <w:rStyle w:val="FootnoteReference"/>
        </w:rPr>
        <w:footnoteRef/>
      </w:r>
      <w:r>
        <w:t xml:space="preserve"> </w:t>
      </w:r>
      <w:r w:rsidR="00F0397E">
        <w:t>Caple, ‘The apotropaic symbolled threshold’</w:t>
      </w:r>
      <w:r>
        <w:t>, p.445</w:t>
      </w:r>
      <w:r w:rsidR="0026424E">
        <w:t>.</w:t>
      </w:r>
    </w:p>
  </w:footnote>
  <w:footnote w:id="845">
    <w:p w14:paraId="09B2EB25" w14:textId="41FBAA11" w:rsidR="00D82F50" w:rsidRDefault="00D82F50" w:rsidP="00D82F50">
      <w:pPr>
        <w:pStyle w:val="FootnoteText"/>
      </w:pPr>
      <w:r>
        <w:rPr>
          <w:rStyle w:val="FootnoteReference"/>
        </w:rPr>
        <w:footnoteRef/>
      </w:r>
      <w:r>
        <w:t xml:space="preserve"> Ibid.</w:t>
      </w:r>
    </w:p>
  </w:footnote>
  <w:footnote w:id="846">
    <w:p w14:paraId="2FF3A902" w14:textId="7E4EB8B3" w:rsidR="00D82F50" w:rsidRDefault="00D82F50" w:rsidP="00D82F50">
      <w:pPr>
        <w:pStyle w:val="FootnoteText"/>
      </w:pPr>
      <w:r>
        <w:rPr>
          <w:rStyle w:val="FootnoteReference"/>
        </w:rPr>
        <w:footnoteRef/>
      </w:r>
      <w:r>
        <w:t xml:space="preserve"> Champion, ‘Magic on the walls’, pp.31-36</w:t>
      </w:r>
      <w:r w:rsidR="0026424E">
        <w:t>.</w:t>
      </w:r>
    </w:p>
  </w:footnote>
  <w:footnote w:id="847">
    <w:p w14:paraId="31A77EE7" w14:textId="2D1095E0" w:rsidR="00D82F50" w:rsidRDefault="00D82F50" w:rsidP="00D82F50">
      <w:pPr>
        <w:pStyle w:val="FootnoteText"/>
      </w:pPr>
      <w:r>
        <w:rPr>
          <w:rStyle w:val="FootnoteReference"/>
        </w:rPr>
        <w:footnoteRef/>
      </w:r>
      <w:r>
        <w:t xml:space="preserve"> Ibid., p.36</w:t>
      </w:r>
      <w:r w:rsidR="0026424E">
        <w:t>.</w:t>
      </w:r>
    </w:p>
  </w:footnote>
  <w:footnote w:id="848">
    <w:p w14:paraId="01BC4135" w14:textId="35D66E35" w:rsidR="00D82F50" w:rsidRDefault="00D82F50" w:rsidP="00D82F50">
      <w:pPr>
        <w:pStyle w:val="FootnoteText"/>
      </w:pPr>
      <w:r>
        <w:rPr>
          <w:rStyle w:val="FootnoteReference"/>
        </w:rPr>
        <w:footnoteRef/>
      </w:r>
      <w:r>
        <w:t xml:space="preserve"> John Witte, Jr., ‘Church, state and marriage: four early modern Protestant models’, </w:t>
      </w:r>
      <w:r>
        <w:rPr>
          <w:i/>
          <w:iCs/>
        </w:rPr>
        <w:t xml:space="preserve">Oxford Journal of Law and Religion, </w:t>
      </w:r>
      <w:r>
        <w:t>Vol. 1, No. 1, (2012), pp.151-168, p.164</w:t>
      </w:r>
      <w:r w:rsidR="0026424E">
        <w:t>.</w:t>
      </w:r>
    </w:p>
  </w:footnote>
  <w:footnote w:id="849">
    <w:p w14:paraId="2E1E4733" w14:textId="77777777" w:rsidR="00D82F50" w:rsidRPr="00E803CA" w:rsidRDefault="00D82F50" w:rsidP="00D82F50">
      <w:pPr>
        <w:pStyle w:val="FootnoteText"/>
      </w:pPr>
      <w:r>
        <w:rPr>
          <w:rStyle w:val="FootnoteReference"/>
        </w:rPr>
        <w:footnoteRef/>
      </w:r>
      <w:r>
        <w:t xml:space="preserve"> Henry Swinburne, </w:t>
      </w:r>
      <w:r>
        <w:rPr>
          <w:i/>
          <w:iCs/>
        </w:rPr>
        <w:t xml:space="preserve">A treatise of spousals, or matrimonial contracts wherein all the questions relating to that subject are ingeniously debated and resolved, </w:t>
      </w:r>
      <w:r>
        <w:t>(London, 1686), p.A2: Swinburne reports on how ‘in some places the Woman, after these Spousals, presently cohabited with the Man, but continued unknown till the Marriage-day’.</w:t>
      </w:r>
    </w:p>
  </w:footnote>
  <w:footnote w:id="850">
    <w:p w14:paraId="5A9E4B2A" w14:textId="7BF66039" w:rsidR="00D82F50" w:rsidRPr="00406563" w:rsidRDefault="00D82F50" w:rsidP="00D82F50">
      <w:pPr>
        <w:pStyle w:val="FootnoteText"/>
      </w:pPr>
      <w:r>
        <w:rPr>
          <w:rStyle w:val="FootnoteReference"/>
        </w:rPr>
        <w:footnoteRef/>
      </w:r>
      <w:r>
        <w:t xml:space="preserve"> </w:t>
      </w:r>
      <w:r w:rsidRPr="00406563">
        <w:t xml:space="preserve">Garnett, </w:t>
      </w:r>
      <w:r>
        <w:rPr>
          <w:i/>
          <w:iCs/>
        </w:rPr>
        <w:t xml:space="preserve">Dated Buildings, </w:t>
      </w:r>
      <w:r>
        <w:t>p.22</w:t>
      </w:r>
      <w:r w:rsidR="0026424E">
        <w:t>.</w:t>
      </w:r>
    </w:p>
  </w:footnote>
  <w:footnote w:id="851">
    <w:p w14:paraId="05B680B9" w14:textId="70528D1C" w:rsidR="00D82F50" w:rsidRDefault="00D82F50" w:rsidP="00D82F50">
      <w:pPr>
        <w:pStyle w:val="FootnoteText"/>
      </w:pPr>
      <w:r>
        <w:rPr>
          <w:rStyle w:val="FootnoteReference"/>
        </w:rPr>
        <w:footnoteRef/>
      </w:r>
      <w:r>
        <w:t xml:space="preserve"> </w:t>
      </w:r>
      <w:r w:rsidRPr="003339E2">
        <w:rPr>
          <w:lang w:val="en-US"/>
        </w:rPr>
        <w:t xml:space="preserve">LA: PR 3315/1/1, </w:t>
      </w:r>
      <w:r w:rsidR="00C92377">
        <w:rPr>
          <w:lang w:val="en-US"/>
        </w:rPr>
        <w:t>Parish Register of</w:t>
      </w:r>
      <w:r w:rsidRPr="003339E2">
        <w:rPr>
          <w:lang w:val="en-US"/>
        </w:rPr>
        <w:t xml:space="preserve"> Holy Trinity Church, Bolton-le-Sands, 1642-1737,</w:t>
      </w:r>
      <w:r>
        <w:rPr>
          <w:lang w:val="en-US"/>
        </w:rPr>
        <w:t xml:space="preserve"> Marriage of George Preston and Alice Kitson, 26 December 1676</w:t>
      </w:r>
      <w:r w:rsidR="0026424E">
        <w:rPr>
          <w:lang w:val="en-US"/>
        </w:rPr>
        <w:t>.</w:t>
      </w:r>
    </w:p>
  </w:footnote>
  <w:footnote w:id="852">
    <w:p w14:paraId="4574F35A" w14:textId="29FC6A1A" w:rsidR="00D82F50" w:rsidRPr="0057490B" w:rsidRDefault="00D82F50" w:rsidP="00D82F50">
      <w:pPr>
        <w:pStyle w:val="FootnoteText"/>
      </w:pPr>
      <w:r>
        <w:rPr>
          <w:rStyle w:val="FootnoteReference"/>
        </w:rPr>
        <w:footnoteRef/>
      </w:r>
      <w:r>
        <w:t xml:space="preserve"> Robert Craig, ‘Some aspects of the trade and shipping of the River Dee in the eighteenth century’, </w:t>
      </w:r>
      <w:r>
        <w:rPr>
          <w:i/>
          <w:iCs/>
        </w:rPr>
        <w:t xml:space="preserve">Transactions of the Historic Society of Lancashire and Cheshire, </w:t>
      </w:r>
      <w:r>
        <w:t xml:space="preserve">Vol. 114, (1962) pp.99-128, p.110, pp.120-121; Peter </w:t>
      </w:r>
      <w:proofErr w:type="spellStart"/>
      <w:r>
        <w:t>Borsay</w:t>
      </w:r>
      <w:proofErr w:type="spellEnd"/>
      <w:r>
        <w:t xml:space="preserve"> and Lindsay J. Proudfoot, </w:t>
      </w:r>
      <w:r>
        <w:rPr>
          <w:i/>
          <w:iCs/>
        </w:rPr>
        <w:t xml:space="preserve">Provincial Towns in Early Modern England and Ireland: Change, Convergence and Divergence, </w:t>
      </w:r>
      <w:r>
        <w:t>(Oxford, 2012), p.191</w:t>
      </w:r>
      <w:r w:rsidR="0026424E">
        <w:t>.</w:t>
      </w:r>
    </w:p>
  </w:footnote>
  <w:footnote w:id="853">
    <w:p w14:paraId="32A89BBD" w14:textId="537F35E5" w:rsidR="00D82F50" w:rsidRDefault="00D82F50" w:rsidP="00D82F50">
      <w:pPr>
        <w:pStyle w:val="FootnoteText"/>
      </w:pPr>
      <w:r>
        <w:rPr>
          <w:rStyle w:val="FootnoteReference"/>
        </w:rPr>
        <w:footnoteRef/>
      </w:r>
      <w:r>
        <w:t xml:space="preserve"> Champion, ‘Magic on the walls’, p.21</w:t>
      </w:r>
      <w:r w:rsidR="0026424E">
        <w:t>.</w:t>
      </w:r>
    </w:p>
  </w:footnote>
  <w:footnote w:id="854">
    <w:p w14:paraId="096B658D" w14:textId="524372D9" w:rsidR="00D82F50" w:rsidRPr="00F33EAE" w:rsidRDefault="00D82F50" w:rsidP="00D82F50">
      <w:pPr>
        <w:pStyle w:val="FootnoteText"/>
      </w:pPr>
      <w:r>
        <w:rPr>
          <w:rStyle w:val="FootnoteReference"/>
        </w:rPr>
        <w:footnoteRef/>
      </w:r>
      <w:r>
        <w:t xml:space="preserve"> Patrick Curry, ‘Lilly, William (1602-1681), astrologer’, </w:t>
      </w:r>
      <w:r>
        <w:rPr>
          <w:i/>
          <w:iCs/>
        </w:rPr>
        <w:t xml:space="preserve">Oxford Dictionary of National Biography, </w:t>
      </w:r>
      <w:r>
        <w:t>[</w:t>
      </w:r>
      <w:r w:rsidRPr="0035194D">
        <w:t>https://www.oxforddnb.com/view/10.1093/ref:odnb/9780198614128.001.0001/odnb-9780198614128-e-16661</w:t>
      </w:r>
      <w:r>
        <w:t>;</w:t>
      </w:r>
      <w:r w:rsidRPr="0035194D">
        <w:t xml:space="preserve"> </w:t>
      </w:r>
      <w:r>
        <w:t>accessed 29 September 2023]</w:t>
      </w:r>
      <w:r w:rsidR="0026424E">
        <w:t>.</w:t>
      </w:r>
    </w:p>
  </w:footnote>
  <w:footnote w:id="855">
    <w:p w14:paraId="78237510" w14:textId="0099D4D0" w:rsidR="00D82F50" w:rsidRDefault="00D82F50" w:rsidP="00D82F50">
      <w:pPr>
        <w:pStyle w:val="FootnoteText"/>
      </w:pPr>
      <w:r>
        <w:rPr>
          <w:rStyle w:val="FootnoteReference"/>
        </w:rPr>
        <w:footnoteRef/>
      </w:r>
      <w:r>
        <w:t xml:space="preserve"> William Lilly, </w:t>
      </w:r>
      <w:r w:rsidRPr="00FA1AA5">
        <w:rPr>
          <w:i/>
          <w:iCs/>
        </w:rPr>
        <w:t>Christian Astrology</w:t>
      </w:r>
      <w:r>
        <w:rPr>
          <w:i/>
          <w:iCs/>
        </w:rPr>
        <w:t>,</w:t>
      </w:r>
      <w:r w:rsidRPr="00FA1AA5">
        <w:rPr>
          <w:i/>
          <w:iCs/>
        </w:rPr>
        <w:t xml:space="preserve"> </w:t>
      </w:r>
      <w:r w:rsidRPr="00FA1AA5">
        <w:t>(</w:t>
      </w:r>
      <w:r>
        <w:t xml:space="preserve">London, </w:t>
      </w:r>
      <w:r w:rsidRPr="00FA1AA5">
        <w:t>1647)</w:t>
      </w:r>
      <w:r>
        <w:t>, p.52</w:t>
      </w:r>
      <w:r w:rsidR="0026424E">
        <w:t>.</w:t>
      </w:r>
    </w:p>
  </w:footnote>
  <w:footnote w:id="856">
    <w:p w14:paraId="034ED26A" w14:textId="2885EB35" w:rsidR="00D82F50" w:rsidRPr="00E5737D" w:rsidRDefault="00D82F50" w:rsidP="00D82F50">
      <w:pPr>
        <w:pStyle w:val="FootnoteText"/>
      </w:pPr>
      <w:r w:rsidRPr="00E5737D">
        <w:rPr>
          <w:rStyle w:val="FootnoteReference"/>
        </w:rPr>
        <w:footnoteRef/>
      </w:r>
      <w:r w:rsidRPr="00E5737D">
        <w:t xml:space="preserve"> Jennifer Allen Rosecrans, ‘Wearing the universe: symbolic markings in early modern England’, in Jane Caplan (ed.), </w:t>
      </w:r>
      <w:r w:rsidRPr="00E5737D">
        <w:rPr>
          <w:i/>
          <w:iCs/>
        </w:rPr>
        <w:t xml:space="preserve">Written on the Body: The Tattoo in European and American History, </w:t>
      </w:r>
      <w:r w:rsidRPr="00E5737D">
        <w:t>(London, 2000), pp.46-60</w:t>
      </w:r>
      <w:r>
        <w:t>, p.47</w:t>
      </w:r>
      <w:r w:rsidR="0026424E">
        <w:t>.</w:t>
      </w:r>
    </w:p>
  </w:footnote>
  <w:footnote w:id="857">
    <w:p w14:paraId="01EAD9B2" w14:textId="349D1A36" w:rsidR="00D82F50" w:rsidRDefault="00D82F50" w:rsidP="00D82F50">
      <w:pPr>
        <w:pStyle w:val="FootnoteText"/>
      </w:pPr>
      <w:r>
        <w:rPr>
          <w:rStyle w:val="FootnoteReference"/>
        </w:rPr>
        <w:footnoteRef/>
      </w:r>
      <w:r>
        <w:t xml:space="preserve"> </w:t>
      </w:r>
      <w:r w:rsidR="00CD2ADD" w:rsidRPr="00CD2ADD">
        <w:t xml:space="preserve">Mary Fissell, ‘Vermin in early modern England’, </w:t>
      </w:r>
      <w:r w:rsidR="00CD2ADD" w:rsidRPr="00CD2ADD">
        <w:rPr>
          <w:i/>
          <w:iCs/>
        </w:rPr>
        <w:t xml:space="preserve">History Workshop Journal, </w:t>
      </w:r>
      <w:r w:rsidR="00CD2ADD" w:rsidRPr="00CD2ADD">
        <w:t>No. 47, (1999), pp.1-29</w:t>
      </w:r>
      <w:r>
        <w:t>, p.17</w:t>
      </w:r>
      <w:r w:rsidR="0026424E">
        <w:t>.</w:t>
      </w:r>
    </w:p>
  </w:footnote>
  <w:footnote w:id="858">
    <w:p w14:paraId="29AE2316" w14:textId="77777777" w:rsidR="00D82F50" w:rsidRDefault="00D82F50" w:rsidP="00D82F50">
      <w:pPr>
        <w:pStyle w:val="FootnoteText"/>
      </w:pPr>
      <w:r>
        <w:rPr>
          <w:rStyle w:val="FootnoteReference"/>
        </w:rPr>
        <w:footnoteRef/>
      </w:r>
      <w:r>
        <w:t xml:space="preserve"> Ibid.</w:t>
      </w:r>
    </w:p>
  </w:footnote>
  <w:footnote w:id="859">
    <w:p w14:paraId="1884CDEB" w14:textId="0A035350" w:rsidR="00D82F50" w:rsidRDefault="00D82F50" w:rsidP="00D82F50">
      <w:pPr>
        <w:pStyle w:val="FootnoteText"/>
      </w:pPr>
      <w:r>
        <w:rPr>
          <w:rStyle w:val="FootnoteReference"/>
        </w:rPr>
        <w:footnoteRef/>
      </w:r>
      <w:r>
        <w:t xml:space="preserve"> </w:t>
      </w:r>
      <w:r w:rsidRPr="004A682A">
        <w:t xml:space="preserve">John Partridge, </w:t>
      </w:r>
      <w:proofErr w:type="spellStart"/>
      <w:r w:rsidRPr="004A682A">
        <w:rPr>
          <w:i/>
          <w:iCs/>
        </w:rPr>
        <w:t>Mikropanastrone</w:t>
      </w:r>
      <w:proofErr w:type="spellEnd"/>
      <w:r w:rsidRPr="004A682A">
        <w:rPr>
          <w:i/>
          <w:iCs/>
        </w:rPr>
        <w:t xml:space="preserve">: Or an astrological vade mecum briefly teaching the whole art of astrology’, </w:t>
      </w:r>
      <w:r w:rsidRPr="004A682A">
        <w:t>(London, 1692)</w:t>
      </w:r>
      <w:r>
        <w:t>,</w:t>
      </w:r>
      <w:r>
        <w:rPr>
          <w:b/>
          <w:bCs/>
        </w:rPr>
        <w:t xml:space="preserve"> </w:t>
      </w:r>
      <w:r>
        <w:t>p.248</w:t>
      </w:r>
      <w:r w:rsidR="0026424E">
        <w:t>.</w:t>
      </w:r>
    </w:p>
  </w:footnote>
  <w:footnote w:id="860">
    <w:p w14:paraId="39DC74C8" w14:textId="3C9FDD0C" w:rsidR="00D82F50" w:rsidRPr="00756974" w:rsidRDefault="00D82F50" w:rsidP="00D82F50">
      <w:pPr>
        <w:pStyle w:val="FootnoteText"/>
      </w:pPr>
      <w:r>
        <w:rPr>
          <w:rStyle w:val="FootnoteReference"/>
        </w:rPr>
        <w:footnoteRef/>
      </w:r>
      <w:r>
        <w:t xml:space="preserve"> </w:t>
      </w:r>
      <w:r w:rsidRPr="002036E4">
        <w:t xml:space="preserve">Psalms 122:6-7, </w:t>
      </w:r>
      <w:r w:rsidRPr="002036E4">
        <w:rPr>
          <w:i/>
          <w:iCs/>
        </w:rPr>
        <w:t>King James V</w:t>
      </w:r>
      <w:r w:rsidR="00756974">
        <w:rPr>
          <w:i/>
          <w:iCs/>
        </w:rPr>
        <w:t xml:space="preserve">I </w:t>
      </w:r>
      <w:proofErr w:type="spellStart"/>
      <w:r w:rsidR="00756974">
        <w:rPr>
          <w:i/>
          <w:iCs/>
        </w:rPr>
        <w:t>BIble</w:t>
      </w:r>
      <w:proofErr w:type="spellEnd"/>
      <w:r>
        <w:rPr>
          <w:i/>
          <w:iCs/>
        </w:rPr>
        <w:t xml:space="preserve">, </w:t>
      </w:r>
      <w:r w:rsidR="00756974">
        <w:t>[</w:t>
      </w:r>
      <w:r w:rsidR="00756974" w:rsidRPr="00756974">
        <w:t>https://www.kingjamesbibleonline.org/Psalms-Chapter-122/</w:t>
      </w:r>
      <w:r w:rsidR="00756974">
        <w:t xml:space="preserve">; accessed </w:t>
      </w:r>
      <w:r w:rsidR="007224D9">
        <w:t>10 December 2024]</w:t>
      </w:r>
      <w:r w:rsidR="0026424E">
        <w:t>.</w:t>
      </w:r>
    </w:p>
  </w:footnote>
  <w:footnote w:id="861">
    <w:p w14:paraId="5978F046" w14:textId="5BEFE14C" w:rsidR="00D82F50" w:rsidRDefault="00D82F50" w:rsidP="00D82F50">
      <w:pPr>
        <w:pStyle w:val="FootnoteText"/>
      </w:pPr>
      <w:r>
        <w:rPr>
          <w:rStyle w:val="FootnoteReference"/>
        </w:rPr>
        <w:footnoteRef/>
      </w:r>
      <w:r>
        <w:t xml:space="preserve"> </w:t>
      </w:r>
      <w:r w:rsidRPr="00067BAC">
        <w:rPr>
          <w:lang w:val="en-US"/>
        </w:rPr>
        <w:t xml:space="preserve">CRO: P 287, </w:t>
      </w:r>
      <w:r w:rsidR="00C92377">
        <w:rPr>
          <w:lang w:val="en-US"/>
        </w:rPr>
        <w:t>Parish Register of</w:t>
      </w:r>
      <w:r w:rsidRPr="00067BAC">
        <w:rPr>
          <w:lang w:val="en-US"/>
        </w:rPr>
        <w:t xml:space="preserve"> St Peter’s Church, Prestbury, </w:t>
      </w:r>
      <w:r>
        <w:t xml:space="preserve">Marriage of Thomas </w:t>
      </w:r>
      <w:proofErr w:type="spellStart"/>
      <w:r>
        <w:t>Armett</w:t>
      </w:r>
      <w:proofErr w:type="spellEnd"/>
      <w:r>
        <w:t xml:space="preserve"> and Emme </w:t>
      </w:r>
      <w:proofErr w:type="spellStart"/>
      <w:r>
        <w:t>Oldfielde</w:t>
      </w:r>
      <w:proofErr w:type="spellEnd"/>
      <w:r>
        <w:t>, 19 September 1687</w:t>
      </w:r>
      <w:r w:rsidR="0026424E">
        <w:t>.</w:t>
      </w:r>
    </w:p>
  </w:footnote>
  <w:footnote w:id="862">
    <w:p w14:paraId="0FA6A28C" w14:textId="1CA31127" w:rsidR="00D82F50" w:rsidRDefault="00D82F50" w:rsidP="00D82F50">
      <w:pPr>
        <w:pStyle w:val="FootnoteText"/>
      </w:pPr>
      <w:r>
        <w:rPr>
          <w:rStyle w:val="FootnoteReference"/>
        </w:rPr>
        <w:footnoteRef/>
      </w:r>
      <w:r>
        <w:t xml:space="preserve"> Champion, ‘Magic on the walls’, p.26</w:t>
      </w:r>
      <w:r w:rsidR="0026424E">
        <w:t>.</w:t>
      </w:r>
    </w:p>
  </w:footnote>
  <w:footnote w:id="863">
    <w:p w14:paraId="06B684AB" w14:textId="36D5D844" w:rsidR="00D82F50" w:rsidRDefault="00D82F50" w:rsidP="00D82F50">
      <w:pPr>
        <w:pStyle w:val="FootnoteText"/>
      </w:pPr>
      <w:r>
        <w:rPr>
          <w:rStyle w:val="FootnoteReference"/>
        </w:rPr>
        <w:footnoteRef/>
      </w:r>
      <w:r>
        <w:t xml:space="preserve"> Matthew Champion, </w:t>
      </w:r>
      <w:r>
        <w:rPr>
          <w:i/>
          <w:iCs/>
        </w:rPr>
        <w:t xml:space="preserve">Medieval Graffiti: </w:t>
      </w:r>
      <w:proofErr w:type="gramStart"/>
      <w:r>
        <w:rPr>
          <w:i/>
          <w:iCs/>
        </w:rPr>
        <w:t>the</w:t>
      </w:r>
      <w:proofErr w:type="gramEnd"/>
      <w:r>
        <w:rPr>
          <w:i/>
          <w:iCs/>
        </w:rPr>
        <w:t xml:space="preserve"> Lost Voices of England’s Churches, </w:t>
      </w:r>
      <w:r>
        <w:t>(London, 2015), p.42; Easton, ‘Apotropaic symbols’, p.48</w:t>
      </w:r>
      <w:r w:rsidR="0026424E">
        <w:t>.</w:t>
      </w:r>
    </w:p>
  </w:footnote>
  <w:footnote w:id="864">
    <w:p w14:paraId="230C4341" w14:textId="2E5D7646" w:rsidR="00D82F50" w:rsidRPr="00C22C8C" w:rsidRDefault="00D82F50" w:rsidP="00D82F50">
      <w:pPr>
        <w:pStyle w:val="FootnoteText"/>
      </w:pPr>
      <w:r>
        <w:rPr>
          <w:rStyle w:val="FootnoteReference"/>
        </w:rPr>
        <w:footnoteRef/>
      </w:r>
      <w:r>
        <w:t xml:space="preserve"> Easton, ‘Apotropaic symbols’, p.48; Timothy Easton, ‘Parallel worlds: barns and scribed circles’, </w:t>
      </w:r>
      <w:r>
        <w:rPr>
          <w:i/>
          <w:iCs/>
        </w:rPr>
        <w:t xml:space="preserve">Magazine of the Society for the Protection of Ancient Buildings, </w:t>
      </w:r>
      <w:r>
        <w:t>(Winter 2016), pp.42-49</w:t>
      </w:r>
      <w:r w:rsidR="0026424E">
        <w:t>.</w:t>
      </w:r>
    </w:p>
  </w:footnote>
  <w:footnote w:id="865">
    <w:p w14:paraId="287CD1C2" w14:textId="44D66D0A" w:rsidR="00D82F50" w:rsidRDefault="00D82F50" w:rsidP="00D82F50">
      <w:pPr>
        <w:pStyle w:val="FootnoteText"/>
      </w:pPr>
      <w:r>
        <w:rPr>
          <w:rStyle w:val="FootnoteReference"/>
        </w:rPr>
        <w:footnoteRef/>
      </w:r>
      <w:r>
        <w:t xml:space="preserve"> ‘</w:t>
      </w:r>
      <w:r w:rsidRPr="00F60465">
        <w:t xml:space="preserve">Drove Hey Farm, </w:t>
      </w:r>
      <w:proofErr w:type="spellStart"/>
      <w:r w:rsidRPr="00F60465">
        <w:t>laithe</w:t>
      </w:r>
      <w:proofErr w:type="spellEnd"/>
      <w:r w:rsidRPr="00F60465">
        <w:t xml:space="preserve"> house (dwelling and attached barn) dated 1702’, </w:t>
      </w:r>
      <w:r w:rsidRPr="00F60465">
        <w:rPr>
          <w:i/>
          <w:iCs/>
        </w:rPr>
        <w:t>Cheshire Historic Environment Record</w:t>
      </w:r>
      <w:r>
        <w:rPr>
          <w:i/>
          <w:iCs/>
        </w:rPr>
        <w:t xml:space="preserve">, </w:t>
      </w:r>
      <w:r>
        <w:t>[</w:t>
      </w:r>
      <w:r w:rsidRPr="00EF1ED3">
        <w:t>https://www.heritagegateway.org.uk/Gateway/Results_Single.aspx?uid=MCH24616&amp;resourceID=1004</w:t>
      </w:r>
      <w:r>
        <w:t>; accessed 23 March 2024]</w:t>
      </w:r>
      <w:r w:rsidR="0026424E">
        <w:t>.</w:t>
      </w:r>
    </w:p>
  </w:footnote>
  <w:footnote w:id="866">
    <w:p w14:paraId="5787BB58" w14:textId="7121E548" w:rsidR="00D82F50" w:rsidRDefault="00D82F50" w:rsidP="00D82F50">
      <w:pPr>
        <w:pStyle w:val="FootnoteText"/>
      </w:pPr>
      <w:r>
        <w:rPr>
          <w:rStyle w:val="FootnoteReference"/>
        </w:rPr>
        <w:footnoteRef/>
      </w:r>
      <w:r>
        <w:t xml:space="preserve"> Champion, ‘Magic on the walls’, p.26</w:t>
      </w:r>
      <w:r w:rsidR="0026424E">
        <w:t>.</w:t>
      </w:r>
    </w:p>
  </w:footnote>
  <w:footnote w:id="867">
    <w:p w14:paraId="0D2AFDD5" w14:textId="528F1C04" w:rsidR="00D82F50" w:rsidRDefault="00D82F50" w:rsidP="00D82F50">
      <w:pPr>
        <w:pStyle w:val="FootnoteText"/>
      </w:pPr>
      <w:r>
        <w:rPr>
          <w:rStyle w:val="FootnoteReference"/>
        </w:rPr>
        <w:footnoteRef/>
      </w:r>
      <w:r>
        <w:t xml:space="preserve"> </w:t>
      </w:r>
      <w:r w:rsidR="00E16012">
        <w:rPr>
          <w:lang w:val="en-US"/>
        </w:rPr>
        <w:t>Cumbria Archives</w:t>
      </w:r>
      <w:r w:rsidRPr="00EE5F70">
        <w:rPr>
          <w:lang w:val="en-US"/>
        </w:rPr>
        <w:t xml:space="preserve"> (hereafter </w:t>
      </w:r>
      <w:r w:rsidR="00E16012">
        <w:rPr>
          <w:lang w:val="en-US"/>
        </w:rPr>
        <w:t>CA</w:t>
      </w:r>
      <w:r w:rsidRPr="00EE5F70">
        <w:rPr>
          <w:lang w:val="en-US"/>
        </w:rPr>
        <w:t xml:space="preserve">): </w:t>
      </w:r>
      <w:r w:rsidR="00E16012">
        <w:rPr>
          <w:lang w:val="en-US"/>
        </w:rPr>
        <w:t>BPR 21</w:t>
      </w:r>
      <w:r w:rsidR="00BC2BD1">
        <w:rPr>
          <w:lang w:val="en-US"/>
        </w:rPr>
        <w:t>/I/</w:t>
      </w:r>
      <w:r w:rsidR="00C1744A">
        <w:rPr>
          <w:lang w:val="en-US"/>
        </w:rPr>
        <w:t>4</w:t>
      </w:r>
      <w:r w:rsidR="00E16012">
        <w:rPr>
          <w:lang w:val="en-US"/>
        </w:rPr>
        <w:t xml:space="preserve">, </w:t>
      </w:r>
      <w:r w:rsidR="00C92377">
        <w:rPr>
          <w:lang w:val="en-US"/>
        </w:rPr>
        <w:t>Parish Register of</w:t>
      </w:r>
      <w:r>
        <w:rPr>
          <w:lang w:val="en-US"/>
        </w:rPr>
        <w:t xml:space="preserve"> St Cuthbert’s Church, </w:t>
      </w:r>
      <w:proofErr w:type="spellStart"/>
      <w:r>
        <w:rPr>
          <w:lang w:val="en-US"/>
        </w:rPr>
        <w:t>Aldingham</w:t>
      </w:r>
      <w:proofErr w:type="spellEnd"/>
      <w:r>
        <w:rPr>
          <w:lang w:val="en-US"/>
        </w:rPr>
        <w:t>,</w:t>
      </w:r>
      <w:r w:rsidR="00C1744A">
        <w:rPr>
          <w:lang w:val="en-US"/>
        </w:rPr>
        <w:t xml:space="preserve"> </w:t>
      </w:r>
      <w:r>
        <w:rPr>
          <w:lang w:val="en-US"/>
        </w:rPr>
        <w:t>1</w:t>
      </w:r>
      <w:r w:rsidR="00C1744A">
        <w:rPr>
          <w:lang w:val="en-US"/>
        </w:rPr>
        <w:t>734</w:t>
      </w:r>
      <w:r>
        <w:rPr>
          <w:lang w:val="en-US"/>
        </w:rPr>
        <w:t>-1</w:t>
      </w:r>
      <w:r w:rsidR="00C1744A">
        <w:rPr>
          <w:lang w:val="en-US"/>
        </w:rPr>
        <w:t>755</w:t>
      </w:r>
      <w:r>
        <w:rPr>
          <w:lang w:val="en-US"/>
        </w:rPr>
        <w:t xml:space="preserve">, </w:t>
      </w:r>
      <w:r>
        <w:t>Marriage of Matthew Redhead and Ann Canney, 27 October 1746</w:t>
      </w:r>
      <w:r w:rsidR="0026424E">
        <w:t>.</w:t>
      </w:r>
    </w:p>
  </w:footnote>
  <w:footnote w:id="868">
    <w:p w14:paraId="45588635" w14:textId="5732B552" w:rsidR="00D82F50" w:rsidRDefault="00D82F50" w:rsidP="00D82F50">
      <w:pPr>
        <w:pStyle w:val="FootnoteText"/>
      </w:pPr>
      <w:r>
        <w:rPr>
          <w:rStyle w:val="FootnoteReference"/>
        </w:rPr>
        <w:footnoteRef/>
      </w:r>
      <w:r>
        <w:t xml:space="preserve"> Champion, ‘Magic’, p.28</w:t>
      </w:r>
      <w:r w:rsidR="0026424E">
        <w:t>.</w:t>
      </w:r>
    </w:p>
  </w:footnote>
  <w:footnote w:id="869">
    <w:p w14:paraId="70217113" w14:textId="4F62EBE5" w:rsidR="00D82F50" w:rsidRPr="004816DB" w:rsidRDefault="00D82F50" w:rsidP="00D82F50">
      <w:pPr>
        <w:pStyle w:val="FootnoteText"/>
      </w:pPr>
      <w:r>
        <w:rPr>
          <w:rStyle w:val="FootnoteReference"/>
        </w:rPr>
        <w:footnoteRef/>
      </w:r>
      <w:r>
        <w:t xml:space="preserve"> Phebe Jensen, </w:t>
      </w:r>
      <w:r>
        <w:rPr>
          <w:i/>
          <w:iCs/>
        </w:rPr>
        <w:t xml:space="preserve">Astrology, Almanacs, and the Early Modern English Calendar, </w:t>
      </w:r>
      <w:r>
        <w:t>(London, 2020), p.4</w:t>
      </w:r>
      <w:r w:rsidR="0026424E">
        <w:t>.</w:t>
      </w:r>
    </w:p>
  </w:footnote>
  <w:footnote w:id="870">
    <w:p w14:paraId="4DFBCD3A" w14:textId="2100999E" w:rsidR="00D82F50" w:rsidRDefault="00D82F50" w:rsidP="00D82F50">
      <w:pPr>
        <w:pStyle w:val="FootnoteText"/>
      </w:pPr>
      <w:r>
        <w:rPr>
          <w:rStyle w:val="FootnoteReference"/>
        </w:rPr>
        <w:footnoteRef/>
      </w:r>
      <w:r>
        <w:t xml:space="preserve"> </w:t>
      </w:r>
      <w:r w:rsidRPr="00A95021">
        <w:t xml:space="preserve">Garnett, </w:t>
      </w:r>
      <w:r w:rsidRPr="00A95021">
        <w:rPr>
          <w:i/>
          <w:iCs/>
        </w:rPr>
        <w:t xml:space="preserve">Dated Buildings, </w:t>
      </w:r>
      <w:r w:rsidRPr="00A95021">
        <w:t>p.119</w:t>
      </w:r>
      <w:r w:rsidR="0026424E">
        <w:t>.</w:t>
      </w:r>
    </w:p>
  </w:footnote>
  <w:footnote w:id="871">
    <w:p w14:paraId="4FFD167E" w14:textId="5E29A85B" w:rsidR="00D82F50" w:rsidRDefault="00D82F50" w:rsidP="00D82F50">
      <w:pPr>
        <w:pStyle w:val="FootnoteText"/>
      </w:pPr>
      <w:r>
        <w:rPr>
          <w:rStyle w:val="FootnoteReference"/>
        </w:rPr>
        <w:footnoteRef/>
      </w:r>
      <w:r>
        <w:t xml:space="preserve"> Ibid.</w:t>
      </w:r>
    </w:p>
  </w:footnote>
  <w:footnote w:id="872">
    <w:p w14:paraId="3B54B33F" w14:textId="2F120BAE" w:rsidR="00D82F50" w:rsidRPr="0043056F" w:rsidRDefault="00D82F50" w:rsidP="00D82F50">
      <w:pPr>
        <w:pStyle w:val="FootnoteText"/>
      </w:pPr>
      <w:r>
        <w:rPr>
          <w:rStyle w:val="FootnoteReference"/>
        </w:rPr>
        <w:footnoteRef/>
      </w:r>
      <w:r>
        <w:t xml:space="preserve"> Lilly, </w:t>
      </w:r>
      <w:r>
        <w:rPr>
          <w:i/>
          <w:iCs/>
        </w:rPr>
        <w:t xml:space="preserve">Christian Astrology, </w:t>
      </w:r>
      <w:r>
        <w:t>p.54</w:t>
      </w:r>
      <w:r w:rsidR="0026424E">
        <w:t>.</w:t>
      </w:r>
    </w:p>
  </w:footnote>
  <w:footnote w:id="873">
    <w:p w14:paraId="3B6D38B3" w14:textId="6256DE69" w:rsidR="00D82F50" w:rsidRDefault="00D82F50" w:rsidP="00D82F50">
      <w:pPr>
        <w:pStyle w:val="FootnoteText"/>
      </w:pPr>
      <w:r>
        <w:rPr>
          <w:rStyle w:val="FootnoteReference"/>
        </w:rPr>
        <w:footnoteRef/>
      </w:r>
      <w:r>
        <w:t xml:space="preserve"> Bill Angus, ‘The apotropaic “witch posts” of early modern Yorkshire: a contextualization’, </w:t>
      </w:r>
      <w:r>
        <w:rPr>
          <w:i/>
          <w:iCs/>
        </w:rPr>
        <w:t>Material Religion,</w:t>
      </w:r>
      <w:r>
        <w:t xml:space="preserve"> Vol. 14, No. 1, (2018), pp.55-82, p.73</w:t>
      </w:r>
      <w:r w:rsidR="0026424E">
        <w:t>.</w:t>
      </w:r>
    </w:p>
  </w:footnote>
  <w:footnote w:id="874">
    <w:p w14:paraId="6825096F" w14:textId="77777777" w:rsidR="00D82F50" w:rsidRDefault="00D82F50" w:rsidP="00D82F50">
      <w:pPr>
        <w:pStyle w:val="FootnoteText"/>
      </w:pPr>
      <w:r>
        <w:rPr>
          <w:rStyle w:val="FootnoteReference"/>
        </w:rPr>
        <w:footnoteRef/>
      </w:r>
      <w:r>
        <w:t xml:space="preserve"> As outlined in previous chapters, Lyme Hall was owned by a different branch of the Legh family of Adlington, landholders with whom many inscribers in Prestbury had copyhold ‘for lives’ tenancies.</w:t>
      </w:r>
    </w:p>
  </w:footnote>
  <w:footnote w:id="875">
    <w:p w14:paraId="6FE7E26E" w14:textId="399F57EF" w:rsidR="00D82F50" w:rsidRDefault="00D82F50" w:rsidP="00D82F50">
      <w:pPr>
        <w:pStyle w:val="FootnoteText"/>
      </w:pPr>
      <w:r>
        <w:rPr>
          <w:rStyle w:val="FootnoteReference"/>
        </w:rPr>
        <w:footnoteRef/>
      </w:r>
      <w:r>
        <w:t xml:space="preserve"> Christina Wald (Konstanz), ‘Shakespeare’s art of entanglement: </w:t>
      </w:r>
      <w:r>
        <w:rPr>
          <w:i/>
          <w:iCs/>
        </w:rPr>
        <w:t xml:space="preserve">The </w:t>
      </w:r>
      <w:proofErr w:type="gramStart"/>
      <w:r w:rsidRPr="00A73EC2">
        <w:rPr>
          <w:i/>
          <w:iCs/>
        </w:rPr>
        <w:t>Tempest</w:t>
      </w:r>
      <w:r>
        <w:t>‘</w:t>
      </w:r>
      <w:proofErr w:type="gramEnd"/>
      <w:r>
        <w:t xml:space="preserve">s tragicomedy dramaturgy or knotting and untying’, </w:t>
      </w:r>
      <w:r>
        <w:rPr>
          <w:i/>
          <w:iCs/>
        </w:rPr>
        <w:t xml:space="preserve">Shakespeare, </w:t>
      </w:r>
      <w:r>
        <w:t>Vol. 19, No. 3, (2023), pp.269-295, p.</w:t>
      </w:r>
      <w:r w:rsidRPr="00A73EC2">
        <w:t>280</w:t>
      </w:r>
      <w:r>
        <w:t xml:space="preserve">; </w:t>
      </w:r>
      <w:r w:rsidRPr="00DB59D8">
        <w:t xml:space="preserve">William Carroll, </w:t>
      </w:r>
      <w:r>
        <w:t>‘</w:t>
      </w:r>
      <w:r w:rsidRPr="00DB59D8">
        <w:t xml:space="preserve">The </w:t>
      </w:r>
      <w:r>
        <w:t>v</w:t>
      </w:r>
      <w:r w:rsidRPr="00DB59D8">
        <w:t xml:space="preserve">irgin </w:t>
      </w:r>
      <w:r>
        <w:t>n</w:t>
      </w:r>
      <w:r w:rsidRPr="00DB59D8">
        <w:t xml:space="preserve">ot: </w:t>
      </w:r>
      <w:r>
        <w:t>l</w:t>
      </w:r>
      <w:r w:rsidRPr="00DB59D8">
        <w:t xml:space="preserve">anguage and </w:t>
      </w:r>
      <w:r>
        <w:t>s</w:t>
      </w:r>
      <w:r w:rsidRPr="00DB59D8">
        <w:t>exuality in Shakespeare</w:t>
      </w:r>
      <w:r>
        <w:t>’,</w:t>
      </w:r>
      <w:r w:rsidRPr="00DB59D8">
        <w:t xml:space="preserve"> </w:t>
      </w:r>
      <w:r w:rsidRPr="00DB59D8">
        <w:rPr>
          <w:i/>
          <w:iCs/>
        </w:rPr>
        <w:t>Shakespeare Survey</w:t>
      </w:r>
      <w:r>
        <w:rPr>
          <w:i/>
          <w:iCs/>
        </w:rPr>
        <w:t xml:space="preserve">, </w:t>
      </w:r>
      <w:r>
        <w:t>No.</w:t>
      </w:r>
      <w:r w:rsidRPr="00DB59D8">
        <w:t xml:space="preserve"> 46 (1994)</w:t>
      </w:r>
      <w:r>
        <w:t>, pp.</w:t>
      </w:r>
      <w:r w:rsidRPr="00DB59D8">
        <w:t>107–120</w:t>
      </w:r>
      <w:r>
        <w:t>, p.115</w:t>
      </w:r>
      <w:r w:rsidR="0026424E">
        <w:t>.</w:t>
      </w:r>
    </w:p>
  </w:footnote>
  <w:footnote w:id="876">
    <w:p w14:paraId="2DE68083" w14:textId="30FD33FB" w:rsidR="00D82F50" w:rsidRDefault="00D82F50" w:rsidP="00D82F50">
      <w:pPr>
        <w:pStyle w:val="FootnoteText"/>
      </w:pPr>
      <w:r>
        <w:rPr>
          <w:rStyle w:val="FootnoteReference"/>
        </w:rPr>
        <w:footnoteRef/>
      </w:r>
      <w:r>
        <w:t xml:space="preserve"> </w:t>
      </w:r>
      <w:r w:rsidRPr="00866E11">
        <w:rPr>
          <w:lang w:val="en-US"/>
        </w:rPr>
        <w:t xml:space="preserve">CRO: P 143, </w:t>
      </w:r>
      <w:r w:rsidR="00C92377">
        <w:rPr>
          <w:lang w:val="en-US"/>
        </w:rPr>
        <w:t>Parish Register of</w:t>
      </w:r>
      <w:r w:rsidRPr="00866E11">
        <w:rPr>
          <w:lang w:val="en-US"/>
        </w:rPr>
        <w:t xml:space="preserve"> St Mary’s Church, Nether Alderley, Marriage of Thomas Dean and Hannah Wood, 29 December 1699</w:t>
      </w:r>
      <w:r>
        <w:rPr>
          <w:lang w:val="en-US"/>
        </w:rPr>
        <w:t xml:space="preserve">; </w:t>
      </w:r>
      <w:r w:rsidRPr="004225F0">
        <w:rPr>
          <w:lang w:val="en-US"/>
        </w:rPr>
        <w:t xml:space="preserve">CRO: P 287, </w:t>
      </w:r>
      <w:r w:rsidR="00C92377">
        <w:rPr>
          <w:lang w:val="en-US"/>
        </w:rPr>
        <w:t>Parish Register of</w:t>
      </w:r>
      <w:r w:rsidRPr="004225F0">
        <w:rPr>
          <w:lang w:val="en-US"/>
        </w:rPr>
        <w:t xml:space="preserve"> St Peter’s Church, Prestbury, Baptism of Wood Deane, 18 May 1710</w:t>
      </w:r>
      <w:r w:rsidR="0026424E">
        <w:rPr>
          <w:lang w:val="en-US"/>
        </w:rPr>
        <w:t>.</w:t>
      </w:r>
    </w:p>
  </w:footnote>
  <w:footnote w:id="877">
    <w:p w14:paraId="7EDCE074" w14:textId="7CBFFAF2" w:rsidR="00D82F50" w:rsidRDefault="00D82F50" w:rsidP="00D82F50">
      <w:pPr>
        <w:pStyle w:val="FootnoteText"/>
      </w:pPr>
      <w:r>
        <w:rPr>
          <w:rStyle w:val="FootnoteReference"/>
        </w:rPr>
        <w:footnoteRef/>
      </w:r>
      <w:r>
        <w:t xml:space="preserve"> </w:t>
      </w:r>
      <w:r w:rsidRPr="00AA27CB">
        <w:t>Adrian Green, ‘Houses and households in County Durham and Newcastle c.1570-1730’, (Durham University, 2000</w:t>
      </w:r>
      <w:r w:rsidR="003E66F7">
        <w:t xml:space="preserve">; </w:t>
      </w:r>
      <w:r w:rsidR="003E66F7" w:rsidRPr="003E66F7">
        <w:t>unpublished PhD thesis</w:t>
      </w:r>
      <w:r w:rsidRPr="00AA27CB">
        <w:t xml:space="preserve">), [http://etheses.dur.ac.uk/1600/2/1600_v2.pdf?EThOS%20(BL); accessed 20 </w:t>
      </w:r>
      <w:r>
        <w:t>February</w:t>
      </w:r>
      <w:r w:rsidRPr="00AA27CB">
        <w:t xml:space="preserve"> 20</w:t>
      </w:r>
      <w:r>
        <w:t>20</w:t>
      </w:r>
      <w:r w:rsidRPr="00AA27CB">
        <w:t>]</w:t>
      </w:r>
      <w:r w:rsidR="00D27A14">
        <w:t>, p</w:t>
      </w:r>
      <w:r w:rsidR="00290BC8">
        <w:t>p.172-173</w:t>
      </w:r>
      <w:r w:rsidR="0026424E">
        <w:t>.</w:t>
      </w:r>
    </w:p>
  </w:footnote>
  <w:footnote w:id="878">
    <w:p w14:paraId="7A9BAB30" w14:textId="6C0B2327" w:rsidR="00D82F50" w:rsidRDefault="00D82F50" w:rsidP="00D82F50">
      <w:pPr>
        <w:pStyle w:val="FootnoteText"/>
      </w:pPr>
      <w:r>
        <w:rPr>
          <w:rStyle w:val="FootnoteReference"/>
        </w:rPr>
        <w:footnoteRef/>
      </w:r>
      <w:r>
        <w:t xml:space="preserve"> Adrian Green, ‘Consumption and material culture’, in Keith Wrightson (ed.), </w:t>
      </w:r>
      <w:r>
        <w:rPr>
          <w:i/>
          <w:iCs/>
        </w:rPr>
        <w:t xml:space="preserve">A Social History of England, 1500-1750, </w:t>
      </w:r>
      <w:r>
        <w:t>(Cambridge, 2017), pp.242-266, p.252</w:t>
      </w:r>
      <w:r w:rsidR="0026424E">
        <w:t>.</w:t>
      </w:r>
    </w:p>
  </w:footnote>
  <w:footnote w:id="879">
    <w:p w14:paraId="410343C1" w14:textId="02507826" w:rsidR="00D82F50" w:rsidRDefault="00D82F50" w:rsidP="00D82F50">
      <w:pPr>
        <w:pStyle w:val="FootnoteText"/>
      </w:pPr>
      <w:r>
        <w:rPr>
          <w:rStyle w:val="FootnoteReference"/>
        </w:rPr>
        <w:footnoteRef/>
      </w:r>
      <w:r>
        <w:t xml:space="preserve"> </w:t>
      </w:r>
      <w:r w:rsidRPr="002E146F">
        <w:rPr>
          <w:lang w:val="en-US"/>
        </w:rPr>
        <w:t xml:space="preserve">CRO: P 287, </w:t>
      </w:r>
      <w:r w:rsidR="00C92377">
        <w:rPr>
          <w:lang w:val="en-US"/>
        </w:rPr>
        <w:t>Parish Register of</w:t>
      </w:r>
      <w:r w:rsidRPr="002E146F">
        <w:rPr>
          <w:lang w:val="en-US"/>
        </w:rPr>
        <w:t xml:space="preserve"> St Peter’s Church, Prestbury, </w:t>
      </w:r>
      <w:r>
        <w:t>Marriage of John Johnson and Elizabeth Thornicroft, 7 May 1717</w:t>
      </w:r>
      <w:r w:rsidR="0026424E">
        <w:t>.</w:t>
      </w:r>
    </w:p>
  </w:footnote>
  <w:footnote w:id="880">
    <w:p w14:paraId="354B0B92" w14:textId="641DE959" w:rsidR="00D82F50" w:rsidRDefault="00D82F50" w:rsidP="00D82F50">
      <w:pPr>
        <w:pStyle w:val="FootnoteText"/>
      </w:pPr>
      <w:r>
        <w:rPr>
          <w:rStyle w:val="FootnoteReference"/>
        </w:rPr>
        <w:footnoteRef/>
      </w:r>
      <w:r>
        <w:t xml:space="preserve"> </w:t>
      </w:r>
      <w:r w:rsidRPr="00AD1894">
        <w:rPr>
          <w:rStyle w:val="normaltextrun"/>
          <w:rFonts w:cs="Calibri"/>
          <w:color w:val="000000"/>
          <w:shd w:val="clear" w:color="auto" w:fill="FFFFFF"/>
        </w:rPr>
        <w:t xml:space="preserve">Virginia K. Henderson, ‘Retrieving the “Crown in the Hawthorn Bush”: the origins of the badges of Henry VII’, in Douglas Biggs, Sharon </w:t>
      </w:r>
      <w:proofErr w:type="spellStart"/>
      <w:r w:rsidRPr="00AD1894">
        <w:rPr>
          <w:rStyle w:val="normaltextrun"/>
          <w:rFonts w:cs="Calibri"/>
          <w:color w:val="000000"/>
          <w:shd w:val="clear" w:color="auto" w:fill="FFFFFF"/>
        </w:rPr>
        <w:t>Michalove</w:t>
      </w:r>
      <w:proofErr w:type="spellEnd"/>
      <w:r w:rsidRPr="00AD1894">
        <w:rPr>
          <w:rStyle w:val="normaltextrun"/>
          <w:rFonts w:cs="Calibri"/>
          <w:color w:val="000000"/>
          <w:shd w:val="clear" w:color="auto" w:fill="FFFFFF"/>
        </w:rPr>
        <w:t xml:space="preserve"> and Compton Rees (eds), Traditions and Transformations in Late Medieval England, (Leiden, 2002), pp.237-259</w:t>
      </w:r>
      <w:r>
        <w:rPr>
          <w:rStyle w:val="normaltextrun"/>
          <w:rFonts w:cs="Calibri"/>
          <w:color w:val="000000"/>
          <w:shd w:val="clear" w:color="auto" w:fill="FFFFFF"/>
        </w:rPr>
        <w:t>, p.241</w:t>
      </w:r>
      <w:r w:rsidR="0026424E">
        <w:rPr>
          <w:rStyle w:val="normaltextrun"/>
          <w:rFonts w:cs="Calibri"/>
          <w:color w:val="000000"/>
          <w:shd w:val="clear" w:color="auto" w:fill="FFFFFF"/>
        </w:rPr>
        <w:t>.</w:t>
      </w:r>
    </w:p>
  </w:footnote>
  <w:footnote w:id="881">
    <w:p w14:paraId="1B07AC52" w14:textId="77777777" w:rsidR="00D82F50" w:rsidRDefault="00D82F50" w:rsidP="00D82F50">
      <w:pPr>
        <w:pStyle w:val="FootnoteText"/>
      </w:pPr>
      <w:r>
        <w:rPr>
          <w:rStyle w:val="FootnoteReference"/>
        </w:rPr>
        <w:footnoteRef/>
      </w:r>
      <w:r>
        <w:t xml:space="preserve"> The emblems of England, Scotland, France, and Italy (Florence and Parma) all included the </w:t>
      </w:r>
      <w:r w:rsidRPr="004F472D">
        <w:rPr>
          <w:i/>
          <w:iCs/>
        </w:rPr>
        <w:t xml:space="preserve">fleur de </w:t>
      </w:r>
      <w:proofErr w:type="spellStart"/>
      <w:r w:rsidRPr="004F472D">
        <w:rPr>
          <w:i/>
          <w:iCs/>
        </w:rPr>
        <w:t>lis</w:t>
      </w:r>
      <w:proofErr w:type="spellEnd"/>
      <w:r>
        <w:t>: Mary Channen Caldwell, ‘’Flower of the lily’: late-medieval religious and heraldic symbolism in Paris, Biblioth</w:t>
      </w:r>
      <w:r w:rsidRPr="00681893">
        <w:rPr>
          <w:rFonts w:cs="Calibri"/>
        </w:rPr>
        <w:t>è</w:t>
      </w:r>
      <w:r>
        <w:t>que Nationale de France, MS Fran</w:t>
      </w:r>
      <w:r w:rsidRPr="00681893">
        <w:rPr>
          <w:rFonts w:cs="Calibri"/>
        </w:rPr>
        <w:t>ç</w:t>
      </w:r>
      <w:r>
        <w:t xml:space="preserve">ais 146’, </w:t>
      </w:r>
      <w:r>
        <w:rPr>
          <w:i/>
          <w:iCs/>
        </w:rPr>
        <w:t xml:space="preserve">Early Music History, </w:t>
      </w:r>
      <w:r>
        <w:t>Vol. 33, (2014), pp.1-60, p.</w:t>
      </w:r>
      <w:proofErr w:type="gramStart"/>
      <w:r>
        <w:t>26;</w:t>
      </w:r>
      <w:proofErr w:type="gramEnd"/>
    </w:p>
    <w:p w14:paraId="106A75D2" w14:textId="6A8DE73B" w:rsidR="00D82F50" w:rsidRDefault="00D82F50" w:rsidP="00D82F50">
      <w:pPr>
        <w:pStyle w:val="FootnoteText"/>
      </w:pPr>
      <w:r w:rsidRPr="00491BB9">
        <w:t>Gustave Braun von Stumm, "</w:t>
      </w:r>
      <w:proofErr w:type="spellStart"/>
      <w:r w:rsidRPr="00491BB9">
        <w:t>L'origine</w:t>
      </w:r>
      <w:proofErr w:type="spellEnd"/>
      <w:r w:rsidRPr="00491BB9">
        <w:t xml:space="preserve"> de la fleur de </w:t>
      </w:r>
      <w:proofErr w:type="spellStart"/>
      <w:r w:rsidRPr="00491BB9">
        <w:t>lis</w:t>
      </w:r>
      <w:proofErr w:type="spellEnd"/>
      <w:r w:rsidRPr="00491BB9">
        <w:t xml:space="preserve"> de rois de France du point de </w:t>
      </w:r>
      <w:proofErr w:type="spellStart"/>
      <w:r w:rsidRPr="00491BB9">
        <w:t>vue</w:t>
      </w:r>
      <w:proofErr w:type="spellEnd"/>
      <w:r w:rsidRPr="00491BB9">
        <w:t xml:space="preserve"> </w:t>
      </w:r>
      <w:proofErr w:type="spellStart"/>
      <w:r w:rsidRPr="00491BB9">
        <w:t>numismatique</w:t>
      </w:r>
      <w:proofErr w:type="spellEnd"/>
      <w:r w:rsidRPr="00491BB9">
        <w:t xml:space="preserve">", </w:t>
      </w:r>
      <w:r w:rsidRPr="00491BB9">
        <w:rPr>
          <w:i/>
          <w:iCs/>
        </w:rPr>
        <w:t xml:space="preserve">Revue </w:t>
      </w:r>
      <w:proofErr w:type="spellStart"/>
      <w:r w:rsidRPr="00491BB9">
        <w:rPr>
          <w:i/>
          <w:iCs/>
        </w:rPr>
        <w:t>Numismatique</w:t>
      </w:r>
      <w:proofErr w:type="spellEnd"/>
      <w:r w:rsidRPr="00491BB9">
        <w:t>, Vol. 13, (1951), pp .43-58, p.52</w:t>
      </w:r>
      <w:r w:rsidR="0026424E">
        <w:t>.</w:t>
      </w:r>
    </w:p>
  </w:footnote>
  <w:footnote w:id="882">
    <w:p w14:paraId="5F36BD53" w14:textId="60ECA27D" w:rsidR="00D82F50" w:rsidRPr="009605E7" w:rsidRDefault="00D82F50" w:rsidP="00D82F50">
      <w:pPr>
        <w:pStyle w:val="FootnoteText"/>
      </w:pPr>
      <w:r>
        <w:rPr>
          <w:rStyle w:val="FootnoteReference"/>
        </w:rPr>
        <w:footnoteRef/>
      </w:r>
      <w:r>
        <w:t xml:space="preserve"> Susan Cogan, ‘Building the badge of God: architectural representations of persecution and coexistence in post-Reformation England’, </w:t>
      </w:r>
      <w:r>
        <w:rPr>
          <w:i/>
          <w:iCs/>
        </w:rPr>
        <w:t xml:space="preserve">Archive for Reformation History, </w:t>
      </w:r>
      <w:r>
        <w:t xml:space="preserve">Vol. 107, No. 1, (2016), pp.165-192, p.178; Krzysztof Lenartowicz, ‘Equilateral triangle and the Holy Trinity’, </w:t>
      </w:r>
      <w:r>
        <w:rPr>
          <w:i/>
          <w:iCs/>
        </w:rPr>
        <w:t xml:space="preserve">Journal of Architecture and Urbanism, </w:t>
      </w:r>
      <w:r>
        <w:t>Vol. 38, No. 4, (2014), pp.220-233</w:t>
      </w:r>
      <w:r w:rsidR="0026424E">
        <w:t>.</w:t>
      </w:r>
    </w:p>
  </w:footnote>
  <w:footnote w:id="883">
    <w:p w14:paraId="5209F04B" w14:textId="7122905D" w:rsidR="00D82F50" w:rsidRDefault="00D82F50" w:rsidP="00D82F50">
      <w:pPr>
        <w:pStyle w:val="FootnoteText"/>
      </w:pPr>
      <w:r>
        <w:rPr>
          <w:rStyle w:val="FootnoteReference"/>
        </w:rPr>
        <w:footnoteRef/>
      </w:r>
      <w:r>
        <w:t xml:space="preserve"> Holme, </w:t>
      </w:r>
      <w:r>
        <w:rPr>
          <w:i/>
          <w:iCs/>
        </w:rPr>
        <w:t>Armory</w:t>
      </w:r>
      <w:r>
        <w:t>, p.61</w:t>
      </w:r>
      <w:r w:rsidR="0026424E">
        <w:t>.</w:t>
      </w:r>
    </w:p>
  </w:footnote>
  <w:footnote w:id="884">
    <w:p w14:paraId="62545099" w14:textId="560942C2" w:rsidR="00D82F50" w:rsidRPr="00326536" w:rsidRDefault="00D82F50" w:rsidP="00D82F50">
      <w:pPr>
        <w:pStyle w:val="FootnoteText"/>
      </w:pPr>
      <w:r>
        <w:rPr>
          <w:rStyle w:val="FootnoteReference"/>
        </w:rPr>
        <w:footnoteRef/>
      </w:r>
      <w:r>
        <w:t xml:space="preserve"> John Parsons </w:t>
      </w:r>
      <w:proofErr w:type="spellStart"/>
      <w:r>
        <w:t>Earwaker</w:t>
      </w:r>
      <w:proofErr w:type="spellEnd"/>
      <w:r>
        <w:t xml:space="preserve">, </w:t>
      </w:r>
      <w:r>
        <w:rPr>
          <w:i/>
          <w:iCs/>
        </w:rPr>
        <w:t xml:space="preserve">East Cheshire: Past and Present: Or, A History of the </w:t>
      </w:r>
      <w:proofErr w:type="spellStart"/>
      <w:r>
        <w:rPr>
          <w:i/>
          <w:iCs/>
        </w:rPr>
        <w:t>Hundred</w:t>
      </w:r>
      <w:proofErr w:type="spellEnd"/>
      <w:r>
        <w:rPr>
          <w:i/>
          <w:iCs/>
        </w:rPr>
        <w:t xml:space="preserve"> of Macclesfield, in the County Palatine of Chester, Volume 2, </w:t>
      </w:r>
      <w:r>
        <w:t>(London, 1880), p.451</w:t>
      </w:r>
      <w:r w:rsidR="0026424E">
        <w:t>.</w:t>
      </w:r>
    </w:p>
  </w:footnote>
  <w:footnote w:id="885">
    <w:p w14:paraId="57A4F83D" w14:textId="3C52F9CC" w:rsidR="00D82F50" w:rsidRDefault="00D82F50" w:rsidP="00D82F50">
      <w:pPr>
        <w:pStyle w:val="FootnoteText"/>
      </w:pPr>
      <w:r>
        <w:rPr>
          <w:rStyle w:val="FootnoteReference"/>
        </w:rPr>
        <w:footnoteRef/>
      </w:r>
      <w:r>
        <w:t xml:space="preserve"> CRO: WS 1742, Will of John Johnson of Sutton, yeoman, 1742</w:t>
      </w:r>
      <w:r w:rsidR="0026424E">
        <w:t>.</w:t>
      </w:r>
    </w:p>
  </w:footnote>
  <w:footnote w:id="886">
    <w:p w14:paraId="6ED42342" w14:textId="5645E179" w:rsidR="00D82F50" w:rsidRDefault="00D82F50" w:rsidP="00D82F50">
      <w:pPr>
        <w:pStyle w:val="FootnoteText"/>
      </w:pPr>
      <w:r>
        <w:rPr>
          <w:rStyle w:val="FootnoteReference"/>
        </w:rPr>
        <w:footnoteRef/>
      </w:r>
      <w:r>
        <w:t xml:space="preserve"> ‘Ridge Hall moated site and annexe’, Scheduled Monument in Sutton, Cheshire East, List Entry No. </w:t>
      </w:r>
      <w:r w:rsidRPr="00F912ED">
        <w:t>1012355</w:t>
      </w:r>
      <w:r>
        <w:t>, [</w:t>
      </w:r>
      <w:r w:rsidRPr="000F2D41">
        <w:t>https://historicengland.org.uk/listing/the-list/list-entry/1012355?section=official-list-entry</w:t>
      </w:r>
      <w:r>
        <w:t>; accessed 7 April 2024]</w:t>
      </w:r>
      <w:r w:rsidR="0026424E">
        <w:t>.</w:t>
      </w:r>
    </w:p>
  </w:footnote>
  <w:footnote w:id="887">
    <w:p w14:paraId="5B5998C8" w14:textId="77777777" w:rsidR="00D82F50" w:rsidRDefault="00D82F50" w:rsidP="00D82F50">
      <w:pPr>
        <w:pStyle w:val="FootnoteText"/>
      </w:pPr>
      <w:r>
        <w:rPr>
          <w:rStyle w:val="FootnoteReference"/>
        </w:rPr>
        <w:footnoteRef/>
      </w:r>
      <w:r>
        <w:t xml:space="preserve"> It has not been possible to trace this armorial crest in any heraldic literature.</w:t>
      </w:r>
    </w:p>
  </w:footnote>
  <w:footnote w:id="888">
    <w:p w14:paraId="17470999" w14:textId="51E7BB0B" w:rsidR="00D82F50" w:rsidRDefault="00D82F50" w:rsidP="00D82F50">
      <w:pPr>
        <w:pStyle w:val="FootnoteText"/>
      </w:pPr>
      <w:r>
        <w:rPr>
          <w:rStyle w:val="FootnoteReference"/>
        </w:rPr>
        <w:footnoteRef/>
      </w:r>
      <w:r>
        <w:t xml:space="preserve"> CRO: WS 1717, Will of Henry Cherry of Sutton, yeoman, 1717</w:t>
      </w:r>
      <w:r w:rsidR="0026424E">
        <w:t>.</w:t>
      </w:r>
    </w:p>
  </w:footnote>
  <w:footnote w:id="889">
    <w:p w14:paraId="1B47FD5D" w14:textId="41FF77E7" w:rsidR="00D82F50" w:rsidRDefault="00D82F50" w:rsidP="00D82F50">
      <w:pPr>
        <w:pStyle w:val="FootnoteText"/>
      </w:pPr>
      <w:r>
        <w:rPr>
          <w:rStyle w:val="FootnoteReference"/>
        </w:rPr>
        <w:footnoteRef/>
      </w:r>
      <w:r>
        <w:t xml:space="preserve"> ‘Pott Lords Farmhouse, Meg Lane’, Grade II Listed Building in Sutton, Cheshire East, List Entry No. 1139445 [</w:t>
      </w:r>
      <w:r w:rsidRPr="003D5CFF">
        <w:t>https://historicengland.org.uk/listing/the-list/list-entry/1139445?section=official-list-entry</w:t>
      </w:r>
      <w:r>
        <w:t>; accessed 7 April 2024]</w:t>
      </w:r>
      <w:r w:rsidR="0026424E">
        <w:t>.</w:t>
      </w:r>
    </w:p>
  </w:footnote>
  <w:footnote w:id="890">
    <w:p w14:paraId="33CF96E7" w14:textId="73AC0491" w:rsidR="00D82F50" w:rsidRPr="00951197" w:rsidRDefault="00D82F50" w:rsidP="00D82F50">
      <w:pPr>
        <w:pStyle w:val="FootnoteText"/>
        <w:rPr>
          <w:lang w:val="en-US"/>
        </w:rPr>
      </w:pPr>
      <w:r>
        <w:rPr>
          <w:rStyle w:val="FootnoteReference"/>
        </w:rPr>
        <w:footnoteRef/>
      </w:r>
      <w:r>
        <w:t xml:space="preserve"> </w:t>
      </w:r>
      <w:proofErr w:type="spellStart"/>
      <w:r>
        <w:rPr>
          <w:i/>
          <w:iCs/>
        </w:rPr>
        <w:t>Findmypast</w:t>
      </w:r>
      <w:proofErr w:type="spellEnd"/>
      <w:r>
        <w:rPr>
          <w:i/>
          <w:iCs/>
        </w:rPr>
        <w:t xml:space="preserve">, </w:t>
      </w:r>
      <w:r>
        <w:t>[http://f</w:t>
      </w:r>
      <w:r w:rsidRPr="00994D3C">
        <w:t>indmypast.co.uk</w:t>
      </w:r>
      <w:r>
        <w:t>;</w:t>
      </w:r>
      <w:r>
        <w:rPr>
          <w:i/>
          <w:iCs/>
        </w:rPr>
        <w:t xml:space="preserve"> </w:t>
      </w:r>
      <w:r>
        <w:t xml:space="preserve">accessed 4 September 2023], searched for all parish register entries with the name ‘Isaac Hadfield’ (with name variables filter on) within 100 miles of Prestbury, 1650-1750. Additional searches using I* Hadfield and J* Hadfield to include any other entries with the same forename initial produced similar results; </w:t>
      </w:r>
      <w:r w:rsidR="00B14C59">
        <w:t>TNA:</w:t>
      </w:r>
      <w:r w:rsidR="001E7D1D">
        <w:t xml:space="preserve"> </w:t>
      </w:r>
      <w:r w:rsidR="00F21960" w:rsidRPr="00F21960">
        <w:rPr>
          <w:lang w:val="en-US"/>
        </w:rPr>
        <w:t>E179/86/141, Hearth Tax Assessment for Cheshire, Macclesfield Hundred, 1662</w:t>
      </w:r>
      <w:r w:rsidR="00F21960">
        <w:rPr>
          <w:lang w:val="en-US"/>
        </w:rPr>
        <w:t xml:space="preserve">; TNA: </w:t>
      </w:r>
      <w:r w:rsidR="00A2573E" w:rsidRPr="00A2573E">
        <w:rPr>
          <w:lang w:val="en-US"/>
        </w:rPr>
        <w:t>E179/244/34 Part 1, Hearth Tax Assessment for Cheshire, Macclesfield Hundred, 26 March – 11 June 1663</w:t>
      </w:r>
      <w:r w:rsidR="00A2573E">
        <w:rPr>
          <w:lang w:val="en-US"/>
        </w:rPr>
        <w:t xml:space="preserve">; </w:t>
      </w:r>
      <w:r w:rsidR="00DD79B8">
        <w:rPr>
          <w:lang w:val="en-US"/>
        </w:rPr>
        <w:t>TNA</w:t>
      </w:r>
      <w:r w:rsidR="00024FF7">
        <w:rPr>
          <w:lang w:val="en-US"/>
        </w:rPr>
        <w:t xml:space="preserve">: </w:t>
      </w:r>
      <w:r w:rsidR="00024FF7" w:rsidRPr="00024FF7">
        <w:rPr>
          <w:lang w:val="en-US"/>
        </w:rPr>
        <w:t>E179/244/36, Hearth Tax Assessment for Cheshire, Macclesfield Hundred, 14 October 1664 (or later)</w:t>
      </w:r>
      <w:r w:rsidR="00024FF7">
        <w:rPr>
          <w:lang w:val="en-US"/>
        </w:rPr>
        <w:t xml:space="preserve">; </w:t>
      </w:r>
      <w:r w:rsidR="00245EB7">
        <w:rPr>
          <w:lang w:val="en-US"/>
        </w:rPr>
        <w:t xml:space="preserve">TNA: </w:t>
      </w:r>
      <w:r w:rsidR="00245EB7" w:rsidRPr="00245EB7">
        <w:rPr>
          <w:lang w:val="en-US"/>
        </w:rPr>
        <w:t>E179/86/153, Hearth Tax Assessment for Cheshire, Macclesfield Hundred, 29 September 1670 – 29 September 1671</w:t>
      </w:r>
      <w:r w:rsidR="00245EB7">
        <w:rPr>
          <w:lang w:val="en-US"/>
        </w:rPr>
        <w:t>;</w:t>
      </w:r>
      <w:r w:rsidR="00523305">
        <w:rPr>
          <w:lang w:val="en-US"/>
        </w:rPr>
        <w:t xml:space="preserve"> TNA:</w:t>
      </w:r>
      <w:r w:rsidR="00245EB7">
        <w:rPr>
          <w:lang w:val="en-US"/>
        </w:rPr>
        <w:t xml:space="preserve"> </w:t>
      </w:r>
      <w:r w:rsidR="00523305" w:rsidRPr="00523305">
        <w:rPr>
          <w:lang w:val="en-US"/>
        </w:rPr>
        <w:t>E179/86/155, Hearth Tax Assessment for Cheshire, Macclesfield Hundred, 1673 and 1674</w:t>
      </w:r>
      <w:r w:rsidR="00523305">
        <w:rPr>
          <w:lang w:val="en-US"/>
        </w:rPr>
        <w:t xml:space="preserve">; </w:t>
      </w:r>
      <w:r w:rsidR="00951197">
        <w:rPr>
          <w:lang w:val="en-US"/>
        </w:rPr>
        <w:t xml:space="preserve">TNA: </w:t>
      </w:r>
      <w:r w:rsidR="00951197" w:rsidRPr="00951197">
        <w:rPr>
          <w:lang w:val="en-US"/>
        </w:rPr>
        <w:t>E179/86/155, Hearth Tax Assessment for Cheshire, Macclesfield Hundred, 25 March 1673 – 12 January 1675</w:t>
      </w:r>
      <w:r w:rsidR="006E7010">
        <w:rPr>
          <w:lang w:val="en-US"/>
        </w:rPr>
        <w:t>.</w:t>
      </w:r>
    </w:p>
  </w:footnote>
  <w:footnote w:id="891">
    <w:p w14:paraId="3DDCE5A6" w14:textId="29382271" w:rsidR="00D82F50" w:rsidRPr="00702C1C" w:rsidRDefault="00D82F50" w:rsidP="00D82F50">
      <w:pPr>
        <w:pStyle w:val="FootnoteText"/>
      </w:pPr>
      <w:r>
        <w:rPr>
          <w:rStyle w:val="FootnoteReference"/>
        </w:rPr>
        <w:footnoteRef/>
      </w:r>
      <w:r>
        <w:t xml:space="preserve"> Barbara Hutton and Joyce Martin, </w:t>
      </w:r>
      <w:r>
        <w:rPr>
          <w:i/>
          <w:iCs/>
        </w:rPr>
        <w:t xml:space="preserve">Doorways in the Dales, </w:t>
      </w:r>
      <w:r>
        <w:t>(York, 1986), p.1</w:t>
      </w:r>
      <w:r w:rsidR="006E7010">
        <w:t>.</w:t>
      </w:r>
    </w:p>
  </w:footnote>
  <w:footnote w:id="892">
    <w:p w14:paraId="6940B38B" w14:textId="0323563B" w:rsidR="00270F39" w:rsidRDefault="00270F39" w:rsidP="00270F39">
      <w:pPr>
        <w:pStyle w:val="Style1"/>
      </w:pPr>
      <w:r>
        <w:rPr>
          <w:rStyle w:val="FootnoteReference"/>
        </w:rPr>
        <w:footnoteRef/>
      </w:r>
      <w:r>
        <w:t xml:space="preserve"> </w:t>
      </w:r>
      <w:r w:rsidRPr="00B77CCD">
        <w:t xml:space="preserve">Monique Scheer, ‘Are emotions a kind of practice (and is that what makes them have a history)? A </w:t>
      </w:r>
      <w:proofErr w:type="spellStart"/>
      <w:r w:rsidRPr="00B77CCD">
        <w:t>Bourdieuian</w:t>
      </w:r>
      <w:proofErr w:type="spellEnd"/>
      <w:r w:rsidRPr="00B77CCD">
        <w:t xml:space="preserve"> approach to understanding emotion’, </w:t>
      </w:r>
      <w:r w:rsidRPr="00B77CCD">
        <w:rPr>
          <w:i/>
          <w:iCs/>
        </w:rPr>
        <w:t xml:space="preserve">History and Theory, </w:t>
      </w:r>
      <w:r w:rsidRPr="00B77CCD">
        <w:t>Vol. 52, No. 2, (2012), pp.193-220</w:t>
      </w:r>
      <w:r>
        <w:t>, p.204</w:t>
      </w:r>
      <w:r w:rsidR="006E7010">
        <w:t>.</w:t>
      </w:r>
    </w:p>
    <w:p w14:paraId="7234BF39" w14:textId="77777777" w:rsidR="00270F39" w:rsidRPr="008172E4" w:rsidRDefault="00270F39" w:rsidP="00270F39">
      <w:pPr>
        <w:pStyle w:val="FootnoteText"/>
      </w:pPr>
    </w:p>
  </w:footnote>
  <w:footnote w:id="893">
    <w:p w14:paraId="6C98E4D7" w14:textId="7DAFC456" w:rsidR="00270F39" w:rsidRPr="004127E3" w:rsidRDefault="00270F39" w:rsidP="00270F39">
      <w:pPr>
        <w:pStyle w:val="FootnoteText"/>
        <w:rPr>
          <w:rFonts w:cs="Calibri"/>
        </w:rPr>
      </w:pPr>
      <w:r w:rsidRPr="004127E3">
        <w:rPr>
          <w:rStyle w:val="FootnoteReference"/>
          <w:rFonts w:cs="Calibri"/>
        </w:rPr>
        <w:footnoteRef/>
      </w:r>
      <w:r w:rsidRPr="004127E3">
        <w:rPr>
          <w:rFonts w:cs="Calibri"/>
        </w:rPr>
        <w:t xml:space="preserve"> Theodore Schatzki, </w:t>
      </w:r>
      <w:r w:rsidRPr="004127E3">
        <w:rPr>
          <w:rFonts w:cs="Calibri"/>
          <w:i/>
          <w:iCs/>
        </w:rPr>
        <w:t xml:space="preserve">The Site of the Social: A Philosophical Exploration of the Constitution of Social Life and Change, </w:t>
      </w:r>
      <w:r w:rsidRPr="004127E3">
        <w:rPr>
          <w:rFonts w:cs="Calibri"/>
        </w:rPr>
        <w:t>(Pennsylvania, 2002);</w:t>
      </w:r>
      <w:r w:rsidRPr="004127E3">
        <w:rPr>
          <w:rFonts w:cs="Calibri"/>
          <w:i/>
          <w:iCs/>
        </w:rPr>
        <w:t xml:space="preserve"> </w:t>
      </w:r>
      <w:r w:rsidRPr="004127E3">
        <w:rPr>
          <w:rFonts w:cs="Calibri"/>
        </w:rPr>
        <w:t xml:space="preserve">Theodore Schatzki, ‘A primer on practices: theory and research’, in Joy Higgs, Ronald Barnett and Stephen Billett (eds), </w:t>
      </w:r>
      <w:r w:rsidRPr="004127E3">
        <w:rPr>
          <w:rFonts w:cs="Calibri"/>
          <w:i/>
          <w:iCs/>
        </w:rPr>
        <w:t xml:space="preserve">Practice-Based Education: Perspectives and Strategies, </w:t>
      </w:r>
      <w:r w:rsidRPr="004127E3">
        <w:rPr>
          <w:rFonts w:cs="Calibri"/>
        </w:rPr>
        <w:t>(Rotterdam, 2012), pp.13-26, p.15</w:t>
      </w:r>
      <w:r w:rsidR="006E7010">
        <w:rPr>
          <w:rFonts w:cs="Calibr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656"/>
    <w:multiLevelType w:val="hybridMultilevel"/>
    <w:tmpl w:val="B1E05FB4"/>
    <w:lvl w:ilvl="0" w:tplc="8A428E8A">
      <w:start w:val="1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F50A7"/>
    <w:multiLevelType w:val="hybridMultilevel"/>
    <w:tmpl w:val="840E8832"/>
    <w:lvl w:ilvl="0" w:tplc="3B6E513A">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761214"/>
    <w:multiLevelType w:val="hybridMultilevel"/>
    <w:tmpl w:val="B1E41502"/>
    <w:lvl w:ilvl="0" w:tplc="9546470A">
      <w:start w:val="12"/>
      <w:numFmt w:val="bullet"/>
      <w:lvlText w:val="-"/>
      <w:lvlJc w:val="left"/>
      <w:pPr>
        <w:ind w:left="1080" w:hanging="360"/>
      </w:pPr>
      <w:rPr>
        <w:rFonts w:ascii="Calibri" w:eastAsia="Times New Roman" w:hAnsi="Calibri" w:cs="Calibri"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A2A5B3A"/>
    <w:multiLevelType w:val="hybridMultilevel"/>
    <w:tmpl w:val="1F8A6B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763CB0"/>
    <w:multiLevelType w:val="hybridMultilevel"/>
    <w:tmpl w:val="DEC0F0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A6571FB"/>
    <w:multiLevelType w:val="hybridMultilevel"/>
    <w:tmpl w:val="F58C99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F277C79"/>
    <w:multiLevelType w:val="hybridMultilevel"/>
    <w:tmpl w:val="F39C6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B47EBC"/>
    <w:multiLevelType w:val="hybridMultilevel"/>
    <w:tmpl w:val="3CF84F56"/>
    <w:lvl w:ilvl="0" w:tplc="57D8656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6F2A7C"/>
    <w:multiLevelType w:val="hybridMultilevel"/>
    <w:tmpl w:val="A064A50A"/>
    <w:lvl w:ilvl="0" w:tplc="55DE83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C77150C"/>
    <w:multiLevelType w:val="hybridMultilevel"/>
    <w:tmpl w:val="AC6AD7C0"/>
    <w:lvl w:ilvl="0" w:tplc="3DD21C00">
      <w:start w:val="1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BC67AB"/>
    <w:multiLevelType w:val="hybridMultilevel"/>
    <w:tmpl w:val="BE3EFF06"/>
    <w:lvl w:ilvl="0" w:tplc="988E020C">
      <w:start w:val="1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2A1661"/>
    <w:multiLevelType w:val="hybridMultilevel"/>
    <w:tmpl w:val="B0BC8D4C"/>
    <w:lvl w:ilvl="0" w:tplc="0EB6DA6A">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122998">
    <w:abstractNumId w:val="3"/>
  </w:num>
  <w:num w:numId="2" w16cid:durableId="1231237138">
    <w:abstractNumId w:val="5"/>
  </w:num>
  <w:num w:numId="3" w16cid:durableId="1544751888">
    <w:abstractNumId w:val="6"/>
  </w:num>
  <w:num w:numId="4" w16cid:durableId="484126615">
    <w:abstractNumId w:val="8"/>
  </w:num>
  <w:num w:numId="5" w16cid:durableId="1066807717">
    <w:abstractNumId w:val="4"/>
  </w:num>
  <w:num w:numId="6" w16cid:durableId="917667529">
    <w:abstractNumId w:val="7"/>
  </w:num>
  <w:num w:numId="7" w16cid:durableId="860239485">
    <w:abstractNumId w:val="11"/>
  </w:num>
  <w:num w:numId="8" w16cid:durableId="1420322896">
    <w:abstractNumId w:val="9"/>
  </w:num>
  <w:num w:numId="9" w16cid:durableId="78675470">
    <w:abstractNumId w:val="0"/>
  </w:num>
  <w:num w:numId="10" w16cid:durableId="1815171762">
    <w:abstractNumId w:val="10"/>
  </w:num>
  <w:num w:numId="11" w16cid:durableId="1641881393">
    <w:abstractNumId w:val="2"/>
  </w:num>
  <w:num w:numId="12" w16cid:durableId="1275017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F1F48AC"/>
    <w:rsid w:val="000003EA"/>
    <w:rsid w:val="000004EF"/>
    <w:rsid w:val="000006C1"/>
    <w:rsid w:val="00001BEE"/>
    <w:rsid w:val="00004336"/>
    <w:rsid w:val="00004616"/>
    <w:rsid w:val="00006DC4"/>
    <w:rsid w:val="00007AAD"/>
    <w:rsid w:val="00007C1F"/>
    <w:rsid w:val="00007CB8"/>
    <w:rsid w:val="00010BF0"/>
    <w:rsid w:val="000117D7"/>
    <w:rsid w:val="00015875"/>
    <w:rsid w:val="000161C9"/>
    <w:rsid w:val="00017C45"/>
    <w:rsid w:val="00017D2E"/>
    <w:rsid w:val="0002003D"/>
    <w:rsid w:val="00020FCF"/>
    <w:rsid w:val="0002124C"/>
    <w:rsid w:val="00021795"/>
    <w:rsid w:val="00021E0B"/>
    <w:rsid w:val="000236A4"/>
    <w:rsid w:val="00023AC7"/>
    <w:rsid w:val="00024FF7"/>
    <w:rsid w:val="000269DE"/>
    <w:rsid w:val="000275BF"/>
    <w:rsid w:val="00027E3C"/>
    <w:rsid w:val="00030269"/>
    <w:rsid w:val="000302EE"/>
    <w:rsid w:val="000319EC"/>
    <w:rsid w:val="000322DF"/>
    <w:rsid w:val="00032C65"/>
    <w:rsid w:val="00033BFA"/>
    <w:rsid w:val="00033E2C"/>
    <w:rsid w:val="000345BD"/>
    <w:rsid w:val="0003492E"/>
    <w:rsid w:val="000360B8"/>
    <w:rsid w:val="00036407"/>
    <w:rsid w:val="000365EC"/>
    <w:rsid w:val="00036842"/>
    <w:rsid w:val="0004001E"/>
    <w:rsid w:val="00040E90"/>
    <w:rsid w:val="00041F1A"/>
    <w:rsid w:val="000435D6"/>
    <w:rsid w:val="000435E9"/>
    <w:rsid w:val="00043D56"/>
    <w:rsid w:val="00043E5B"/>
    <w:rsid w:val="00043F97"/>
    <w:rsid w:val="00044074"/>
    <w:rsid w:val="000455B3"/>
    <w:rsid w:val="00045A45"/>
    <w:rsid w:val="00045E07"/>
    <w:rsid w:val="00047A1E"/>
    <w:rsid w:val="00047AD0"/>
    <w:rsid w:val="000500F8"/>
    <w:rsid w:val="000511D8"/>
    <w:rsid w:val="00052C99"/>
    <w:rsid w:val="0005395C"/>
    <w:rsid w:val="00054521"/>
    <w:rsid w:val="00054720"/>
    <w:rsid w:val="00054EE2"/>
    <w:rsid w:val="00056A03"/>
    <w:rsid w:val="00056B43"/>
    <w:rsid w:val="00060749"/>
    <w:rsid w:val="000616BF"/>
    <w:rsid w:val="00062533"/>
    <w:rsid w:val="000626E6"/>
    <w:rsid w:val="00064147"/>
    <w:rsid w:val="0006415E"/>
    <w:rsid w:val="00066D4B"/>
    <w:rsid w:val="000700F5"/>
    <w:rsid w:val="00070590"/>
    <w:rsid w:val="00070EED"/>
    <w:rsid w:val="00071886"/>
    <w:rsid w:val="00072CE4"/>
    <w:rsid w:val="00073601"/>
    <w:rsid w:val="00073E31"/>
    <w:rsid w:val="00073F4F"/>
    <w:rsid w:val="00073F6A"/>
    <w:rsid w:val="00075216"/>
    <w:rsid w:val="000759F8"/>
    <w:rsid w:val="00080FD3"/>
    <w:rsid w:val="00081371"/>
    <w:rsid w:val="00082A86"/>
    <w:rsid w:val="00085C56"/>
    <w:rsid w:val="00086903"/>
    <w:rsid w:val="000871F0"/>
    <w:rsid w:val="00090B4C"/>
    <w:rsid w:val="00090F1E"/>
    <w:rsid w:val="00091115"/>
    <w:rsid w:val="0009116B"/>
    <w:rsid w:val="0009437A"/>
    <w:rsid w:val="00094676"/>
    <w:rsid w:val="0009498B"/>
    <w:rsid w:val="00095670"/>
    <w:rsid w:val="000959C9"/>
    <w:rsid w:val="00095A4A"/>
    <w:rsid w:val="00095DFD"/>
    <w:rsid w:val="000A18D5"/>
    <w:rsid w:val="000A203C"/>
    <w:rsid w:val="000A23E0"/>
    <w:rsid w:val="000A2981"/>
    <w:rsid w:val="000A2FA8"/>
    <w:rsid w:val="000A3144"/>
    <w:rsid w:val="000A527F"/>
    <w:rsid w:val="000A594C"/>
    <w:rsid w:val="000A59AD"/>
    <w:rsid w:val="000A638C"/>
    <w:rsid w:val="000A670C"/>
    <w:rsid w:val="000A6A68"/>
    <w:rsid w:val="000A6AFC"/>
    <w:rsid w:val="000A6FAB"/>
    <w:rsid w:val="000A7DA1"/>
    <w:rsid w:val="000B05C1"/>
    <w:rsid w:val="000B23D1"/>
    <w:rsid w:val="000B2548"/>
    <w:rsid w:val="000B25B0"/>
    <w:rsid w:val="000B28B8"/>
    <w:rsid w:val="000B340D"/>
    <w:rsid w:val="000B3D5D"/>
    <w:rsid w:val="000B6E1B"/>
    <w:rsid w:val="000C113A"/>
    <w:rsid w:val="000C113E"/>
    <w:rsid w:val="000C130A"/>
    <w:rsid w:val="000C1FCF"/>
    <w:rsid w:val="000C2460"/>
    <w:rsid w:val="000C3851"/>
    <w:rsid w:val="000C3AE4"/>
    <w:rsid w:val="000C4324"/>
    <w:rsid w:val="000D1174"/>
    <w:rsid w:val="000D2026"/>
    <w:rsid w:val="000D2DC1"/>
    <w:rsid w:val="000D320A"/>
    <w:rsid w:val="000D5B12"/>
    <w:rsid w:val="000D7B77"/>
    <w:rsid w:val="000E06FB"/>
    <w:rsid w:val="000E1092"/>
    <w:rsid w:val="000E18EF"/>
    <w:rsid w:val="000E26D4"/>
    <w:rsid w:val="000E27C9"/>
    <w:rsid w:val="000E2DE6"/>
    <w:rsid w:val="000E310C"/>
    <w:rsid w:val="000E4191"/>
    <w:rsid w:val="000E507F"/>
    <w:rsid w:val="000E558C"/>
    <w:rsid w:val="000E6058"/>
    <w:rsid w:val="000E6DE5"/>
    <w:rsid w:val="000E7A8E"/>
    <w:rsid w:val="000F0219"/>
    <w:rsid w:val="000F0972"/>
    <w:rsid w:val="000F271B"/>
    <w:rsid w:val="000F4E31"/>
    <w:rsid w:val="000F6289"/>
    <w:rsid w:val="000F635C"/>
    <w:rsid w:val="00100856"/>
    <w:rsid w:val="00100DE9"/>
    <w:rsid w:val="00101B5F"/>
    <w:rsid w:val="00102AE1"/>
    <w:rsid w:val="00103158"/>
    <w:rsid w:val="001041FE"/>
    <w:rsid w:val="00105130"/>
    <w:rsid w:val="001055F8"/>
    <w:rsid w:val="00105703"/>
    <w:rsid w:val="00105A6A"/>
    <w:rsid w:val="001071AB"/>
    <w:rsid w:val="00107F3E"/>
    <w:rsid w:val="00110269"/>
    <w:rsid w:val="00110634"/>
    <w:rsid w:val="00110A74"/>
    <w:rsid w:val="00110FD1"/>
    <w:rsid w:val="00112066"/>
    <w:rsid w:val="00112385"/>
    <w:rsid w:val="00112815"/>
    <w:rsid w:val="00112833"/>
    <w:rsid w:val="001130FE"/>
    <w:rsid w:val="0011387F"/>
    <w:rsid w:val="001147BC"/>
    <w:rsid w:val="001150BA"/>
    <w:rsid w:val="00115892"/>
    <w:rsid w:val="001173A0"/>
    <w:rsid w:val="00117D5F"/>
    <w:rsid w:val="00121BF8"/>
    <w:rsid w:val="00121CAC"/>
    <w:rsid w:val="00121CFA"/>
    <w:rsid w:val="00123680"/>
    <w:rsid w:val="00123F75"/>
    <w:rsid w:val="00124160"/>
    <w:rsid w:val="001241A4"/>
    <w:rsid w:val="001254B5"/>
    <w:rsid w:val="001258BC"/>
    <w:rsid w:val="00126E4B"/>
    <w:rsid w:val="00127ABD"/>
    <w:rsid w:val="0013030D"/>
    <w:rsid w:val="00130B08"/>
    <w:rsid w:val="00130F53"/>
    <w:rsid w:val="0013175B"/>
    <w:rsid w:val="0013265C"/>
    <w:rsid w:val="0013298E"/>
    <w:rsid w:val="00132FB0"/>
    <w:rsid w:val="001338BE"/>
    <w:rsid w:val="00133C27"/>
    <w:rsid w:val="00134976"/>
    <w:rsid w:val="0013580B"/>
    <w:rsid w:val="00135E94"/>
    <w:rsid w:val="00140FD1"/>
    <w:rsid w:val="00141232"/>
    <w:rsid w:val="00141775"/>
    <w:rsid w:val="00141A1C"/>
    <w:rsid w:val="00141DF7"/>
    <w:rsid w:val="00142ED3"/>
    <w:rsid w:val="001442E5"/>
    <w:rsid w:val="00144DA9"/>
    <w:rsid w:val="0014596A"/>
    <w:rsid w:val="0014774B"/>
    <w:rsid w:val="00147BEF"/>
    <w:rsid w:val="00150256"/>
    <w:rsid w:val="00150F71"/>
    <w:rsid w:val="0015343A"/>
    <w:rsid w:val="001534A5"/>
    <w:rsid w:val="00153F8E"/>
    <w:rsid w:val="001546A1"/>
    <w:rsid w:val="00155604"/>
    <w:rsid w:val="00155A58"/>
    <w:rsid w:val="00155E46"/>
    <w:rsid w:val="00161053"/>
    <w:rsid w:val="001614D5"/>
    <w:rsid w:val="001627A6"/>
    <w:rsid w:val="0016284C"/>
    <w:rsid w:val="00164F5D"/>
    <w:rsid w:val="001658CF"/>
    <w:rsid w:val="00166031"/>
    <w:rsid w:val="00166628"/>
    <w:rsid w:val="00166F60"/>
    <w:rsid w:val="001704FB"/>
    <w:rsid w:val="00170DF5"/>
    <w:rsid w:val="00171132"/>
    <w:rsid w:val="00171290"/>
    <w:rsid w:val="00171B7A"/>
    <w:rsid w:val="00171ED7"/>
    <w:rsid w:val="001730D7"/>
    <w:rsid w:val="00173BD6"/>
    <w:rsid w:val="00174754"/>
    <w:rsid w:val="00175F1E"/>
    <w:rsid w:val="001807A5"/>
    <w:rsid w:val="001826C6"/>
    <w:rsid w:val="00183CBF"/>
    <w:rsid w:val="00183E98"/>
    <w:rsid w:val="00185AB7"/>
    <w:rsid w:val="00186351"/>
    <w:rsid w:val="001868DC"/>
    <w:rsid w:val="00186A17"/>
    <w:rsid w:val="00190026"/>
    <w:rsid w:val="00190128"/>
    <w:rsid w:val="00190390"/>
    <w:rsid w:val="00190E3E"/>
    <w:rsid w:val="00191784"/>
    <w:rsid w:val="00192E62"/>
    <w:rsid w:val="00193714"/>
    <w:rsid w:val="00194781"/>
    <w:rsid w:val="00195012"/>
    <w:rsid w:val="00195C9A"/>
    <w:rsid w:val="0019679E"/>
    <w:rsid w:val="001A0846"/>
    <w:rsid w:val="001A0FC2"/>
    <w:rsid w:val="001A23AF"/>
    <w:rsid w:val="001A23C1"/>
    <w:rsid w:val="001A733F"/>
    <w:rsid w:val="001A779F"/>
    <w:rsid w:val="001B2834"/>
    <w:rsid w:val="001B2CFA"/>
    <w:rsid w:val="001B3D9D"/>
    <w:rsid w:val="001B470F"/>
    <w:rsid w:val="001B598C"/>
    <w:rsid w:val="001B64AA"/>
    <w:rsid w:val="001B6FE7"/>
    <w:rsid w:val="001B71CA"/>
    <w:rsid w:val="001B763D"/>
    <w:rsid w:val="001C1180"/>
    <w:rsid w:val="001C13F8"/>
    <w:rsid w:val="001C4063"/>
    <w:rsid w:val="001C41E1"/>
    <w:rsid w:val="001C5C22"/>
    <w:rsid w:val="001D0571"/>
    <w:rsid w:val="001D28E9"/>
    <w:rsid w:val="001D4976"/>
    <w:rsid w:val="001D6EDA"/>
    <w:rsid w:val="001D75CE"/>
    <w:rsid w:val="001E062E"/>
    <w:rsid w:val="001E0880"/>
    <w:rsid w:val="001E122D"/>
    <w:rsid w:val="001E15DF"/>
    <w:rsid w:val="001E18D2"/>
    <w:rsid w:val="001E1E42"/>
    <w:rsid w:val="001E35DB"/>
    <w:rsid w:val="001E3BBC"/>
    <w:rsid w:val="001E455F"/>
    <w:rsid w:val="001E50E9"/>
    <w:rsid w:val="001E5553"/>
    <w:rsid w:val="001E7D1D"/>
    <w:rsid w:val="001F0320"/>
    <w:rsid w:val="001F26DB"/>
    <w:rsid w:val="001F3186"/>
    <w:rsid w:val="001F37BE"/>
    <w:rsid w:val="001F4F1E"/>
    <w:rsid w:val="001F5093"/>
    <w:rsid w:val="001F76FA"/>
    <w:rsid w:val="002001C6"/>
    <w:rsid w:val="00200469"/>
    <w:rsid w:val="00200654"/>
    <w:rsid w:val="00200BB8"/>
    <w:rsid w:val="00202A05"/>
    <w:rsid w:val="00203E23"/>
    <w:rsid w:val="00204368"/>
    <w:rsid w:val="0020436D"/>
    <w:rsid w:val="0020472D"/>
    <w:rsid w:val="00204D9F"/>
    <w:rsid w:val="00206279"/>
    <w:rsid w:val="002067CB"/>
    <w:rsid w:val="00210E87"/>
    <w:rsid w:val="002124E3"/>
    <w:rsid w:val="00212548"/>
    <w:rsid w:val="00212631"/>
    <w:rsid w:val="00212921"/>
    <w:rsid w:val="0021612B"/>
    <w:rsid w:val="0021635D"/>
    <w:rsid w:val="00216C7F"/>
    <w:rsid w:val="00216FF7"/>
    <w:rsid w:val="00217E04"/>
    <w:rsid w:val="002202BA"/>
    <w:rsid w:val="00220A86"/>
    <w:rsid w:val="00222BBD"/>
    <w:rsid w:val="0022380B"/>
    <w:rsid w:val="00223977"/>
    <w:rsid w:val="002239EE"/>
    <w:rsid w:val="002254C7"/>
    <w:rsid w:val="00225C30"/>
    <w:rsid w:val="0022603F"/>
    <w:rsid w:val="002267EC"/>
    <w:rsid w:val="00227939"/>
    <w:rsid w:val="00227967"/>
    <w:rsid w:val="002304EA"/>
    <w:rsid w:val="002312CF"/>
    <w:rsid w:val="00232A6B"/>
    <w:rsid w:val="00233A16"/>
    <w:rsid w:val="00233DAA"/>
    <w:rsid w:val="00233DDA"/>
    <w:rsid w:val="00233F54"/>
    <w:rsid w:val="002351C3"/>
    <w:rsid w:val="00236BFB"/>
    <w:rsid w:val="002376E8"/>
    <w:rsid w:val="0023789A"/>
    <w:rsid w:val="0024124B"/>
    <w:rsid w:val="00242959"/>
    <w:rsid w:val="00243215"/>
    <w:rsid w:val="00243439"/>
    <w:rsid w:val="002438F7"/>
    <w:rsid w:val="002452E9"/>
    <w:rsid w:val="00245EB7"/>
    <w:rsid w:val="00245F28"/>
    <w:rsid w:val="0024748C"/>
    <w:rsid w:val="00251772"/>
    <w:rsid w:val="00251806"/>
    <w:rsid w:val="002519CA"/>
    <w:rsid w:val="00252412"/>
    <w:rsid w:val="0025333A"/>
    <w:rsid w:val="0025388E"/>
    <w:rsid w:val="00253E11"/>
    <w:rsid w:val="00261B6F"/>
    <w:rsid w:val="00262048"/>
    <w:rsid w:val="00262D96"/>
    <w:rsid w:val="00263259"/>
    <w:rsid w:val="0026424E"/>
    <w:rsid w:val="002650D5"/>
    <w:rsid w:val="00270242"/>
    <w:rsid w:val="00270E7E"/>
    <w:rsid w:val="00270F39"/>
    <w:rsid w:val="0027366E"/>
    <w:rsid w:val="00274212"/>
    <w:rsid w:val="0027424D"/>
    <w:rsid w:val="00275146"/>
    <w:rsid w:val="0027688E"/>
    <w:rsid w:val="002801CB"/>
    <w:rsid w:val="00281068"/>
    <w:rsid w:val="002810CB"/>
    <w:rsid w:val="00281294"/>
    <w:rsid w:val="00281FC5"/>
    <w:rsid w:val="00282314"/>
    <w:rsid w:val="0028398D"/>
    <w:rsid w:val="002842E4"/>
    <w:rsid w:val="00284B0A"/>
    <w:rsid w:val="00284FC7"/>
    <w:rsid w:val="00286329"/>
    <w:rsid w:val="002869AB"/>
    <w:rsid w:val="002876C4"/>
    <w:rsid w:val="0028793F"/>
    <w:rsid w:val="00290BC8"/>
    <w:rsid w:val="00290EC2"/>
    <w:rsid w:val="00292037"/>
    <w:rsid w:val="0029223D"/>
    <w:rsid w:val="00294562"/>
    <w:rsid w:val="00294603"/>
    <w:rsid w:val="0029554C"/>
    <w:rsid w:val="0029622D"/>
    <w:rsid w:val="002974B3"/>
    <w:rsid w:val="002A034A"/>
    <w:rsid w:val="002A09D3"/>
    <w:rsid w:val="002A1EB2"/>
    <w:rsid w:val="002A2698"/>
    <w:rsid w:val="002A41CE"/>
    <w:rsid w:val="002A5EF2"/>
    <w:rsid w:val="002A782A"/>
    <w:rsid w:val="002A7FE1"/>
    <w:rsid w:val="002B114D"/>
    <w:rsid w:val="002B1667"/>
    <w:rsid w:val="002B364D"/>
    <w:rsid w:val="002B4625"/>
    <w:rsid w:val="002B4F18"/>
    <w:rsid w:val="002B60A8"/>
    <w:rsid w:val="002B6278"/>
    <w:rsid w:val="002B683E"/>
    <w:rsid w:val="002B6C4E"/>
    <w:rsid w:val="002C029B"/>
    <w:rsid w:val="002C0896"/>
    <w:rsid w:val="002C0ECC"/>
    <w:rsid w:val="002C1136"/>
    <w:rsid w:val="002C17E7"/>
    <w:rsid w:val="002C188E"/>
    <w:rsid w:val="002C21C2"/>
    <w:rsid w:val="002C492F"/>
    <w:rsid w:val="002C5ECA"/>
    <w:rsid w:val="002C6A61"/>
    <w:rsid w:val="002C71B4"/>
    <w:rsid w:val="002C7FB6"/>
    <w:rsid w:val="002D15AC"/>
    <w:rsid w:val="002D3EF6"/>
    <w:rsid w:val="002D45CE"/>
    <w:rsid w:val="002D757D"/>
    <w:rsid w:val="002E2F7B"/>
    <w:rsid w:val="002E327A"/>
    <w:rsid w:val="002E5E95"/>
    <w:rsid w:val="002E7679"/>
    <w:rsid w:val="002E7E73"/>
    <w:rsid w:val="002F014C"/>
    <w:rsid w:val="002F061A"/>
    <w:rsid w:val="002F07B9"/>
    <w:rsid w:val="002F1731"/>
    <w:rsid w:val="002F19EB"/>
    <w:rsid w:val="002F211B"/>
    <w:rsid w:val="002F2480"/>
    <w:rsid w:val="002F26F9"/>
    <w:rsid w:val="002F7334"/>
    <w:rsid w:val="003003B7"/>
    <w:rsid w:val="00300EE4"/>
    <w:rsid w:val="0030145C"/>
    <w:rsid w:val="00301B69"/>
    <w:rsid w:val="00302D44"/>
    <w:rsid w:val="00302E6C"/>
    <w:rsid w:val="003030B4"/>
    <w:rsid w:val="00305A80"/>
    <w:rsid w:val="00305CD8"/>
    <w:rsid w:val="00305FE6"/>
    <w:rsid w:val="00310B3B"/>
    <w:rsid w:val="00310FED"/>
    <w:rsid w:val="00311036"/>
    <w:rsid w:val="00312521"/>
    <w:rsid w:val="00313B9C"/>
    <w:rsid w:val="00314356"/>
    <w:rsid w:val="00314650"/>
    <w:rsid w:val="00315862"/>
    <w:rsid w:val="0031670B"/>
    <w:rsid w:val="00316A8E"/>
    <w:rsid w:val="00316D7A"/>
    <w:rsid w:val="003173D5"/>
    <w:rsid w:val="0032097B"/>
    <w:rsid w:val="00321774"/>
    <w:rsid w:val="00321A44"/>
    <w:rsid w:val="00324BF6"/>
    <w:rsid w:val="003272CC"/>
    <w:rsid w:val="0033119D"/>
    <w:rsid w:val="003313F7"/>
    <w:rsid w:val="00333E6A"/>
    <w:rsid w:val="00334EA0"/>
    <w:rsid w:val="0033507A"/>
    <w:rsid w:val="003362DE"/>
    <w:rsid w:val="00336F38"/>
    <w:rsid w:val="003402C7"/>
    <w:rsid w:val="00340664"/>
    <w:rsid w:val="00344D5B"/>
    <w:rsid w:val="00344E2A"/>
    <w:rsid w:val="0034503B"/>
    <w:rsid w:val="0034542B"/>
    <w:rsid w:val="003458DF"/>
    <w:rsid w:val="0034782E"/>
    <w:rsid w:val="00350383"/>
    <w:rsid w:val="003518B4"/>
    <w:rsid w:val="003521FC"/>
    <w:rsid w:val="0035631D"/>
    <w:rsid w:val="00356D5C"/>
    <w:rsid w:val="00356E7C"/>
    <w:rsid w:val="00357743"/>
    <w:rsid w:val="00357918"/>
    <w:rsid w:val="003605D9"/>
    <w:rsid w:val="003632E5"/>
    <w:rsid w:val="00363AF5"/>
    <w:rsid w:val="00365D06"/>
    <w:rsid w:val="00371074"/>
    <w:rsid w:val="00372488"/>
    <w:rsid w:val="0037268B"/>
    <w:rsid w:val="0037278A"/>
    <w:rsid w:val="0037354F"/>
    <w:rsid w:val="0037443C"/>
    <w:rsid w:val="0037469E"/>
    <w:rsid w:val="00375046"/>
    <w:rsid w:val="0037520A"/>
    <w:rsid w:val="00375B82"/>
    <w:rsid w:val="003777CA"/>
    <w:rsid w:val="00377C26"/>
    <w:rsid w:val="0038000F"/>
    <w:rsid w:val="003804B9"/>
    <w:rsid w:val="003808D3"/>
    <w:rsid w:val="003809C5"/>
    <w:rsid w:val="00381612"/>
    <w:rsid w:val="003820D2"/>
    <w:rsid w:val="003821A5"/>
    <w:rsid w:val="00382623"/>
    <w:rsid w:val="00382F21"/>
    <w:rsid w:val="00383909"/>
    <w:rsid w:val="00383EE3"/>
    <w:rsid w:val="0038425E"/>
    <w:rsid w:val="003849FF"/>
    <w:rsid w:val="00384BD1"/>
    <w:rsid w:val="00385F0D"/>
    <w:rsid w:val="00387E39"/>
    <w:rsid w:val="00391186"/>
    <w:rsid w:val="00391E61"/>
    <w:rsid w:val="0039255B"/>
    <w:rsid w:val="00393825"/>
    <w:rsid w:val="0039384B"/>
    <w:rsid w:val="00393C6C"/>
    <w:rsid w:val="00394512"/>
    <w:rsid w:val="0039453B"/>
    <w:rsid w:val="00394BA5"/>
    <w:rsid w:val="003962B1"/>
    <w:rsid w:val="00396B4A"/>
    <w:rsid w:val="00396D7D"/>
    <w:rsid w:val="00397AB6"/>
    <w:rsid w:val="00397B91"/>
    <w:rsid w:val="00397BB1"/>
    <w:rsid w:val="003A0B48"/>
    <w:rsid w:val="003A245A"/>
    <w:rsid w:val="003A3C5C"/>
    <w:rsid w:val="003A3F6C"/>
    <w:rsid w:val="003A412E"/>
    <w:rsid w:val="003A518C"/>
    <w:rsid w:val="003A5661"/>
    <w:rsid w:val="003A756F"/>
    <w:rsid w:val="003A7ADE"/>
    <w:rsid w:val="003B024A"/>
    <w:rsid w:val="003B15C5"/>
    <w:rsid w:val="003B1D2B"/>
    <w:rsid w:val="003B1E17"/>
    <w:rsid w:val="003B2B46"/>
    <w:rsid w:val="003B3831"/>
    <w:rsid w:val="003B4249"/>
    <w:rsid w:val="003B431C"/>
    <w:rsid w:val="003B499E"/>
    <w:rsid w:val="003B51F3"/>
    <w:rsid w:val="003B5B8B"/>
    <w:rsid w:val="003B6363"/>
    <w:rsid w:val="003B74C2"/>
    <w:rsid w:val="003B760F"/>
    <w:rsid w:val="003B76C2"/>
    <w:rsid w:val="003C077F"/>
    <w:rsid w:val="003C1596"/>
    <w:rsid w:val="003C22D6"/>
    <w:rsid w:val="003C268F"/>
    <w:rsid w:val="003C29C8"/>
    <w:rsid w:val="003C29F7"/>
    <w:rsid w:val="003C2EBF"/>
    <w:rsid w:val="003C353E"/>
    <w:rsid w:val="003C39C5"/>
    <w:rsid w:val="003C403C"/>
    <w:rsid w:val="003C6A37"/>
    <w:rsid w:val="003D05AD"/>
    <w:rsid w:val="003D0711"/>
    <w:rsid w:val="003D0FC6"/>
    <w:rsid w:val="003D24A7"/>
    <w:rsid w:val="003D25D2"/>
    <w:rsid w:val="003D27B8"/>
    <w:rsid w:val="003D39FD"/>
    <w:rsid w:val="003D48B3"/>
    <w:rsid w:val="003D5247"/>
    <w:rsid w:val="003D5D88"/>
    <w:rsid w:val="003D6414"/>
    <w:rsid w:val="003D6B15"/>
    <w:rsid w:val="003D7950"/>
    <w:rsid w:val="003E0378"/>
    <w:rsid w:val="003E09ED"/>
    <w:rsid w:val="003E0ACE"/>
    <w:rsid w:val="003E0C6D"/>
    <w:rsid w:val="003E0F7C"/>
    <w:rsid w:val="003E3241"/>
    <w:rsid w:val="003E44F8"/>
    <w:rsid w:val="003E5977"/>
    <w:rsid w:val="003E6142"/>
    <w:rsid w:val="003E66F7"/>
    <w:rsid w:val="003E719F"/>
    <w:rsid w:val="003E759C"/>
    <w:rsid w:val="003E7A09"/>
    <w:rsid w:val="003F0823"/>
    <w:rsid w:val="003F0AE1"/>
    <w:rsid w:val="003F1355"/>
    <w:rsid w:val="003F357C"/>
    <w:rsid w:val="003F3E97"/>
    <w:rsid w:val="003F4303"/>
    <w:rsid w:val="003F4434"/>
    <w:rsid w:val="003F4A18"/>
    <w:rsid w:val="003F521B"/>
    <w:rsid w:val="003F5820"/>
    <w:rsid w:val="003F6130"/>
    <w:rsid w:val="003F7D07"/>
    <w:rsid w:val="004002DA"/>
    <w:rsid w:val="0040042D"/>
    <w:rsid w:val="00400762"/>
    <w:rsid w:val="00400A61"/>
    <w:rsid w:val="00401DA5"/>
    <w:rsid w:val="00402A89"/>
    <w:rsid w:val="00404026"/>
    <w:rsid w:val="004061AC"/>
    <w:rsid w:val="004066B7"/>
    <w:rsid w:val="004067FD"/>
    <w:rsid w:val="004070D6"/>
    <w:rsid w:val="00410E08"/>
    <w:rsid w:val="00410EB7"/>
    <w:rsid w:val="00411187"/>
    <w:rsid w:val="0041127E"/>
    <w:rsid w:val="0041265D"/>
    <w:rsid w:val="00414DA3"/>
    <w:rsid w:val="00416AD8"/>
    <w:rsid w:val="00417A11"/>
    <w:rsid w:val="00417BB4"/>
    <w:rsid w:val="004228B8"/>
    <w:rsid w:val="004231B4"/>
    <w:rsid w:val="004236E5"/>
    <w:rsid w:val="004255D1"/>
    <w:rsid w:val="004263F0"/>
    <w:rsid w:val="004270DF"/>
    <w:rsid w:val="00430706"/>
    <w:rsid w:val="004317BA"/>
    <w:rsid w:val="00431A88"/>
    <w:rsid w:val="004337CE"/>
    <w:rsid w:val="0043454B"/>
    <w:rsid w:val="0043513D"/>
    <w:rsid w:val="00435481"/>
    <w:rsid w:val="00435EF5"/>
    <w:rsid w:val="00436015"/>
    <w:rsid w:val="00436422"/>
    <w:rsid w:val="00436E29"/>
    <w:rsid w:val="00437E3E"/>
    <w:rsid w:val="00437EA8"/>
    <w:rsid w:val="004407B6"/>
    <w:rsid w:val="00440C05"/>
    <w:rsid w:val="00440C51"/>
    <w:rsid w:val="00442AD3"/>
    <w:rsid w:val="0044369E"/>
    <w:rsid w:val="00443FA2"/>
    <w:rsid w:val="0044581A"/>
    <w:rsid w:val="0044774E"/>
    <w:rsid w:val="00451BC3"/>
    <w:rsid w:val="004520D2"/>
    <w:rsid w:val="00456338"/>
    <w:rsid w:val="00456F62"/>
    <w:rsid w:val="0045722C"/>
    <w:rsid w:val="00457451"/>
    <w:rsid w:val="00461014"/>
    <w:rsid w:val="00463FB4"/>
    <w:rsid w:val="00465855"/>
    <w:rsid w:val="00465A26"/>
    <w:rsid w:val="0046633B"/>
    <w:rsid w:val="004702AD"/>
    <w:rsid w:val="004708A3"/>
    <w:rsid w:val="00470AE7"/>
    <w:rsid w:val="004717F9"/>
    <w:rsid w:val="00471814"/>
    <w:rsid w:val="0047230C"/>
    <w:rsid w:val="00472821"/>
    <w:rsid w:val="00473432"/>
    <w:rsid w:val="00474E50"/>
    <w:rsid w:val="004750C4"/>
    <w:rsid w:val="00476714"/>
    <w:rsid w:val="004770C3"/>
    <w:rsid w:val="00480A7D"/>
    <w:rsid w:val="004823F5"/>
    <w:rsid w:val="00482812"/>
    <w:rsid w:val="00484E6D"/>
    <w:rsid w:val="0048560E"/>
    <w:rsid w:val="00485B13"/>
    <w:rsid w:val="004863C9"/>
    <w:rsid w:val="00487A11"/>
    <w:rsid w:val="00491254"/>
    <w:rsid w:val="0049174D"/>
    <w:rsid w:val="00491769"/>
    <w:rsid w:val="00492D1D"/>
    <w:rsid w:val="00492D6C"/>
    <w:rsid w:val="00493FD2"/>
    <w:rsid w:val="004944E0"/>
    <w:rsid w:val="00494654"/>
    <w:rsid w:val="00494843"/>
    <w:rsid w:val="00494D4B"/>
    <w:rsid w:val="004950AC"/>
    <w:rsid w:val="0049598E"/>
    <w:rsid w:val="00495FB8"/>
    <w:rsid w:val="0049650E"/>
    <w:rsid w:val="00496B79"/>
    <w:rsid w:val="00497338"/>
    <w:rsid w:val="004A1435"/>
    <w:rsid w:val="004A2CEF"/>
    <w:rsid w:val="004A5AE2"/>
    <w:rsid w:val="004A608B"/>
    <w:rsid w:val="004A71DF"/>
    <w:rsid w:val="004A779B"/>
    <w:rsid w:val="004A792B"/>
    <w:rsid w:val="004B08C2"/>
    <w:rsid w:val="004B1CAA"/>
    <w:rsid w:val="004B1EA2"/>
    <w:rsid w:val="004B45BF"/>
    <w:rsid w:val="004B4D48"/>
    <w:rsid w:val="004B4EAF"/>
    <w:rsid w:val="004B5580"/>
    <w:rsid w:val="004B643E"/>
    <w:rsid w:val="004B6626"/>
    <w:rsid w:val="004B676C"/>
    <w:rsid w:val="004B75AA"/>
    <w:rsid w:val="004C1551"/>
    <w:rsid w:val="004C5C86"/>
    <w:rsid w:val="004C65F9"/>
    <w:rsid w:val="004C7793"/>
    <w:rsid w:val="004C7A47"/>
    <w:rsid w:val="004D0EDD"/>
    <w:rsid w:val="004D10B1"/>
    <w:rsid w:val="004D13A1"/>
    <w:rsid w:val="004D2207"/>
    <w:rsid w:val="004D2247"/>
    <w:rsid w:val="004D3CE4"/>
    <w:rsid w:val="004D486C"/>
    <w:rsid w:val="004D508C"/>
    <w:rsid w:val="004D5369"/>
    <w:rsid w:val="004D57AF"/>
    <w:rsid w:val="004D65F3"/>
    <w:rsid w:val="004D7F5D"/>
    <w:rsid w:val="004E07ED"/>
    <w:rsid w:val="004E09B7"/>
    <w:rsid w:val="004E111B"/>
    <w:rsid w:val="004E1775"/>
    <w:rsid w:val="004E1A7E"/>
    <w:rsid w:val="004E2A26"/>
    <w:rsid w:val="004E5BFE"/>
    <w:rsid w:val="004E67E3"/>
    <w:rsid w:val="004E6968"/>
    <w:rsid w:val="004E70DA"/>
    <w:rsid w:val="004E745B"/>
    <w:rsid w:val="004E7A28"/>
    <w:rsid w:val="004F0827"/>
    <w:rsid w:val="004F1ADB"/>
    <w:rsid w:val="004F3C00"/>
    <w:rsid w:val="004F3C2B"/>
    <w:rsid w:val="004F44AE"/>
    <w:rsid w:val="004F777D"/>
    <w:rsid w:val="004F7E2E"/>
    <w:rsid w:val="0050065E"/>
    <w:rsid w:val="00501F89"/>
    <w:rsid w:val="005022C8"/>
    <w:rsid w:val="00505448"/>
    <w:rsid w:val="005077A5"/>
    <w:rsid w:val="00507A99"/>
    <w:rsid w:val="005103A3"/>
    <w:rsid w:val="00510D9B"/>
    <w:rsid w:val="0051202F"/>
    <w:rsid w:val="00516823"/>
    <w:rsid w:val="005175B4"/>
    <w:rsid w:val="00523305"/>
    <w:rsid w:val="00523C33"/>
    <w:rsid w:val="00523CAD"/>
    <w:rsid w:val="00523EF7"/>
    <w:rsid w:val="00524303"/>
    <w:rsid w:val="0052572D"/>
    <w:rsid w:val="00525C35"/>
    <w:rsid w:val="00526B35"/>
    <w:rsid w:val="00527046"/>
    <w:rsid w:val="00527BDF"/>
    <w:rsid w:val="00530416"/>
    <w:rsid w:val="0053221F"/>
    <w:rsid w:val="00532422"/>
    <w:rsid w:val="005325E9"/>
    <w:rsid w:val="0053261F"/>
    <w:rsid w:val="00533082"/>
    <w:rsid w:val="00534A8E"/>
    <w:rsid w:val="00534DAD"/>
    <w:rsid w:val="005353CA"/>
    <w:rsid w:val="0053738A"/>
    <w:rsid w:val="00540005"/>
    <w:rsid w:val="00543D4B"/>
    <w:rsid w:val="00545112"/>
    <w:rsid w:val="00546E24"/>
    <w:rsid w:val="005471E2"/>
    <w:rsid w:val="0054733A"/>
    <w:rsid w:val="00550200"/>
    <w:rsid w:val="00552DB1"/>
    <w:rsid w:val="0055308E"/>
    <w:rsid w:val="005534AC"/>
    <w:rsid w:val="005535F2"/>
    <w:rsid w:val="0055469B"/>
    <w:rsid w:val="00554A60"/>
    <w:rsid w:val="00554F83"/>
    <w:rsid w:val="00555515"/>
    <w:rsid w:val="0055612B"/>
    <w:rsid w:val="00556C72"/>
    <w:rsid w:val="00557D88"/>
    <w:rsid w:val="00561AAA"/>
    <w:rsid w:val="0056492E"/>
    <w:rsid w:val="005650B8"/>
    <w:rsid w:val="00565AAB"/>
    <w:rsid w:val="005663C3"/>
    <w:rsid w:val="00570018"/>
    <w:rsid w:val="00571DAA"/>
    <w:rsid w:val="005725DE"/>
    <w:rsid w:val="00574F21"/>
    <w:rsid w:val="005767A1"/>
    <w:rsid w:val="005768E4"/>
    <w:rsid w:val="00576CB4"/>
    <w:rsid w:val="00580B70"/>
    <w:rsid w:val="005812EE"/>
    <w:rsid w:val="00582C47"/>
    <w:rsid w:val="00584A25"/>
    <w:rsid w:val="00584C1F"/>
    <w:rsid w:val="00585958"/>
    <w:rsid w:val="00586571"/>
    <w:rsid w:val="005874F7"/>
    <w:rsid w:val="00591D92"/>
    <w:rsid w:val="005941E9"/>
    <w:rsid w:val="00595B49"/>
    <w:rsid w:val="00596027"/>
    <w:rsid w:val="005961FE"/>
    <w:rsid w:val="00596B74"/>
    <w:rsid w:val="00596FE9"/>
    <w:rsid w:val="0059753F"/>
    <w:rsid w:val="005A0044"/>
    <w:rsid w:val="005A039E"/>
    <w:rsid w:val="005A103A"/>
    <w:rsid w:val="005A1342"/>
    <w:rsid w:val="005A2316"/>
    <w:rsid w:val="005A28BC"/>
    <w:rsid w:val="005A3438"/>
    <w:rsid w:val="005A492A"/>
    <w:rsid w:val="005A5065"/>
    <w:rsid w:val="005A57CA"/>
    <w:rsid w:val="005A6659"/>
    <w:rsid w:val="005B0FCE"/>
    <w:rsid w:val="005B1097"/>
    <w:rsid w:val="005B1290"/>
    <w:rsid w:val="005B18E8"/>
    <w:rsid w:val="005B205C"/>
    <w:rsid w:val="005B2FB7"/>
    <w:rsid w:val="005B409A"/>
    <w:rsid w:val="005B43C4"/>
    <w:rsid w:val="005B4421"/>
    <w:rsid w:val="005B4BE7"/>
    <w:rsid w:val="005B60A7"/>
    <w:rsid w:val="005B67D0"/>
    <w:rsid w:val="005B6D53"/>
    <w:rsid w:val="005B76D9"/>
    <w:rsid w:val="005C126F"/>
    <w:rsid w:val="005C1662"/>
    <w:rsid w:val="005C1A23"/>
    <w:rsid w:val="005C4826"/>
    <w:rsid w:val="005C4B7A"/>
    <w:rsid w:val="005C50A7"/>
    <w:rsid w:val="005C7C7E"/>
    <w:rsid w:val="005C7D79"/>
    <w:rsid w:val="005D10D4"/>
    <w:rsid w:val="005D19A1"/>
    <w:rsid w:val="005D2402"/>
    <w:rsid w:val="005D3B22"/>
    <w:rsid w:val="005D4176"/>
    <w:rsid w:val="005D4D35"/>
    <w:rsid w:val="005D55DB"/>
    <w:rsid w:val="005D5C46"/>
    <w:rsid w:val="005D7A8E"/>
    <w:rsid w:val="005E0B52"/>
    <w:rsid w:val="005E0BAD"/>
    <w:rsid w:val="005E1498"/>
    <w:rsid w:val="005E31D2"/>
    <w:rsid w:val="005E321B"/>
    <w:rsid w:val="005E4928"/>
    <w:rsid w:val="005E4B61"/>
    <w:rsid w:val="005E4BB7"/>
    <w:rsid w:val="005E59B5"/>
    <w:rsid w:val="005E6903"/>
    <w:rsid w:val="005E6C01"/>
    <w:rsid w:val="005E7139"/>
    <w:rsid w:val="005F02FA"/>
    <w:rsid w:val="005F0BD8"/>
    <w:rsid w:val="005F1389"/>
    <w:rsid w:val="005F1927"/>
    <w:rsid w:val="005F275A"/>
    <w:rsid w:val="005F37EF"/>
    <w:rsid w:val="005F3A67"/>
    <w:rsid w:val="005F3CD0"/>
    <w:rsid w:val="005F4A19"/>
    <w:rsid w:val="005F4EA1"/>
    <w:rsid w:val="005F5CAA"/>
    <w:rsid w:val="005F5E67"/>
    <w:rsid w:val="005F674B"/>
    <w:rsid w:val="005F6FC9"/>
    <w:rsid w:val="005F7162"/>
    <w:rsid w:val="00600769"/>
    <w:rsid w:val="006010EF"/>
    <w:rsid w:val="006013FB"/>
    <w:rsid w:val="00603EA5"/>
    <w:rsid w:val="00603FDB"/>
    <w:rsid w:val="00604BF5"/>
    <w:rsid w:val="00604E42"/>
    <w:rsid w:val="006054FC"/>
    <w:rsid w:val="00605898"/>
    <w:rsid w:val="00606FF9"/>
    <w:rsid w:val="00607162"/>
    <w:rsid w:val="00607C2B"/>
    <w:rsid w:val="00610401"/>
    <w:rsid w:val="00610489"/>
    <w:rsid w:val="0061264A"/>
    <w:rsid w:val="006129ED"/>
    <w:rsid w:val="0061313D"/>
    <w:rsid w:val="00613D5C"/>
    <w:rsid w:val="006148E4"/>
    <w:rsid w:val="00614F72"/>
    <w:rsid w:val="00615029"/>
    <w:rsid w:val="006156A9"/>
    <w:rsid w:val="00615BB6"/>
    <w:rsid w:val="00617717"/>
    <w:rsid w:val="006201B8"/>
    <w:rsid w:val="006219A3"/>
    <w:rsid w:val="00621E61"/>
    <w:rsid w:val="006228DA"/>
    <w:rsid w:val="00622DFF"/>
    <w:rsid w:val="00624635"/>
    <w:rsid w:val="0062516B"/>
    <w:rsid w:val="00625B5B"/>
    <w:rsid w:val="006266CB"/>
    <w:rsid w:val="00627A79"/>
    <w:rsid w:val="00627EC6"/>
    <w:rsid w:val="00630D0F"/>
    <w:rsid w:val="006320B3"/>
    <w:rsid w:val="00632A1F"/>
    <w:rsid w:val="00633D59"/>
    <w:rsid w:val="00634746"/>
    <w:rsid w:val="00635D95"/>
    <w:rsid w:val="0063662D"/>
    <w:rsid w:val="00636F54"/>
    <w:rsid w:val="00637E18"/>
    <w:rsid w:val="00640465"/>
    <w:rsid w:val="00640C62"/>
    <w:rsid w:val="006410AE"/>
    <w:rsid w:val="006411AD"/>
    <w:rsid w:val="00642BE4"/>
    <w:rsid w:val="0064366E"/>
    <w:rsid w:val="00643B67"/>
    <w:rsid w:val="00645615"/>
    <w:rsid w:val="006460BB"/>
    <w:rsid w:val="0064648B"/>
    <w:rsid w:val="00647916"/>
    <w:rsid w:val="006500C9"/>
    <w:rsid w:val="006501E0"/>
    <w:rsid w:val="006504D5"/>
    <w:rsid w:val="00650FBB"/>
    <w:rsid w:val="00651036"/>
    <w:rsid w:val="00652534"/>
    <w:rsid w:val="0065268B"/>
    <w:rsid w:val="0065425F"/>
    <w:rsid w:val="00654B74"/>
    <w:rsid w:val="00654D25"/>
    <w:rsid w:val="00655962"/>
    <w:rsid w:val="00655DD0"/>
    <w:rsid w:val="00655E4C"/>
    <w:rsid w:val="006562A5"/>
    <w:rsid w:val="00657944"/>
    <w:rsid w:val="006605A2"/>
    <w:rsid w:val="00661DE4"/>
    <w:rsid w:val="006630F4"/>
    <w:rsid w:val="00663F1B"/>
    <w:rsid w:val="006642F1"/>
    <w:rsid w:val="0066446A"/>
    <w:rsid w:val="0066476A"/>
    <w:rsid w:val="00666ABA"/>
    <w:rsid w:val="00666CDA"/>
    <w:rsid w:val="006676DF"/>
    <w:rsid w:val="0066775F"/>
    <w:rsid w:val="00667DC3"/>
    <w:rsid w:val="00670749"/>
    <w:rsid w:val="00670C25"/>
    <w:rsid w:val="00670FA2"/>
    <w:rsid w:val="0067184E"/>
    <w:rsid w:val="006733A2"/>
    <w:rsid w:val="00674417"/>
    <w:rsid w:val="00674582"/>
    <w:rsid w:val="00674B09"/>
    <w:rsid w:val="00674D4A"/>
    <w:rsid w:val="00674F82"/>
    <w:rsid w:val="00675415"/>
    <w:rsid w:val="00675A27"/>
    <w:rsid w:val="0067648C"/>
    <w:rsid w:val="0067677D"/>
    <w:rsid w:val="00676F74"/>
    <w:rsid w:val="006774BC"/>
    <w:rsid w:val="0068283B"/>
    <w:rsid w:val="00682F29"/>
    <w:rsid w:val="006848B2"/>
    <w:rsid w:val="0068524E"/>
    <w:rsid w:val="0068641D"/>
    <w:rsid w:val="006878A7"/>
    <w:rsid w:val="006900FA"/>
    <w:rsid w:val="0069157B"/>
    <w:rsid w:val="00691D0A"/>
    <w:rsid w:val="006926AB"/>
    <w:rsid w:val="0069337B"/>
    <w:rsid w:val="00694B2F"/>
    <w:rsid w:val="00697E8C"/>
    <w:rsid w:val="006A0B2C"/>
    <w:rsid w:val="006A0E05"/>
    <w:rsid w:val="006A2251"/>
    <w:rsid w:val="006A31D2"/>
    <w:rsid w:val="006A3496"/>
    <w:rsid w:val="006A41C9"/>
    <w:rsid w:val="006A4A88"/>
    <w:rsid w:val="006A4D2B"/>
    <w:rsid w:val="006A556C"/>
    <w:rsid w:val="006A57FC"/>
    <w:rsid w:val="006A5A22"/>
    <w:rsid w:val="006A6294"/>
    <w:rsid w:val="006B0167"/>
    <w:rsid w:val="006B12EF"/>
    <w:rsid w:val="006B1788"/>
    <w:rsid w:val="006B1EBF"/>
    <w:rsid w:val="006B1F7C"/>
    <w:rsid w:val="006B34AE"/>
    <w:rsid w:val="006B521D"/>
    <w:rsid w:val="006B5779"/>
    <w:rsid w:val="006B5C40"/>
    <w:rsid w:val="006B6A4B"/>
    <w:rsid w:val="006B6BF4"/>
    <w:rsid w:val="006C1CD3"/>
    <w:rsid w:val="006C1CEE"/>
    <w:rsid w:val="006C1F9C"/>
    <w:rsid w:val="006C2DFC"/>
    <w:rsid w:val="006C36C9"/>
    <w:rsid w:val="006C3836"/>
    <w:rsid w:val="006C52CA"/>
    <w:rsid w:val="006C5414"/>
    <w:rsid w:val="006C54E7"/>
    <w:rsid w:val="006C59CD"/>
    <w:rsid w:val="006C6589"/>
    <w:rsid w:val="006C6CDB"/>
    <w:rsid w:val="006C74D1"/>
    <w:rsid w:val="006C75D0"/>
    <w:rsid w:val="006C7D70"/>
    <w:rsid w:val="006D0B77"/>
    <w:rsid w:val="006D0E76"/>
    <w:rsid w:val="006D36EE"/>
    <w:rsid w:val="006D524A"/>
    <w:rsid w:val="006D74F5"/>
    <w:rsid w:val="006D792E"/>
    <w:rsid w:val="006D7B4E"/>
    <w:rsid w:val="006E04ED"/>
    <w:rsid w:val="006E1EBB"/>
    <w:rsid w:val="006E29CE"/>
    <w:rsid w:val="006E335F"/>
    <w:rsid w:val="006E3575"/>
    <w:rsid w:val="006E372D"/>
    <w:rsid w:val="006E3941"/>
    <w:rsid w:val="006E5545"/>
    <w:rsid w:val="006E594D"/>
    <w:rsid w:val="006E674F"/>
    <w:rsid w:val="006E6A60"/>
    <w:rsid w:val="006E7010"/>
    <w:rsid w:val="006F032B"/>
    <w:rsid w:val="006F1201"/>
    <w:rsid w:val="006F1CA7"/>
    <w:rsid w:val="006F21EA"/>
    <w:rsid w:val="006F2877"/>
    <w:rsid w:val="006F301D"/>
    <w:rsid w:val="006F52FF"/>
    <w:rsid w:val="006F6512"/>
    <w:rsid w:val="006F689C"/>
    <w:rsid w:val="006F6FAB"/>
    <w:rsid w:val="00701359"/>
    <w:rsid w:val="00701831"/>
    <w:rsid w:val="00701CAC"/>
    <w:rsid w:val="00702FE8"/>
    <w:rsid w:val="00704DDD"/>
    <w:rsid w:val="00704FD7"/>
    <w:rsid w:val="00705136"/>
    <w:rsid w:val="00705DFF"/>
    <w:rsid w:val="00706C3A"/>
    <w:rsid w:val="00710B34"/>
    <w:rsid w:val="00711745"/>
    <w:rsid w:val="00714FA5"/>
    <w:rsid w:val="0071727C"/>
    <w:rsid w:val="007172C0"/>
    <w:rsid w:val="00717FBA"/>
    <w:rsid w:val="00721B4F"/>
    <w:rsid w:val="007224D9"/>
    <w:rsid w:val="00722719"/>
    <w:rsid w:val="00722BF7"/>
    <w:rsid w:val="00722E9E"/>
    <w:rsid w:val="0072458D"/>
    <w:rsid w:val="00724D05"/>
    <w:rsid w:val="00725ECA"/>
    <w:rsid w:val="00726094"/>
    <w:rsid w:val="00726D43"/>
    <w:rsid w:val="00731303"/>
    <w:rsid w:val="007326B2"/>
    <w:rsid w:val="00733B06"/>
    <w:rsid w:val="00734850"/>
    <w:rsid w:val="00734C22"/>
    <w:rsid w:val="0073501E"/>
    <w:rsid w:val="007358A7"/>
    <w:rsid w:val="007374CE"/>
    <w:rsid w:val="0074085F"/>
    <w:rsid w:val="00742764"/>
    <w:rsid w:val="0074629C"/>
    <w:rsid w:val="007463D5"/>
    <w:rsid w:val="007465F0"/>
    <w:rsid w:val="00746ECF"/>
    <w:rsid w:val="007523C4"/>
    <w:rsid w:val="007523D0"/>
    <w:rsid w:val="00752E33"/>
    <w:rsid w:val="0075325B"/>
    <w:rsid w:val="007536DD"/>
    <w:rsid w:val="00753D33"/>
    <w:rsid w:val="0075454A"/>
    <w:rsid w:val="00754D51"/>
    <w:rsid w:val="00755D6C"/>
    <w:rsid w:val="00755EA5"/>
    <w:rsid w:val="007566F5"/>
    <w:rsid w:val="00756974"/>
    <w:rsid w:val="007609BA"/>
    <w:rsid w:val="0076117A"/>
    <w:rsid w:val="00761E1D"/>
    <w:rsid w:val="0076337E"/>
    <w:rsid w:val="007637C7"/>
    <w:rsid w:val="007650BC"/>
    <w:rsid w:val="00765A71"/>
    <w:rsid w:val="007663F4"/>
    <w:rsid w:val="00767FFD"/>
    <w:rsid w:val="007700BF"/>
    <w:rsid w:val="007718C2"/>
    <w:rsid w:val="0077263C"/>
    <w:rsid w:val="007745AD"/>
    <w:rsid w:val="00774B77"/>
    <w:rsid w:val="0077539D"/>
    <w:rsid w:val="00775F94"/>
    <w:rsid w:val="007768BB"/>
    <w:rsid w:val="00776CC6"/>
    <w:rsid w:val="007779E3"/>
    <w:rsid w:val="00777B65"/>
    <w:rsid w:val="00777FFA"/>
    <w:rsid w:val="0078055F"/>
    <w:rsid w:val="007805DF"/>
    <w:rsid w:val="00780BA2"/>
    <w:rsid w:val="007811AB"/>
    <w:rsid w:val="00784812"/>
    <w:rsid w:val="0078483F"/>
    <w:rsid w:val="007858B6"/>
    <w:rsid w:val="00785A72"/>
    <w:rsid w:val="007871F2"/>
    <w:rsid w:val="007873ED"/>
    <w:rsid w:val="00787A9C"/>
    <w:rsid w:val="00787FC6"/>
    <w:rsid w:val="00790B9E"/>
    <w:rsid w:val="00791A5E"/>
    <w:rsid w:val="00791E27"/>
    <w:rsid w:val="00792010"/>
    <w:rsid w:val="00792054"/>
    <w:rsid w:val="007932F9"/>
    <w:rsid w:val="007935FC"/>
    <w:rsid w:val="00793C47"/>
    <w:rsid w:val="00793E4A"/>
    <w:rsid w:val="00794931"/>
    <w:rsid w:val="00794B09"/>
    <w:rsid w:val="00795057"/>
    <w:rsid w:val="007972ED"/>
    <w:rsid w:val="00797639"/>
    <w:rsid w:val="007A0DF5"/>
    <w:rsid w:val="007A10D3"/>
    <w:rsid w:val="007A19EA"/>
    <w:rsid w:val="007A26EB"/>
    <w:rsid w:val="007A2741"/>
    <w:rsid w:val="007A3834"/>
    <w:rsid w:val="007A4D83"/>
    <w:rsid w:val="007A53DA"/>
    <w:rsid w:val="007A53F9"/>
    <w:rsid w:val="007B05A1"/>
    <w:rsid w:val="007B12AE"/>
    <w:rsid w:val="007B139F"/>
    <w:rsid w:val="007B1EC6"/>
    <w:rsid w:val="007B2060"/>
    <w:rsid w:val="007B2108"/>
    <w:rsid w:val="007B4D65"/>
    <w:rsid w:val="007B577D"/>
    <w:rsid w:val="007B6B4C"/>
    <w:rsid w:val="007B6E31"/>
    <w:rsid w:val="007B70F1"/>
    <w:rsid w:val="007C1412"/>
    <w:rsid w:val="007C16F4"/>
    <w:rsid w:val="007C3423"/>
    <w:rsid w:val="007C3687"/>
    <w:rsid w:val="007C426F"/>
    <w:rsid w:val="007C6B68"/>
    <w:rsid w:val="007C71B8"/>
    <w:rsid w:val="007C73F7"/>
    <w:rsid w:val="007C74C3"/>
    <w:rsid w:val="007D0F16"/>
    <w:rsid w:val="007D1260"/>
    <w:rsid w:val="007D187F"/>
    <w:rsid w:val="007D2A1C"/>
    <w:rsid w:val="007D3A09"/>
    <w:rsid w:val="007D3B06"/>
    <w:rsid w:val="007D3C75"/>
    <w:rsid w:val="007D6D23"/>
    <w:rsid w:val="007D73D3"/>
    <w:rsid w:val="007E03BF"/>
    <w:rsid w:val="007E0B8F"/>
    <w:rsid w:val="007E0E1C"/>
    <w:rsid w:val="007E19C4"/>
    <w:rsid w:val="007E1B28"/>
    <w:rsid w:val="007E3D4D"/>
    <w:rsid w:val="007E3D90"/>
    <w:rsid w:val="007E6EC3"/>
    <w:rsid w:val="007E75F6"/>
    <w:rsid w:val="007E7D54"/>
    <w:rsid w:val="007F0743"/>
    <w:rsid w:val="007F269C"/>
    <w:rsid w:val="007F3DDE"/>
    <w:rsid w:val="007F49ED"/>
    <w:rsid w:val="007F4CAC"/>
    <w:rsid w:val="007F64D5"/>
    <w:rsid w:val="007F6687"/>
    <w:rsid w:val="007F6A3D"/>
    <w:rsid w:val="007F6B20"/>
    <w:rsid w:val="007F6DFA"/>
    <w:rsid w:val="007F6E8A"/>
    <w:rsid w:val="007F78B9"/>
    <w:rsid w:val="00800710"/>
    <w:rsid w:val="008022F7"/>
    <w:rsid w:val="00803357"/>
    <w:rsid w:val="00803506"/>
    <w:rsid w:val="00805230"/>
    <w:rsid w:val="008052B6"/>
    <w:rsid w:val="008058F6"/>
    <w:rsid w:val="00807538"/>
    <w:rsid w:val="008078DD"/>
    <w:rsid w:val="00807D39"/>
    <w:rsid w:val="00810C93"/>
    <w:rsid w:val="008113DC"/>
    <w:rsid w:val="0081191B"/>
    <w:rsid w:val="008121C0"/>
    <w:rsid w:val="00812495"/>
    <w:rsid w:val="0081308D"/>
    <w:rsid w:val="00814380"/>
    <w:rsid w:val="00815832"/>
    <w:rsid w:val="0081645D"/>
    <w:rsid w:val="008206DE"/>
    <w:rsid w:val="00822569"/>
    <w:rsid w:val="00822FF6"/>
    <w:rsid w:val="00824B33"/>
    <w:rsid w:val="008250AE"/>
    <w:rsid w:val="008255ED"/>
    <w:rsid w:val="0082646A"/>
    <w:rsid w:val="008269AD"/>
    <w:rsid w:val="00827046"/>
    <w:rsid w:val="008271BB"/>
    <w:rsid w:val="008300A3"/>
    <w:rsid w:val="00830513"/>
    <w:rsid w:val="00831B4D"/>
    <w:rsid w:val="00831B52"/>
    <w:rsid w:val="00832715"/>
    <w:rsid w:val="00832819"/>
    <w:rsid w:val="00832BAF"/>
    <w:rsid w:val="00833F52"/>
    <w:rsid w:val="0083401C"/>
    <w:rsid w:val="008341B0"/>
    <w:rsid w:val="00835572"/>
    <w:rsid w:val="00835FCB"/>
    <w:rsid w:val="008369AA"/>
    <w:rsid w:val="00836B37"/>
    <w:rsid w:val="008379E8"/>
    <w:rsid w:val="00837A33"/>
    <w:rsid w:val="0084083A"/>
    <w:rsid w:val="00840C4C"/>
    <w:rsid w:val="00841608"/>
    <w:rsid w:val="00842643"/>
    <w:rsid w:val="00842F86"/>
    <w:rsid w:val="008430A1"/>
    <w:rsid w:val="00844B12"/>
    <w:rsid w:val="00846A7C"/>
    <w:rsid w:val="00851808"/>
    <w:rsid w:val="00852093"/>
    <w:rsid w:val="00853057"/>
    <w:rsid w:val="0085377C"/>
    <w:rsid w:val="008555C1"/>
    <w:rsid w:val="00855BE3"/>
    <w:rsid w:val="00856C6E"/>
    <w:rsid w:val="00857676"/>
    <w:rsid w:val="00860A62"/>
    <w:rsid w:val="008622F6"/>
    <w:rsid w:val="008637FA"/>
    <w:rsid w:val="00864602"/>
    <w:rsid w:val="00864C43"/>
    <w:rsid w:val="00865452"/>
    <w:rsid w:val="00867C04"/>
    <w:rsid w:val="008705B8"/>
    <w:rsid w:val="008710A3"/>
    <w:rsid w:val="008710AE"/>
    <w:rsid w:val="00871F5C"/>
    <w:rsid w:val="008726B6"/>
    <w:rsid w:val="0087291B"/>
    <w:rsid w:val="00873608"/>
    <w:rsid w:val="00874A63"/>
    <w:rsid w:val="00874C6B"/>
    <w:rsid w:val="008755C0"/>
    <w:rsid w:val="008762CE"/>
    <w:rsid w:val="008763E6"/>
    <w:rsid w:val="008768EC"/>
    <w:rsid w:val="00880C50"/>
    <w:rsid w:val="0088266C"/>
    <w:rsid w:val="0088298F"/>
    <w:rsid w:val="00882C92"/>
    <w:rsid w:val="00883249"/>
    <w:rsid w:val="00883EBB"/>
    <w:rsid w:val="00884C1D"/>
    <w:rsid w:val="00885C1A"/>
    <w:rsid w:val="00887767"/>
    <w:rsid w:val="00887CB7"/>
    <w:rsid w:val="008901D5"/>
    <w:rsid w:val="00891697"/>
    <w:rsid w:val="008924C9"/>
    <w:rsid w:val="00892766"/>
    <w:rsid w:val="00893207"/>
    <w:rsid w:val="00893EA1"/>
    <w:rsid w:val="0089506B"/>
    <w:rsid w:val="00895EA0"/>
    <w:rsid w:val="00896B1E"/>
    <w:rsid w:val="00896C99"/>
    <w:rsid w:val="00896F6F"/>
    <w:rsid w:val="008A1092"/>
    <w:rsid w:val="008A3318"/>
    <w:rsid w:val="008A6EA3"/>
    <w:rsid w:val="008A7FEB"/>
    <w:rsid w:val="008B0918"/>
    <w:rsid w:val="008B2687"/>
    <w:rsid w:val="008B26C1"/>
    <w:rsid w:val="008B5161"/>
    <w:rsid w:val="008B5AEC"/>
    <w:rsid w:val="008B644D"/>
    <w:rsid w:val="008B6962"/>
    <w:rsid w:val="008B6A18"/>
    <w:rsid w:val="008B6D83"/>
    <w:rsid w:val="008B7527"/>
    <w:rsid w:val="008C08D5"/>
    <w:rsid w:val="008C12DE"/>
    <w:rsid w:val="008C23B7"/>
    <w:rsid w:val="008C282D"/>
    <w:rsid w:val="008C4624"/>
    <w:rsid w:val="008C6BA7"/>
    <w:rsid w:val="008C6F10"/>
    <w:rsid w:val="008D073A"/>
    <w:rsid w:val="008D22E1"/>
    <w:rsid w:val="008D356A"/>
    <w:rsid w:val="008D3D9C"/>
    <w:rsid w:val="008D458A"/>
    <w:rsid w:val="008D46B2"/>
    <w:rsid w:val="008D4A6C"/>
    <w:rsid w:val="008D5022"/>
    <w:rsid w:val="008D6898"/>
    <w:rsid w:val="008D7091"/>
    <w:rsid w:val="008D7179"/>
    <w:rsid w:val="008D7A59"/>
    <w:rsid w:val="008E009F"/>
    <w:rsid w:val="008E047D"/>
    <w:rsid w:val="008E2998"/>
    <w:rsid w:val="008E2BBD"/>
    <w:rsid w:val="008E322A"/>
    <w:rsid w:val="008E32A6"/>
    <w:rsid w:val="008E3A89"/>
    <w:rsid w:val="008E410C"/>
    <w:rsid w:val="008E4433"/>
    <w:rsid w:val="008E4589"/>
    <w:rsid w:val="008E5FCE"/>
    <w:rsid w:val="008E66B5"/>
    <w:rsid w:val="008E68C4"/>
    <w:rsid w:val="008E7253"/>
    <w:rsid w:val="008E7618"/>
    <w:rsid w:val="008E7BF2"/>
    <w:rsid w:val="008F041E"/>
    <w:rsid w:val="008F0CEE"/>
    <w:rsid w:val="008F13AE"/>
    <w:rsid w:val="008F2BFC"/>
    <w:rsid w:val="008F490E"/>
    <w:rsid w:val="008F5431"/>
    <w:rsid w:val="008F5EF5"/>
    <w:rsid w:val="008F60C4"/>
    <w:rsid w:val="008F6B51"/>
    <w:rsid w:val="00900557"/>
    <w:rsid w:val="00901202"/>
    <w:rsid w:val="009018B4"/>
    <w:rsid w:val="009020B7"/>
    <w:rsid w:val="0090251A"/>
    <w:rsid w:val="00902A73"/>
    <w:rsid w:val="00903333"/>
    <w:rsid w:val="0090340A"/>
    <w:rsid w:val="00903820"/>
    <w:rsid w:val="00903C92"/>
    <w:rsid w:val="00904115"/>
    <w:rsid w:val="00905175"/>
    <w:rsid w:val="0090598E"/>
    <w:rsid w:val="00905E47"/>
    <w:rsid w:val="00905E4E"/>
    <w:rsid w:val="009060EC"/>
    <w:rsid w:val="00906165"/>
    <w:rsid w:val="0090680B"/>
    <w:rsid w:val="00907918"/>
    <w:rsid w:val="009103D9"/>
    <w:rsid w:val="00911B6A"/>
    <w:rsid w:val="00912A34"/>
    <w:rsid w:val="00912E13"/>
    <w:rsid w:val="009149BD"/>
    <w:rsid w:val="00914AC4"/>
    <w:rsid w:val="00915045"/>
    <w:rsid w:val="009151B4"/>
    <w:rsid w:val="00915260"/>
    <w:rsid w:val="00915470"/>
    <w:rsid w:val="009154CD"/>
    <w:rsid w:val="00915F5E"/>
    <w:rsid w:val="00920907"/>
    <w:rsid w:val="00921195"/>
    <w:rsid w:val="00924222"/>
    <w:rsid w:val="0092462A"/>
    <w:rsid w:val="00924D9D"/>
    <w:rsid w:val="0092584D"/>
    <w:rsid w:val="00926169"/>
    <w:rsid w:val="00930177"/>
    <w:rsid w:val="00931A38"/>
    <w:rsid w:val="00931A42"/>
    <w:rsid w:val="00931A87"/>
    <w:rsid w:val="00935E73"/>
    <w:rsid w:val="0093755C"/>
    <w:rsid w:val="009379A5"/>
    <w:rsid w:val="00940E68"/>
    <w:rsid w:val="00941D06"/>
    <w:rsid w:val="00941EF1"/>
    <w:rsid w:val="009422EE"/>
    <w:rsid w:val="009443C6"/>
    <w:rsid w:val="00944F4E"/>
    <w:rsid w:val="0094546C"/>
    <w:rsid w:val="009454F0"/>
    <w:rsid w:val="009455BD"/>
    <w:rsid w:val="009472BE"/>
    <w:rsid w:val="00947DB4"/>
    <w:rsid w:val="0095046E"/>
    <w:rsid w:val="00951197"/>
    <w:rsid w:val="0095256A"/>
    <w:rsid w:val="00952A38"/>
    <w:rsid w:val="00952B0D"/>
    <w:rsid w:val="00953178"/>
    <w:rsid w:val="00954D31"/>
    <w:rsid w:val="00956C17"/>
    <w:rsid w:val="00957B15"/>
    <w:rsid w:val="00957CAC"/>
    <w:rsid w:val="00961529"/>
    <w:rsid w:val="00961C19"/>
    <w:rsid w:val="00961FD3"/>
    <w:rsid w:val="009624E4"/>
    <w:rsid w:val="009627F8"/>
    <w:rsid w:val="00962D2E"/>
    <w:rsid w:val="00962E71"/>
    <w:rsid w:val="0096650E"/>
    <w:rsid w:val="00966825"/>
    <w:rsid w:val="0096732D"/>
    <w:rsid w:val="009679F7"/>
    <w:rsid w:val="0097051C"/>
    <w:rsid w:val="00972001"/>
    <w:rsid w:val="0097249E"/>
    <w:rsid w:val="00972A83"/>
    <w:rsid w:val="00972F29"/>
    <w:rsid w:val="00973F67"/>
    <w:rsid w:val="00974240"/>
    <w:rsid w:val="009749AA"/>
    <w:rsid w:val="00975C1D"/>
    <w:rsid w:val="00976947"/>
    <w:rsid w:val="00977074"/>
    <w:rsid w:val="009776DE"/>
    <w:rsid w:val="00977912"/>
    <w:rsid w:val="00980B70"/>
    <w:rsid w:val="009813AD"/>
    <w:rsid w:val="00983552"/>
    <w:rsid w:val="009835B9"/>
    <w:rsid w:val="00983963"/>
    <w:rsid w:val="00984F2F"/>
    <w:rsid w:val="0098691E"/>
    <w:rsid w:val="00986ACB"/>
    <w:rsid w:val="00986BBE"/>
    <w:rsid w:val="00986BC4"/>
    <w:rsid w:val="00987234"/>
    <w:rsid w:val="00990B93"/>
    <w:rsid w:val="00991053"/>
    <w:rsid w:val="00992C45"/>
    <w:rsid w:val="00994346"/>
    <w:rsid w:val="0099613A"/>
    <w:rsid w:val="0099620F"/>
    <w:rsid w:val="00996ACF"/>
    <w:rsid w:val="00997B19"/>
    <w:rsid w:val="009A0842"/>
    <w:rsid w:val="009A08F2"/>
    <w:rsid w:val="009A19A8"/>
    <w:rsid w:val="009A32F9"/>
    <w:rsid w:val="009A3A48"/>
    <w:rsid w:val="009A41B6"/>
    <w:rsid w:val="009A44B1"/>
    <w:rsid w:val="009A4C14"/>
    <w:rsid w:val="009A54A0"/>
    <w:rsid w:val="009A72BD"/>
    <w:rsid w:val="009A7694"/>
    <w:rsid w:val="009B204D"/>
    <w:rsid w:val="009B320C"/>
    <w:rsid w:val="009B462E"/>
    <w:rsid w:val="009B4FAE"/>
    <w:rsid w:val="009B5017"/>
    <w:rsid w:val="009B5A7F"/>
    <w:rsid w:val="009B5B60"/>
    <w:rsid w:val="009B64CA"/>
    <w:rsid w:val="009B6E73"/>
    <w:rsid w:val="009B7729"/>
    <w:rsid w:val="009C0439"/>
    <w:rsid w:val="009C0804"/>
    <w:rsid w:val="009C0B24"/>
    <w:rsid w:val="009C123B"/>
    <w:rsid w:val="009C18C1"/>
    <w:rsid w:val="009C293D"/>
    <w:rsid w:val="009C340F"/>
    <w:rsid w:val="009C415B"/>
    <w:rsid w:val="009C41EB"/>
    <w:rsid w:val="009C483C"/>
    <w:rsid w:val="009C60EA"/>
    <w:rsid w:val="009C6CD7"/>
    <w:rsid w:val="009C756B"/>
    <w:rsid w:val="009C7B48"/>
    <w:rsid w:val="009D1EDC"/>
    <w:rsid w:val="009D347B"/>
    <w:rsid w:val="009D4C90"/>
    <w:rsid w:val="009D568B"/>
    <w:rsid w:val="009D643F"/>
    <w:rsid w:val="009D6507"/>
    <w:rsid w:val="009D716F"/>
    <w:rsid w:val="009E0283"/>
    <w:rsid w:val="009E07F5"/>
    <w:rsid w:val="009E21B8"/>
    <w:rsid w:val="009E23D0"/>
    <w:rsid w:val="009E2729"/>
    <w:rsid w:val="009E48D0"/>
    <w:rsid w:val="009E4DFA"/>
    <w:rsid w:val="009E5F5A"/>
    <w:rsid w:val="009E685D"/>
    <w:rsid w:val="009E7446"/>
    <w:rsid w:val="009F0507"/>
    <w:rsid w:val="009F0C61"/>
    <w:rsid w:val="009F160E"/>
    <w:rsid w:val="009F28B9"/>
    <w:rsid w:val="009F2C2A"/>
    <w:rsid w:val="009F2C8C"/>
    <w:rsid w:val="009F3716"/>
    <w:rsid w:val="009F37DF"/>
    <w:rsid w:val="009F386B"/>
    <w:rsid w:val="009F4A9F"/>
    <w:rsid w:val="009F59FE"/>
    <w:rsid w:val="009F60FD"/>
    <w:rsid w:val="009F68DA"/>
    <w:rsid w:val="009F72F6"/>
    <w:rsid w:val="009F7568"/>
    <w:rsid w:val="00A00148"/>
    <w:rsid w:val="00A005C5"/>
    <w:rsid w:val="00A03B47"/>
    <w:rsid w:val="00A03DE7"/>
    <w:rsid w:val="00A0475D"/>
    <w:rsid w:val="00A05F76"/>
    <w:rsid w:val="00A06659"/>
    <w:rsid w:val="00A06B1E"/>
    <w:rsid w:val="00A10529"/>
    <w:rsid w:val="00A10A14"/>
    <w:rsid w:val="00A1104E"/>
    <w:rsid w:val="00A12201"/>
    <w:rsid w:val="00A12A52"/>
    <w:rsid w:val="00A12E20"/>
    <w:rsid w:val="00A12E8B"/>
    <w:rsid w:val="00A14032"/>
    <w:rsid w:val="00A15306"/>
    <w:rsid w:val="00A15837"/>
    <w:rsid w:val="00A15B0D"/>
    <w:rsid w:val="00A15BFD"/>
    <w:rsid w:val="00A17DEF"/>
    <w:rsid w:val="00A2213B"/>
    <w:rsid w:val="00A2247F"/>
    <w:rsid w:val="00A233F1"/>
    <w:rsid w:val="00A239A8"/>
    <w:rsid w:val="00A23CF0"/>
    <w:rsid w:val="00A2573E"/>
    <w:rsid w:val="00A264FD"/>
    <w:rsid w:val="00A26A52"/>
    <w:rsid w:val="00A278E0"/>
    <w:rsid w:val="00A32400"/>
    <w:rsid w:val="00A3378D"/>
    <w:rsid w:val="00A33800"/>
    <w:rsid w:val="00A34375"/>
    <w:rsid w:val="00A34493"/>
    <w:rsid w:val="00A35052"/>
    <w:rsid w:val="00A375D9"/>
    <w:rsid w:val="00A3760C"/>
    <w:rsid w:val="00A37F8C"/>
    <w:rsid w:val="00A4068F"/>
    <w:rsid w:val="00A40ABE"/>
    <w:rsid w:val="00A40E89"/>
    <w:rsid w:val="00A425AF"/>
    <w:rsid w:val="00A430D3"/>
    <w:rsid w:val="00A43A53"/>
    <w:rsid w:val="00A43C38"/>
    <w:rsid w:val="00A43D2C"/>
    <w:rsid w:val="00A44B1D"/>
    <w:rsid w:val="00A44D50"/>
    <w:rsid w:val="00A44D64"/>
    <w:rsid w:val="00A44EC2"/>
    <w:rsid w:val="00A46917"/>
    <w:rsid w:val="00A47BAE"/>
    <w:rsid w:val="00A50625"/>
    <w:rsid w:val="00A506F9"/>
    <w:rsid w:val="00A50B3C"/>
    <w:rsid w:val="00A518D5"/>
    <w:rsid w:val="00A51998"/>
    <w:rsid w:val="00A532C9"/>
    <w:rsid w:val="00A5461A"/>
    <w:rsid w:val="00A54F7E"/>
    <w:rsid w:val="00A553E1"/>
    <w:rsid w:val="00A55AB4"/>
    <w:rsid w:val="00A56294"/>
    <w:rsid w:val="00A56707"/>
    <w:rsid w:val="00A6004B"/>
    <w:rsid w:val="00A63388"/>
    <w:rsid w:val="00A6411D"/>
    <w:rsid w:val="00A641AA"/>
    <w:rsid w:val="00A64E45"/>
    <w:rsid w:val="00A650E1"/>
    <w:rsid w:val="00A65873"/>
    <w:rsid w:val="00A659BB"/>
    <w:rsid w:val="00A670C0"/>
    <w:rsid w:val="00A7044D"/>
    <w:rsid w:val="00A70701"/>
    <w:rsid w:val="00A70F91"/>
    <w:rsid w:val="00A722B4"/>
    <w:rsid w:val="00A73B83"/>
    <w:rsid w:val="00A73FEB"/>
    <w:rsid w:val="00A750A9"/>
    <w:rsid w:val="00A75786"/>
    <w:rsid w:val="00A761C9"/>
    <w:rsid w:val="00A778FA"/>
    <w:rsid w:val="00A77ECC"/>
    <w:rsid w:val="00A80E54"/>
    <w:rsid w:val="00A80EAC"/>
    <w:rsid w:val="00A81545"/>
    <w:rsid w:val="00A81883"/>
    <w:rsid w:val="00A829CC"/>
    <w:rsid w:val="00A83297"/>
    <w:rsid w:val="00A8356A"/>
    <w:rsid w:val="00A838C4"/>
    <w:rsid w:val="00A842DB"/>
    <w:rsid w:val="00A8476D"/>
    <w:rsid w:val="00A86A6A"/>
    <w:rsid w:val="00A90691"/>
    <w:rsid w:val="00A90A62"/>
    <w:rsid w:val="00A9154F"/>
    <w:rsid w:val="00A91753"/>
    <w:rsid w:val="00A922DC"/>
    <w:rsid w:val="00A93FC2"/>
    <w:rsid w:val="00A96C2D"/>
    <w:rsid w:val="00A96F7F"/>
    <w:rsid w:val="00A977E7"/>
    <w:rsid w:val="00A97A4B"/>
    <w:rsid w:val="00A97AD3"/>
    <w:rsid w:val="00A97FD7"/>
    <w:rsid w:val="00AA1164"/>
    <w:rsid w:val="00AA145C"/>
    <w:rsid w:val="00AA18B0"/>
    <w:rsid w:val="00AA1BB8"/>
    <w:rsid w:val="00AA3281"/>
    <w:rsid w:val="00AA3434"/>
    <w:rsid w:val="00AA35F5"/>
    <w:rsid w:val="00AA38E8"/>
    <w:rsid w:val="00AA3E70"/>
    <w:rsid w:val="00AA3EBE"/>
    <w:rsid w:val="00AA3FA6"/>
    <w:rsid w:val="00AA4310"/>
    <w:rsid w:val="00AA4901"/>
    <w:rsid w:val="00AA5048"/>
    <w:rsid w:val="00AA65A4"/>
    <w:rsid w:val="00AA6C00"/>
    <w:rsid w:val="00AA6EEA"/>
    <w:rsid w:val="00AA7440"/>
    <w:rsid w:val="00AB0300"/>
    <w:rsid w:val="00AB052F"/>
    <w:rsid w:val="00AB27EE"/>
    <w:rsid w:val="00AB3403"/>
    <w:rsid w:val="00AB3EBB"/>
    <w:rsid w:val="00AB4176"/>
    <w:rsid w:val="00AB45C3"/>
    <w:rsid w:val="00AB4A32"/>
    <w:rsid w:val="00AB5191"/>
    <w:rsid w:val="00AB631E"/>
    <w:rsid w:val="00AB64BA"/>
    <w:rsid w:val="00AB6724"/>
    <w:rsid w:val="00AB674D"/>
    <w:rsid w:val="00AB6F9E"/>
    <w:rsid w:val="00AB742F"/>
    <w:rsid w:val="00AC120D"/>
    <w:rsid w:val="00AC1D4D"/>
    <w:rsid w:val="00AC25A3"/>
    <w:rsid w:val="00AC2D9B"/>
    <w:rsid w:val="00AC2F5A"/>
    <w:rsid w:val="00AC393E"/>
    <w:rsid w:val="00AC48D5"/>
    <w:rsid w:val="00AC72A9"/>
    <w:rsid w:val="00AD0ADD"/>
    <w:rsid w:val="00AD0B24"/>
    <w:rsid w:val="00AD11A8"/>
    <w:rsid w:val="00AD1399"/>
    <w:rsid w:val="00AD187F"/>
    <w:rsid w:val="00AD18A7"/>
    <w:rsid w:val="00AD23E6"/>
    <w:rsid w:val="00AD2B17"/>
    <w:rsid w:val="00AD481C"/>
    <w:rsid w:val="00AD4891"/>
    <w:rsid w:val="00AD4C9E"/>
    <w:rsid w:val="00AD77D5"/>
    <w:rsid w:val="00AE0240"/>
    <w:rsid w:val="00AE0344"/>
    <w:rsid w:val="00AE03DC"/>
    <w:rsid w:val="00AE0535"/>
    <w:rsid w:val="00AE0FE7"/>
    <w:rsid w:val="00AE1328"/>
    <w:rsid w:val="00AE2250"/>
    <w:rsid w:val="00AE24F4"/>
    <w:rsid w:val="00AE2C7D"/>
    <w:rsid w:val="00AE37AD"/>
    <w:rsid w:val="00AE47D2"/>
    <w:rsid w:val="00AE6049"/>
    <w:rsid w:val="00AE65E9"/>
    <w:rsid w:val="00AE6DAF"/>
    <w:rsid w:val="00AE7ECF"/>
    <w:rsid w:val="00AF0017"/>
    <w:rsid w:val="00AF0B7B"/>
    <w:rsid w:val="00AF12D9"/>
    <w:rsid w:val="00AF3402"/>
    <w:rsid w:val="00AF364E"/>
    <w:rsid w:val="00AF45EF"/>
    <w:rsid w:val="00AF4C26"/>
    <w:rsid w:val="00AF7256"/>
    <w:rsid w:val="00AF77D3"/>
    <w:rsid w:val="00AF7BE2"/>
    <w:rsid w:val="00B002A1"/>
    <w:rsid w:val="00B00A9C"/>
    <w:rsid w:val="00B01D16"/>
    <w:rsid w:val="00B022C9"/>
    <w:rsid w:val="00B0358D"/>
    <w:rsid w:val="00B04B62"/>
    <w:rsid w:val="00B05F30"/>
    <w:rsid w:val="00B07663"/>
    <w:rsid w:val="00B07865"/>
    <w:rsid w:val="00B07EAB"/>
    <w:rsid w:val="00B10736"/>
    <w:rsid w:val="00B108B2"/>
    <w:rsid w:val="00B10D8A"/>
    <w:rsid w:val="00B11EA8"/>
    <w:rsid w:val="00B1221A"/>
    <w:rsid w:val="00B12A48"/>
    <w:rsid w:val="00B12D98"/>
    <w:rsid w:val="00B12E55"/>
    <w:rsid w:val="00B1300C"/>
    <w:rsid w:val="00B13440"/>
    <w:rsid w:val="00B13772"/>
    <w:rsid w:val="00B1429A"/>
    <w:rsid w:val="00B14619"/>
    <w:rsid w:val="00B14C50"/>
    <w:rsid w:val="00B14C59"/>
    <w:rsid w:val="00B15681"/>
    <w:rsid w:val="00B16BBC"/>
    <w:rsid w:val="00B17815"/>
    <w:rsid w:val="00B17EE3"/>
    <w:rsid w:val="00B21A36"/>
    <w:rsid w:val="00B24AB7"/>
    <w:rsid w:val="00B250C0"/>
    <w:rsid w:val="00B254B6"/>
    <w:rsid w:val="00B25954"/>
    <w:rsid w:val="00B25A29"/>
    <w:rsid w:val="00B25CDD"/>
    <w:rsid w:val="00B2791A"/>
    <w:rsid w:val="00B3145F"/>
    <w:rsid w:val="00B3229C"/>
    <w:rsid w:val="00B3401F"/>
    <w:rsid w:val="00B34578"/>
    <w:rsid w:val="00B3460A"/>
    <w:rsid w:val="00B34C95"/>
    <w:rsid w:val="00B34F84"/>
    <w:rsid w:val="00B35DC1"/>
    <w:rsid w:val="00B3657B"/>
    <w:rsid w:val="00B37F61"/>
    <w:rsid w:val="00B401C0"/>
    <w:rsid w:val="00B40F0C"/>
    <w:rsid w:val="00B414B8"/>
    <w:rsid w:val="00B42A97"/>
    <w:rsid w:val="00B42C10"/>
    <w:rsid w:val="00B47520"/>
    <w:rsid w:val="00B50DDB"/>
    <w:rsid w:val="00B50EB0"/>
    <w:rsid w:val="00B516DC"/>
    <w:rsid w:val="00B52838"/>
    <w:rsid w:val="00B55BCF"/>
    <w:rsid w:val="00B56015"/>
    <w:rsid w:val="00B561AA"/>
    <w:rsid w:val="00B56F31"/>
    <w:rsid w:val="00B574F5"/>
    <w:rsid w:val="00B60B52"/>
    <w:rsid w:val="00B6344D"/>
    <w:rsid w:val="00B63B2D"/>
    <w:rsid w:val="00B64C8F"/>
    <w:rsid w:val="00B652BD"/>
    <w:rsid w:val="00B661EC"/>
    <w:rsid w:val="00B665B2"/>
    <w:rsid w:val="00B66ACD"/>
    <w:rsid w:val="00B66D73"/>
    <w:rsid w:val="00B67ED9"/>
    <w:rsid w:val="00B7036D"/>
    <w:rsid w:val="00B717A7"/>
    <w:rsid w:val="00B72A1A"/>
    <w:rsid w:val="00B72F21"/>
    <w:rsid w:val="00B72FD8"/>
    <w:rsid w:val="00B73D5F"/>
    <w:rsid w:val="00B753A8"/>
    <w:rsid w:val="00B77406"/>
    <w:rsid w:val="00B805BF"/>
    <w:rsid w:val="00B8090A"/>
    <w:rsid w:val="00B80913"/>
    <w:rsid w:val="00B8159C"/>
    <w:rsid w:val="00B81C3A"/>
    <w:rsid w:val="00B82401"/>
    <w:rsid w:val="00B82A72"/>
    <w:rsid w:val="00B83CFE"/>
    <w:rsid w:val="00B84595"/>
    <w:rsid w:val="00B84A65"/>
    <w:rsid w:val="00B852C6"/>
    <w:rsid w:val="00B85E41"/>
    <w:rsid w:val="00B8629E"/>
    <w:rsid w:val="00B8695A"/>
    <w:rsid w:val="00B86B89"/>
    <w:rsid w:val="00B875A7"/>
    <w:rsid w:val="00B87A87"/>
    <w:rsid w:val="00B87C01"/>
    <w:rsid w:val="00B87DF3"/>
    <w:rsid w:val="00B87EFF"/>
    <w:rsid w:val="00B9078E"/>
    <w:rsid w:val="00B9128C"/>
    <w:rsid w:val="00B91445"/>
    <w:rsid w:val="00B91EFA"/>
    <w:rsid w:val="00B93D69"/>
    <w:rsid w:val="00B93EF7"/>
    <w:rsid w:val="00B95F35"/>
    <w:rsid w:val="00B96706"/>
    <w:rsid w:val="00B9725A"/>
    <w:rsid w:val="00B97668"/>
    <w:rsid w:val="00BA1575"/>
    <w:rsid w:val="00BA23A1"/>
    <w:rsid w:val="00BA2E16"/>
    <w:rsid w:val="00BA31C6"/>
    <w:rsid w:val="00BA46E1"/>
    <w:rsid w:val="00BA4EBC"/>
    <w:rsid w:val="00BA5095"/>
    <w:rsid w:val="00BA5DF0"/>
    <w:rsid w:val="00BA69F2"/>
    <w:rsid w:val="00BA73C5"/>
    <w:rsid w:val="00BA758C"/>
    <w:rsid w:val="00BA7F92"/>
    <w:rsid w:val="00BB0691"/>
    <w:rsid w:val="00BB0DD0"/>
    <w:rsid w:val="00BB16C2"/>
    <w:rsid w:val="00BB19FE"/>
    <w:rsid w:val="00BB1E1A"/>
    <w:rsid w:val="00BB24AA"/>
    <w:rsid w:val="00BB623E"/>
    <w:rsid w:val="00BB6A22"/>
    <w:rsid w:val="00BC2BD1"/>
    <w:rsid w:val="00BC34E8"/>
    <w:rsid w:val="00BC41E2"/>
    <w:rsid w:val="00BC436D"/>
    <w:rsid w:val="00BC5528"/>
    <w:rsid w:val="00BC6072"/>
    <w:rsid w:val="00BC61A4"/>
    <w:rsid w:val="00BC6FC4"/>
    <w:rsid w:val="00BD034B"/>
    <w:rsid w:val="00BD1CA4"/>
    <w:rsid w:val="00BD243A"/>
    <w:rsid w:val="00BD2951"/>
    <w:rsid w:val="00BD3C1E"/>
    <w:rsid w:val="00BD491F"/>
    <w:rsid w:val="00BD5A1E"/>
    <w:rsid w:val="00BD5F25"/>
    <w:rsid w:val="00BD70BA"/>
    <w:rsid w:val="00BD7BDD"/>
    <w:rsid w:val="00BE1122"/>
    <w:rsid w:val="00BE2402"/>
    <w:rsid w:val="00BE2A32"/>
    <w:rsid w:val="00BE2CEC"/>
    <w:rsid w:val="00BE2F0C"/>
    <w:rsid w:val="00BE3422"/>
    <w:rsid w:val="00BE4887"/>
    <w:rsid w:val="00BE4ADA"/>
    <w:rsid w:val="00BE5483"/>
    <w:rsid w:val="00BE56F6"/>
    <w:rsid w:val="00BE5BC0"/>
    <w:rsid w:val="00BF0759"/>
    <w:rsid w:val="00BF1BFF"/>
    <w:rsid w:val="00BF29DA"/>
    <w:rsid w:val="00BF2E7E"/>
    <w:rsid w:val="00BF3533"/>
    <w:rsid w:val="00BF3F27"/>
    <w:rsid w:val="00BF4A14"/>
    <w:rsid w:val="00BF4EA9"/>
    <w:rsid w:val="00BF64B9"/>
    <w:rsid w:val="00BF6B38"/>
    <w:rsid w:val="00BF7217"/>
    <w:rsid w:val="00C00001"/>
    <w:rsid w:val="00C00057"/>
    <w:rsid w:val="00C0102C"/>
    <w:rsid w:val="00C01C2C"/>
    <w:rsid w:val="00C02EE2"/>
    <w:rsid w:val="00C038B1"/>
    <w:rsid w:val="00C04559"/>
    <w:rsid w:val="00C05907"/>
    <w:rsid w:val="00C11D78"/>
    <w:rsid w:val="00C13624"/>
    <w:rsid w:val="00C13D45"/>
    <w:rsid w:val="00C14D4D"/>
    <w:rsid w:val="00C14F44"/>
    <w:rsid w:val="00C16E49"/>
    <w:rsid w:val="00C1744A"/>
    <w:rsid w:val="00C2001F"/>
    <w:rsid w:val="00C20061"/>
    <w:rsid w:val="00C20912"/>
    <w:rsid w:val="00C21BCF"/>
    <w:rsid w:val="00C21D8B"/>
    <w:rsid w:val="00C2244B"/>
    <w:rsid w:val="00C2321F"/>
    <w:rsid w:val="00C236B2"/>
    <w:rsid w:val="00C24E8A"/>
    <w:rsid w:val="00C251A3"/>
    <w:rsid w:val="00C262F1"/>
    <w:rsid w:val="00C26500"/>
    <w:rsid w:val="00C2654E"/>
    <w:rsid w:val="00C266B6"/>
    <w:rsid w:val="00C308FE"/>
    <w:rsid w:val="00C309E2"/>
    <w:rsid w:val="00C32DF8"/>
    <w:rsid w:val="00C33307"/>
    <w:rsid w:val="00C33775"/>
    <w:rsid w:val="00C34535"/>
    <w:rsid w:val="00C34713"/>
    <w:rsid w:val="00C34BA8"/>
    <w:rsid w:val="00C3580B"/>
    <w:rsid w:val="00C35E03"/>
    <w:rsid w:val="00C401DB"/>
    <w:rsid w:val="00C4050D"/>
    <w:rsid w:val="00C40885"/>
    <w:rsid w:val="00C41234"/>
    <w:rsid w:val="00C4146A"/>
    <w:rsid w:val="00C41519"/>
    <w:rsid w:val="00C41857"/>
    <w:rsid w:val="00C41C03"/>
    <w:rsid w:val="00C43058"/>
    <w:rsid w:val="00C44181"/>
    <w:rsid w:val="00C45C4E"/>
    <w:rsid w:val="00C45F63"/>
    <w:rsid w:val="00C46A85"/>
    <w:rsid w:val="00C47014"/>
    <w:rsid w:val="00C47D7F"/>
    <w:rsid w:val="00C5088D"/>
    <w:rsid w:val="00C52DD7"/>
    <w:rsid w:val="00C55212"/>
    <w:rsid w:val="00C56609"/>
    <w:rsid w:val="00C57745"/>
    <w:rsid w:val="00C60012"/>
    <w:rsid w:val="00C612BD"/>
    <w:rsid w:val="00C616F2"/>
    <w:rsid w:val="00C62A35"/>
    <w:rsid w:val="00C62E26"/>
    <w:rsid w:val="00C63223"/>
    <w:rsid w:val="00C6696E"/>
    <w:rsid w:val="00C66B27"/>
    <w:rsid w:val="00C66B7B"/>
    <w:rsid w:val="00C67749"/>
    <w:rsid w:val="00C7046D"/>
    <w:rsid w:val="00C7047B"/>
    <w:rsid w:val="00C70585"/>
    <w:rsid w:val="00C70593"/>
    <w:rsid w:val="00C72360"/>
    <w:rsid w:val="00C7264E"/>
    <w:rsid w:val="00C732DD"/>
    <w:rsid w:val="00C74C62"/>
    <w:rsid w:val="00C7567E"/>
    <w:rsid w:val="00C7609D"/>
    <w:rsid w:val="00C76386"/>
    <w:rsid w:val="00C76388"/>
    <w:rsid w:val="00C76A4B"/>
    <w:rsid w:val="00C7783A"/>
    <w:rsid w:val="00C77C3C"/>
    <w:rsid w:val="00C80E30"/>
    <w:rsid w:val="00C810F9"/>
    <w:rsid w:val="00C813B3"/>
    <w:rsid w:val="00C82078"/>
    <w:rsid w:val="00C8208B"/>
    <w:rsid w:val="00C82380"/>
    <w:rsid w:val="00C823B6"/>
    <w:rsid w:val="00C83BD0"/>
    <w:rsid w:val="00C86431"/>
    <w:rsid w:val="00C865E1"/>
    <w:rsid w:val="00C866B9"/>
    <w:rsid w:val="00C87F52"/>
    <w:rsid w:val="00C92377"/>
    <w:rsid w:val="00C92637"/>
    <w:rsid w:val="00C93BC7"/>
    <w:rsid w:val="00C940E9"/>
    <w:rsid w:val="00C947E3"/>
    <w:rsid w:val="00C95FCA"/>
    <w:rsid w:val="00C96385"/>
    <w:rsid w:val="00C97456"/>
    <w:rsid w:val="00CA0705"/>
    <w:rsid w:val="00CA1739"/>
    <w:rsid w:val="00CA1826"/>
    <w:rsid w:val="00CA298E"/>
    <w:rsid w:val="00CA3F6B"/>
    <w:rsid w:val="00CA40C4"/>
    <w:rsid w:val="00CA4828"/>
    <w:rsid w:val="00CA4E0A"/>
    <w:rsid w:val="00CA4F82"/>
    <w:rsid w:val="00CA5EEE"/>
    <w:rsid w:val="00CA65C3"/>
    <w:rsid w:val="00CA7B83"/>
    <w:rsid w:val="00CB1D16"/>
    <w:rsid w:val="00CB1FD9"/>
    <w:rsid w:val="00CB2967"/>
    <w:rsid w:val="00CB3884"/>
    <w:rsid w:val="00CB3D1D"/>
    <w:rsid w:val="00CB48C0"/>
    <w:rsid w:val="00CB5AB2"/>
    <w:rsid w:val="00CB694B"/>
    <w:rsid w:val="00CC0800"/>
    <w:rsid w:val="00CC0D20"/>
    <w:rsid w:val="00CC10AB"/>
    <w:rsid w:val="00CC17E2"/>
    <w:rsid w:val="00CC1D04"/>
    <w:rsid w:val="00CC2CA2"/>
    <w:rsid w:val="00CC33F0"/>
    <w:rsid w:val="00CC3A2F"/>
    <w:rsid w:val="00CC54C9"/>
    <w:rsid w:val="00CC57BC"/>
    <w:rsid w:val="00CC6C42"/>
    <w:rsid w:val="00CC7FBC"/>
    <w:rsid w:val="00CD061C"/>
    <w:rsid w:val="00CD0B61"/>
    <w:rsid w:val="00CD18CC"/>
    <w:rsid w:val="00CD1C62"/>
    <w:rsid w:val="00CD2254"/>
    <w:rsid w:val="00CD2267"/>
    <w:rsid w:val="00CD232B"/>
    <w:rsid w:val="00CD24D4"/>
    <w:rsid w:val="00CD2ADD"/>
    <w:rsid w:val="00CD2B60"/>
    <w:rsid w:val="00CD30B8"/>
    <w:rsid w:val="00CD3A17"/>
    <w:rsid w:val="00CD4DBC"/>
    <w:rsid w:val="00CD6B4B"/>
    <w:rsid w:val="00CD7134"/>
    <w:rsid w:val="00CE096E"/>
    <w:rsid w:val="00CE0972"/>
    <w:rsid w:val="00CE0A93"/>
    <w:rsid w:val="00CE12F6"/>
    <w:rsid w:val="00CE2500"/>
    <w:rsid w:val="00CE285E"/>
    <w:rsid w:val="00CE53C0"/>
    <w:rsid w:val="00CE5B30"/>
    <w:rsid w:val="00CE61F3"/>
    <w:rsid w:val="00CE72D7"/>
    <w:rsid w:val="00CE76B0"/>
    <w:rsid w:val="00CE7CE8"/>
    <w:rsid w:val="00CF0010"/>
    <w:rsid w:val="00CF1D24"/>
    <w:rsid w:val="00CF3AD8"/>
    <w:rsid w:val="00CF5A6C"/>
    <w:rsid w:val="00CF612D"/>
    <w:rsid w:val="00CF7A47"/>
    <w:rsid w:val="00D00FFA"/>
    <w:rsid w:val="00D01DE9"/>
    <w:rsid w:val="00D02CB8"/>
    <w:rsid w:val="00D030A0"/>
    <w:rsid w:val="00D0424B"/>
    <w:rsid w:val="00D052FB"/>
    <w:rsid w:val="00D055B9"/>
    <w:rsid w:val="00D06D68"/>
    <w:rsid w:val="00D076DC"/>
    <w:rsid w:val="00D1030A"/>
    <w:rsid w:val="00D10C26"/>
    <w:rsid w:val="00D10E2C"/>
    <w:rsid w:val="00D12116"/>
    <w:rsid w:val="00D12282"/>
    <w:rsid w:val="00D12519"/>
    <w:rsid w:val="00D12BAB"/>
    <w:rsid w:val="00D12C0A"/>
    <w:rsid w:val="00D151A9"/>
    <w:rsid w:val="00D15D77"/>
    <w:rsid w:val="00D20D99"/>
    <w:rsid w:val="00D235A2"/>
    <w:rsid w:val="00D23EBF"/>
    <w:rsid w:val="00D2453A"/>
    <w:rsid w:val="00D2493A"/>
    <w:rsid w:val="00D24BBC"/>
    <w:rsid w:val="00D2586B"/>
    <w:rsid w:val="00D25917"/>
    <w:rsid w:val="00D25AAE"/>
    <w:rsid w:val="00D2649F"/>
    <w:rsid w:val="00D26EFB"/>
    <w:rsid w:val="00D27198"/>
    <w:rsid w:val="00D27907"/>
    <w:rsid w:val="00D279E4"/>
    <w:rsid w:val="00D27A14"/>
    <w:rsid w:val="00D303CA"/>
    <w:rsid w:val="00D30852"/>
    <w:rsid w:val="00D30F49"/>
    <w:rsid w:val="00D3142E"/>
    <w:rsid w:val="00D32B98"/>
    <w:rsid w:val="00D34894"/>
    <w:rsid w:val="00D35B78"/>
    <w:rsid w:val="00D36AD8"/>
    <w:rsid w:val="00D376F4"/>
    <w:rsid w:val="00D37A44"/>
    <w:rsid w:val="00D40E94"/>
    <w:rsid w:val="00D42F65"/>
    <w:rsid w:val="00D44FED"/>
    <w:rsid w:val="00D45BAD"/>
    <w:rsid w:val="00D460C5"/>
    <w:rsid w:val="00D46D70"/>
    <w:rsid w:val="00D50CDA"/>
    <w:rsid w:val="00D51DE5"/>
    <w:rsid w:val="00D52746"/>
    <w:rsid w:val="00D54B5C"/>
    <w:rsid w:val="00D5512A"/>
    <w:rsid w:val="00D566F5"/>
    <w:rsid w:val="00D56D7E"/>
    <w:rsid w:val="00D570CC"/>
    <w:rsid w:val="00D575E3"/>
    <w:rsid w:val="00D60231"/>
    <w:rsid w:val="00D60689"/>
    <w:rsid w:val="00D60A4B"/>
    <w:rsid w:val="00D6218F"/>
    <w:rsid w:val="00D65B7A"/>
    <w:rsid w:val="00D669B1"/>
    <w:rsid w:val="00D66C17"/>
    <w:rsid w:val="00D66D78"/>
    <w:rsid w:val="00D70261"/>
    <w:rsid w:val="00D70431"/>
    <w:rsid w:val="00D70BE1"/>
    <w:rsid w:val="00D7129D"/>
    <w:rsid w:val="00D719E9"/>
    <w:rsid w:val="00D71BD6"/>
    <w:rsid w:val="00D7230D"/>
    <w:rsid w:val="00D72C61"/>
    <w:rsid w:val="00D74CF0"/>
    <w:rsid w:val="00D753E3"/>
    <w:rsid w:val="00D75A3F"/>
    <w:rsid w:val="00D769ED"/>
    <w:rsid w:val="00D7759B"/>
    <w:rsid w:val="00D77B73"/>
    <w:rsid w:val="00D8084E"/>
    <w:rsid w:val="00D8191E"/>
    <w:rsid w:val="00D82440"/>
    <w:rsid w:val="00D82F50"/>
    <w:rsid w:val="00D836FA"/>
    <w:rsid w:val="00D83ECE"/>
    <w:rsid w:val="00D8577F"/>
    <w:rsid w:val="00D8633B"/>
    <w:rsid w:val="00D87111"/>
    <w:rsid w:val="00D8744F"/>
    <w:rsid w:val="00D9024D"/>
    <w:rsid w:val="00D906CA"/>
    <w:rsid w:val="00D911C8"/>
    <w:rsid w:val="00D91DE0"/>
    <w:rsid w:val="00D92285"/>
    <w:rsid w:val="00D9228B"/>
    <w:rsid w:val="00D93BA0"/>
    <w:rsid w:val="00D9419C"/>
    <w:rsid w:val="00D94437"/>
    <w:rsid w:val="00D94CF7"/>
    <w:rsid w:val="00D951C3"/>
    <w:rsid w:val="00D95250"/>
    <w:rsid w:val="00D95F69"/>
    <w:rsid w:val="00DA16E1"/>
    <w:rsid w:val="00DA3CF8"/>
    <w:rsid w:val="00DA4326"/>
    <w:rsid w:val="00DA4752"/>
    <w:rsid w:val="00DA50DE"/>
    <w:rsid w:val="00DA57E1"/>
    <w:rsid w:val="00DA688B"/>
    <w:rsid w:val="00DA731E"/>
    <w:rsid w:val="00DA7E53"/>
    <w:rsid w:val="00DA7F20"/>
    <w:rsid w:val="00DB122C"/>
    <w:rsid w:val="00DB1941"/>
    <w:rsid w:val="00DB1DAF"/>
    <w:rsid w:val="00DB1DE4"/>
    <w:rsid w:val="00DB2AE0"/>
    <w:rsid w:val="00DB3CAE"/>
    <w:rsid w:val="00DB4A4C"/>
    <w:rsid w:val="00DB4FDE"/>
    <w:rsid w:val="00DB7A72"/>
    <w:rsid w:val="00DC0035"/>
    <w:rsid w:val="00DC0E89"/>
    <w:rsid w:val="00DC292E"/>
    <w:rsid w:val="00DC382E"/>
    <w:rsid w:val="00DC3A92"/>
    <w:rsid w:val="00DC417F"/>
    <w:rsid w:val="00DC55CC"/>
    <w:rsid w:val="00DC63CA"/>
    <w:rsid w:val="00DC7142"/>
    <w:rsid w:val="00DC7850"/>
    <w:rsid w:val="00DD038B"/>
    <w:rsid w:val="00DD1214"/>
    <w:rsid w:val="00DD48E2"/>
    <w:rsid w:val="00DD5764"/>
    <w:rsid w:val="00DD6A26"/>
    <w:rsid w:val="00DD7726"/>
    <w:rsid w:val="00DD79B8"/>
    <w:rsid w:val="00DD7A28"/>
    <w:rsid w:val="00DE16E5"/>
    <w:rsid w:val="00DE1766"/>
    <w:rsid w:val="00DE1CB8"/>
    <w:rsid w:val="00DE397F"/>
    <w:rsid w:val="00DE426F"/>
    <w:rsid w:val="00DE4516"/>
    <w:rsid w:val="00DE4D51"/>
    <w:rsid w:val="00DE51D0"/>
    <w:rsid w:val="00DE5BEF"/>
    <w:rsid w:val="00DE7257"/>
    <w:rsid w:val="00DF10CC"/>
    <w:rsid w:val="00DF1117"/>
    <w:rsid w:val="00DF1782"/>
    <w:rsid w:val="00DF204E"/>
    <w:rsid w:val="00DF2EE9"/>
    <w:rsid w:val="00DF3703"/>
    <w:rsid w:val="00DF72D1"/>
    <w:rsid w:val="00DF7D07"/>
    <w:rsid w:val="00E0092E"/>
    <w:rsid w:val="00E00E86"/>
    <w:rsid w:val="00E0222F"/>
    <w:rsid w:val="00E024D1"/>
    <w:rsid w:val="00E02CDC"/>
    <w:rsid w:val="00E0362B"/>
    <w:rsid w:val="00E04256"/>
    <w:rsid w:val="00E106EB"/>
    <w:rsid w:val="00E117E4"/>
    <w:rsid w:val="00E12DDD"/>
    <w:rsid w:val="00E12F9F"/>
    <w:rsid w:val="00E157A2"/>
    <w:rsid w:val="00E157AE"/>
    <w:rsid w:val="00E16012"/>
    <w:rsid w:val="00E16520"/>
    <w:rsid w:val="00E174DD"/>
    <w:rsid w:val="00E17980"/>
    <w:rsid w:val="00E17B34"/>
    <w:rsid w:val="00E219AB"/>
    <w:rsid w:val="00E23385"/>
    <w:rsid w:val="00E2370A"/>
    <w:rsid w:val="00E23F4E"/>
    <w:rsid w:val="00E2506E"/>
    <w:rsid w:val="00E25BE5"/>
    <w:rsid w:val="00E27328"/>
    <w:rsid w:val="00E30B17"/>
    <w:rsid w:val="00E30DA1"/>
    <w:rsid w:val="00E30ED8"/>
    <w:rsid w:val="00E32F76"/>
    <w:rsid w:val="00E33614"/>
    <w:rsid w:val="00E3430C"/>
    <w:rsid w:val="00E3481F"/>
    <w:rsid w:val="00E34D5A"/>
    <w:rsid w:val="00E34F9C"/>
    <w:rsid w:val="00E356B2"/>
    <w:rsid w:val="00E35CC2"/>
    <w:rsid w:val="00E35FB1"/>
    <w:rsid w:val="00E36FB6"/>
    <w:rsid w:val="00E37994"/>
    <w:rsid w:val="00E37C34"/>
    <w:rsid w:val="00E40D0B"/>
    <w:rsid w:val="00E4140D"/>
    <w:rsid w:val="00E4140E"/>
    <w:rsid w:val="00E415DE"/>
    <w:rsid w:val="00E423A0"/>
    <w:rsid w:val="00E42442"/>
    <w:rsid w:val="00E43B1B"/>
    <w:rsid w:val="00E44322"/>
    <w:rsid w:val="00E44E15"/>
    <w:rsid w:val="00E4556B"/>
    <w:rsid w:val="00E469A0"/>
    <w:rsid w:val="00E474C8"/>
    <w:rsid w:val="00E47FB1"/>
    <w:rsid w:val="00E5156C"/>
    <w:rsid w:val="00E51F00"/>
    <w:rsid w:val="00E53D50"/>
    <w:rsid w:val="00E54257"/>
    <w:rsid w:val="00E55095"/>
    <w:rsid w:val="00E5599D"/>
    <w:rsid w:val="00E5628D"/>
    <w:rsid w:val="00E57D27"/>
    <w:rsid w:val="00E60D92"/>
    <w:rsid w:val="00E612F3"/>
    <w:rsid w:val="00E6142E"/>
    <w:rsid w:val="00E614F1"/>
    <w:rsid w:val="00E6164C"/>
    <w:rsid w:val="00E630C6"/>
    <w:rsid w:val="00E630FD"/>
    <w:rsid w:val="00E632CE"/>
    <w:rsid w:val="00E6408D"/>
    <w:rsid w:val="00E64B5C"/>
    <w:rsid w:val="00E6505A"/>
    <w:rsid w:val="00E659EC"/>
    <w:rsid w:val="00E662F3"/>
    <w:rsid w:val="00E6643F"/>
    <w:rsid w:val="00E66568"/>
    <w:rsid w:val="00E66DB3"/>
    <w:rsid w:val="00E7021B"/>
    <w:rsid w:val="00E705BE"/>
    <w:rsid w:val="00E706C2"/>
    <w:rsid w:val="00E71934"/>
    <w:rsid w:val="00E724C7"/>
    <w:rsid w:val="00E72901"/>
    <w:rsid w:val="00E730A2"/>
    <w:rsid w:val="00E7389B"/>
    <w:rsid w:val="00E749B2"/>
    <w:rsid w:val="00E74EA2"/>
    <w:rsid w:val="00E7587B"/>
    <w:rsid w:val="00E76DCA"/>
    <w:rsid w:val="00E76E40"/>
    <w:rsid w:val="00E7753C"/>
    <w:rsid w:val="00E77C07"/>
    <w:rsid w:val="00E80E42"/>
    <w:rsid w:val="00E81218"/>
    <w:rsid w:val="00E81DD6"/>
    <w:rsid w:val="00E82566"/>
    <w:rsid w:val="00E8279C"/>
    <w:rsid w:val="00E84E99"/>
    <w:rsid w:val="00E86652"/>
    <w:rsid w:val="00E8728D"/>
    <w:rsid w:val="00E87463"/>
    <w:rsid w:val="00E87B6C"/>
    <w:rsid w:val="00E9112A"/>
    <w:rsid w:val="00E91828"/>
    <w:rsid w:val="00E91CA5"/>
    <w:rsid w:val="00E92970"/>
    <w:rsid w:val="00E92E80"/>
    <w:rsid w:val="00E9318E"/>
    <w:rsid w:val="00E93B8D"/>
    <w:rsid w:val="00E96B97"/>
    <w:rsid w:val="00E973D7"/>
    <w:rsid w:val="00E9742E"/>
    <w:rsid w:val="00EA048E"/>
    <w:rsid w:val="00EA1F2E"/>
    <w:rsid w:val="00EA3B29"/>
    <w:rsid w:val="00EA5C95"/>
    <w:rsid w:val="00EA7450"/>
    <w:rsid w:val="00EA7A09"/>
    <w:rsid w:val="00EB15BC"/>
    <w:rsid w:val="00EB1D70"/>
    <w:rsid w:val="00EB2A56"/>
    <w:rsid w:val="00EB4164"/>
    <w:rsid w:val="00EB4EE0"/>
    <w:rsid w:val="00EB5EF1"/>
    <w:rsid w:val="00EB61E5"/>
    <w:rsid w:val="00EB6471"/>
    <w:rsid w:val="00EB64EE"/>
    <w:rsid w:val="00EB65A3"/>
    <w:rsid w:val="00EB692B"/>
    <w:rsid w:val="00EB7701"/>
    <w:rsid w:val="00EC00E9"/>
    <w:rsid w:val="00EC0206"/>
    <w:rsid w:val="00EC04CE"/>
    <w:rsid w:val="00EC076C"/>
    <w:rsid w:val="00EC0D22"/>
    <w:rsid w:val="00EC0DF2"/>
    <w:rsid w:val="00EC0DF8"/>
    <w:rsid w:val="00EC1708"/>
    <w:rsid w:val="00EC1EEB"/>
    <w:rsid w:val="00EC245F"/>
    <w:rsid w:val="00EC28CA"/>
    <w:rsid w:val="00EC3896"/>
    <w:rsid w:val="00EC785F"/>
    <w:rsid w:val="00EC78B8"/>
    <w:rsid w:val="00EC7DC0"/>
    <w:rsid w:val="00EC7E6D"/>
    <w:rsid w:val="00ED06D5"/>
    <w:rsid w:val="00ED0B33"/>
    <w:rsid w:val="00ED10E2"/>
    <w:rsid w:val="00ED1435"/>
    <w:rsid w:val="00ED2905"/>
    <w:rsid w:val="00ED2EC0"/>
    <w:rsid w:val="00ED3659"/>
    <w:rsid w:val="00ED4214"/>
    <w:rsid w:val="00ED45EA"/>
    <w:rsid w:val="00ED67E9"/>
    <w:rsid w:val="00ED6DFD"/>
    <w:rsid w:val="00ED6EC9"/>
    <w:rsid w:val="00ED7598"/>
    <w:rsid w:val="00EE04C0"/>
    <w:rsid w:val="00EE19F1"/>
    <w:rsid w:val="00EE1B9F"/>
    <w:rsid w:val="00EE27A1"/>
    <w:rsid w:val="00EE27E3"/>
    <w:rsid w:val="00EE2ADE"/>
    <w:rsid w:val="00EE3F43"/>
    <w:rsid w:val="00EE44EA"/>
    <w:rsid w:val="00EE4C4F"/>
    <w:rsid w:val="00EE4D9C"/>
    <w:rsid w:val="00EE67C5"/>
    <w:rsid w:val="00EE69B4"/>
    <w:rsid w:val="00EE7048"/>
    <w:rsid w:val="00EE749D"/>
    <w:rsid w:val="00EF009A"/>
    <w:rsid w:val="00EF0E1E"/>
    <w:rsid w:val="00EF1E94"/>
    <w:rsid w:val="00EF32EA"/>
    <w:rsid w:val="00EF3D76"/>
    <w:rsid w:val="00EF51A5"/>
    <w:rsid w:val="00EF53DB"/>
    <w:rsid w:val="00EF6F83"/>
    <w:rsid w:val="00EF7F23"/>
    <w:rsid w:val="00F01289"/>
    <w:rsid w:val="00F022FA"/>
    <w:rsid w:val="00F02B15"/>
    <w:rsid w:val="00F02F2A"/>
    <w:rsid w:val="00F03118"/>
    <w:rsid w:val="00F0397E"/>
    <w:rsid w:val="00F04125"/>
    <w:rsid w:val="00F04E41"/>
    <w:rsid w:val="00F0571A"/>
    <w:rsid w:val="00F06AE6"/>
    <w:rsid w:val="00F07A8B"/>
    <w:rsid w:val="00F07EC9"/>
    <w:rsid w:val="00F10081"/>
    <w:rsid w:val="00F11FE8"/>
    <w:rsid w:val="00F14275"/>
    <w:rsid w:val="00F201E4"/>
    <w:rsid w:val="00F20DBF"/>
    <w:rsid w:val="00F21960"/>
    <w:rsid w:val="00F21B52"/>
    <w:rsid w:val="00F21C6A"/>
    <w:rsid w:val="00F23317"/>
    <w:rsid w:val="00F24095"/>
    <w:rsid w:val="00F25465"/>
    <w:rsid w:val="00F2587E"/>
    <w:rsid w:val="00F258D5"/>
    <w:rsid w:val="00F262B5"/>
    <w:rsid w:val="00F2642B"/>
    <w:rsid w:val="00F26711"/>
    <w:rsid w:val="00F26EEF"/>
    <w:rsid w:val="00F27E16"/>
    <w:rsid w:val="00F30F17"/>
    <w:rsid w:val="00F31F42"/>
    <w:rsid w:val="00F32D17"/>
    <w:rsid w:val="00F334B1"/>
    <w:rsid w:val="00F34261"/>
    <w:rsid w:val="00F34393"/>
    <w:rsid w:val="00F362BE"/>
    <w:rsid w:val="00F370C5"/>
    <w:rsid w:val="00F4060D"/>
    <w:rsid w:val="00F4258A"/>
    <w:rsid w:val="00F43608"/>
    <w:rsid w:val="00F44147"/>
    <w:rsid w:val="00F4512E"/>
    <w:rsid w:val="00F45FB2"/>
    <w:rsid w:val="00F46318"/>
    <w:rsid w:val="00F46D94"/>
    <w:rsid w:val="00F475EB"/>
    <w:rsid w:val="00F500AD"/>
    <w:rsid w:val="00F50863"/>
    <w:rsid w:val="00F513C1"/>
    <w:rsid w:val="00F516D2"/>
    <w:rsid w:val="00F5349D"/>
    <w:rsid w:val="00F538C7"/>
    <w:rsid w:val="00F53D38"/>
    <w:rsid w:val="00F560BC"/>
    <w:rsid w:val="00F57F70"/>
    <w:rsid w:val="00F60FEA"/>
    <w:rsid w:val="00F61146"/>
    <w:rsid w:val="00F61667"/>
    <w:rsid w:val="00F616B3"/>
    <w:rsid w:val="00F62137"/>
    <w:rsid w:val="00F62F57"/>
    <w:rsid w:val="00F64537"/>
    <w:rsid w:val="00F6500F"/>
    <w:rsid w:val="00F654A9"/>
    <w:rsid w:val="00F65A41"/>
    <w:rsid w:val="00F66378"/>
    <w:rsid w:val="00F678B8"/>
    <w:rsid w:val="00F703FC"/>
    <w:rsid w:val="00F71300"/>
    <w:rsid w:val="00F71CE9"/>
    <w:rsid w:val="00F72CB5"/>
    <w:rsid w:val="00F73793"/>
    <w:rsid w:val="00F741A3"/>
    <w:rsid w:val="00F754EB"/>
    <w:rsid w:val="00F75980"/>
    <w:rsid w:val="00F75A82"/>
    <w:rsid w:val="00F75E80"/>
    <w:rsid w:val="00F760F4"/>
    <w:rsid w:val="00F76FDE"/>
    <w:rsid w:val="00F77139"/>
    <w:rsid w:val="00F7738B"/>
    <w:rsid w:val="00F7741E"/>
    <w:rsid w:val="00F7758C"/>
    <w:rsid w:val="00F77E17"/>
    <w:rsid w:val="00F80D1D"/>
    <w:rsid w:val="00F81A42"/>
    <w:rsid w:val="00F81D5C"/>
    <w:rsid w:val="00F820C6"/>
    <w:rsid w:val="00F82BF2"/>
    <w:rsid w:val="00F82D8C"/>
    <w:rsid w:val="00F8309E"/>
    <w:rsid w:val="00F855AD"/>
    <w:rsid w:val="00F8582D"/>
    <w:rsid w:val="00F869FB"/>
    <w:rsid w:val="00F86FD9"/>
    <w:rsid w:val="00F87A5C"/>
    <w:rsid w:val="00F87F40"/>
    <w:rsid w:val="00F90C0A"/>
    <w:rsid w:val="00F91C16"/>
    <w:rsid w:val="00F92649"/>
    <w:rsid w:val="00F928D2"/>
    <w:rsid w:val="00F9453B"/>
    <w:rsid w:val="00F94888"/>
    <w:rsid w:val="00F94E89"/>
    <w:rsid w:val="00F96EBE"/>
    <w:rsid w:val="00F9754B"/>
    <w:rsid w:val="00F97AB9"/>
    <w:rsid w:val="00F97FA0"/>
    <w:rsid w:val="00FA0D7A"/>
    <w:rsid w:val="00FA15FB"/>
    <w:rsid w:val="00FA316B"/>
    <w:rsid w:val="00FA355A"/>
    <w:rsid w:val="00FA3C23"/>
    <w:rsid w:val="00FA4377"/>
    <w:rsid w:val="00FA4706"/>
    <w:rsid w:val="00FA4F76"/>
    <w:rsid w:val="00FA729B"/>
    <w:rsid w:val="00FA756C"/>
    <w:rsid w:val="00FA7A1D"/>
    <w:rsid w:val="00FA7B37"/>
    <w:rsid w:val="00FB0AD7"/>
    <w:rsid w:val="00FB0B70"/>
    <w:rsid w:val="00FB0DF2"/>
    <w:rsid w:val="00FB1348"/>
    <w:rsid w:val="00FB19C7"/>
    <w:rsid w:val="00FB1A4B"/>
    <w:rsid w:val="00FB38B7"/>
    <w:rsid w:val="00FB62E4"/>
    <w:rsid w:val="00FB6942"/>
    <w:rsid w:val="00FB6E95"/>
    <w:rsid w:val="00FC145A"/>
    <w:rsid w:val="00FC19B6"/>
    <w:rsid w:val="00FC2156"/>
    <w:rsid w:val="00FC346A"/>
    <w:rsid w:val="00FC496A"/>
    <w:rsid w:val="00FC4A3A"/>
    <w:rsid w:val="00FD016F"/>
    <w:rsid w:val="00FD1FFA"/>
    <w:rsid w:val="00FD476E"/>
    <w:rsid w:val="00FD53CF"/>
    <w:rsid w:val="00FD5AC9"/>
    <w:rsid w:val="00FD6760"/>
    <w:rsid w:val="00FD6E1F"/>
    <w:rsid w:val="00FD7C00"/>
    <w:rsid w:val="00FE21A3"/>
    <w:rsid w:val="00FE23D8"/>
    <w:rsid w:val="00FE3C41"/>
    <w:rsid w:val="00FE514F"/>
    <w:rsid w:val="00FE5782"/>
    <w:rsid w:val="00FE5C6A"/>
    <w:rsid w:val="00FE6425"/>
    <w:rsid w:val="00FE78FC"/>
    <w:rsid w:val="00FF24B5"/>
    <w:rsid w:val="00FF5F84"/>
    <w:rsid w:val="00FF5FC5"/>
    <w:rsid w:val="00FF6410"/>
    <w:rsid w:val="3C4778A1"/>
    <w:rsid w:val="4F1F48AC"/>
    <w:rsid w:val="5E2445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08526A"/>
  <w15:chartTrackingRefBased/>
  <w15:docId w15:val="{11F5CD54-9969-46C7-976B-AA363ED13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9" w:lineRule="auto"/>
    </w:pPr>
    <w:rPr>
      <w:sz w:val="24"/>
      <w:szCs w:val="24"/>
      <w:lang w:eastAsia="ja-JP"/>
    </w:rPr>
  </w:style>
  <w:style w:type="paragraph" w:styleId="Heading1">
    <w:name w:val="heading 1"/>
    <w:basedOn w:val="Normal"/>
    <w:next w:val="Normal"/>
    <w:link w:val="Heading1Char"/>
    <w:uiPriority w:val="9"/>
    <w:qFormat/>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color w:val="0F4761"/>
    </w:rPr>
  </w:style>
  <w:style w:type="paragraph" w:styleId="Heading6">
    <w:name w:val="heading 6"/>
    <w:basedOn w:val="Normal"/>
    <w:next w:val="Normal"/>
    <w:link w:val="Heading6Char"/>
    <w:uiPriority w:val="9"/>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color w:val="595959"/>
    </w:rPr>
  </w:style>
  <w:style w:type="paragraph" w:styleId="Heading8">
    <w:name w:val="heading 8"/>
    <w:basedOn w:val="Normal"/>
    <w:next w:val="Normal"/>
    <w:link w:val="Heading8Char"/>
    <w:uiPriority w:val="9"/>
    <w:unhideWhenUsed/>
    <w:qFormat/>
    <w:pPr>
      <w:keepNext/>
      <w:keepLines/>
      <w:spacing w:after="0"/>
      <w:outlineLvl w:val="7"/>
    </w:pPr>
    <w:rPr>
      <w:i/>
      <w:iCs/>
      <w:color w:val="272727"/>
    </w:rPr>
  </w:style>
  <w:style w:type="paragraph" w:styleId="Heading9">
    <w:name w:val="heading 9"/>
    <w:basedOn w:val="Normal"/>
    <w:next w:val="Normal"/>
    <w:link w:val="Heading9Char"/>
    <w:uiPriority w:val="9"/>
    <w:unhideWhenUsed/>
    <w:qFormat/>
    <w:pPr>
      <w:keepNext/>
      <w:keepLines/>
      <w:spacing w:after="0"/>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ptos Display" w:eastAsia="Times New Roman" w:hAnsi="Aptos Display" w:cs="Times New Roman"/>
      <w:color w:val="0F4761"/>
      <w:sz w:val="40"/>
      <w:szCs w:val="40"/>
    </w:rPr>
  </w:style>
  <w:style w:type="character" w:customStyle="1" w:styleId="Heading2Char">
    <w:name w:val="Heading 2 Char"/>
    <w:link w:val="Heading2"/>
    <w:uiPriority w:val="9"/>
    <w:rPr>
      <w:rFonts w:ascii="Aptos Display" w:eastAsia="Times New Roman" w:hAnsi="Aptos Display" w:cs="Times New Roman"/>
      <w:color w:val="0F4761"/>
      <w:sz w:val="32"/>
      <w:szCs w:val="32"/>
    </w:rPr>
  </w:style>
  <w:style w:type="character" w:customStyle="1" w:styleId="Heading3Char">
    <w:name w:val="Heading 3 Char"/>
    <w:link w:val="Heading3"/>
    <w:uiPriority w:val="9"/>
    <w:rPr>
      <w:rFonts w:eastAsia="Times New Roman" w:cs="Times New Roman"/>
      <w:color w:val="0F4761"/>
      <w:sz w:val="28"/>
      <w:szCs w:val="28"/>
    </w:rPr>
  </w:style>
  <w:style w:type="character" w:customStyle="1" w:styleId="Heading4Char">
    <w:name w:val="Heading 4 Char"/>
    <w:link w:val="Heading4"/>
    <w:uiPriority w:val="9"/>
    <w:rPr>
      <w:rFonts w:eastAsia="Times New Roman" w:cs="Times New Roman"/>
      <w:i/>
      <w:iCs/>
      <w:color w:val="0F4761"/>
    </w:rPr>
  </w:style>
  <w:style w:type="character" w:customStyle="1" w:styleId="Heading5Char">
    <w:name w:val="Heading 5 Char"/>
    <w:link w:val="Heading5"/>
    <w:uiPriority w:val="9"/>
    <w:rPr>
      <w:rFonts w:eastAsia="Times New Roman" w:cs="Times New Roman"/>
      <w:color w:val="0F4761"/>
    </w:rPr>
  </w:style>
  <w:style w:type="character" w:customStyle="1" w:styleId="Heading6Char">
    <w:name w:val="Heading 6 Char"/>
    <w:link w:val="Heading6"/>
    <w:uiPriority w:val="9"/>
    <w:rPr>
      <w:rFonts w:eastAsia="Times New Roman" w:cs="Times New Roman"/>
      <w:i/>
      <w:iCs/>
      <w:color w:val="595959"/>
    </w:rPr>
  </w:style>
  <w:style w:type="character" w:customStyle="1" w:styleId="Heading7Char">
    <w:name w:val="Heading 7 Char"/>
    <w:link w:val="Heading7"/>
    <w:uiPriority w:val="9"/>
    <w:rPr>
      <w:rFonts w:eastAsia="Times New Roman" w:cs="Times New Roman"/>
      <w:color w:val="595959"/>
    </w:rPr>
  </w:style>
  <w:style w:type="character" w:customStyle="1" w:styleId="Heading8Char">
    <w:name w:val="Heading 8 Char"/>
    <w:link w:val="Heading8"/>
    <w:uiPriority w:val="9"/>
    <w:rPr>
      <w:rFonts w:eastAsia="Times New Roman" w:cs="Times New Roman"/>
      <w:i/>
      <w:iCs/>
      <w:color w:val="272727"/>
    </w:rPr>
  </w:style>
  <w:style w:type="character" w:customStyle="1" w:styleId="Heading9Char">
    <w:name w:val="Heading 9 Char"/>
    <w:link w:val="Heading9"/>
    <w:uiPriority w:val="9"/>
    <w:rPr>
      <w:rFonts w:eastAsia="Times New Roman" w:cs="Times New Roman"/>
      <w:color w:val="272727"/>
    </w:rPr>
  </w:style>
  <w:style w:type="character" w:customStyle="1" w:styleId="TitleChar">
    <w:name w:val="Title Char"/>
    <w:link w:val="Title"/>
    <w:uiPriority w:val="10"/>
    <w:rPr>
      <w:rFonts w:ascii="Aptos Display" w:eastAsia="Times New Roman" w:hAnsi="Aptos Display" w:cs="Times New Roman"/>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Aptos Display" w:hAnsi="Aptos Display"/>
      <w:spacing w:val="-10"/>
      <w:kern w:val="28"/>
      <w:sz w:val="56"/>
      <w:szCs w:val="56"/>
    </w:rPr>
  </w:style>
  <w:style w:type="character" w:customStyle="1" w:styleId="SubtitleChar">
    <w:name w:val="Subtitle Char"/>
    <w:link w:val="Subtitle"/>
    <w:uiPriority w:val="11"/>
    <w:rPr>
      <w:rFonts w:eastAsia="Times New Roman" w:cs="Times New Roman"/>
      <w:color w:val="595959"/>
      <w:spacing w:val="15"/>
      <w:sz w:val="28"/>
      <w:szCs w:val="28"/>
    </w:rPr>
  </w:style>
  <w:style w:type="paragraph" w:styleId="Subtitle">
    <w:name w:val="Subtitle"/>
    <w:basedOn w:val="Normal"/>
    <w:next w:val="Normal"/>
    <w:link w:val="SubtitleChar"/>
    <w:uiPriority w:val="11"/>
    <w:qFormat/>
    <w:pPr>
      <w:numPr>
        <w:ilvl w:val="1"/>
      </w:numPr>
    </w:pPr>
    <w:rPr>
      <w:color w:val="595959"/>
      <w:spacing w:val="15"/>
      <w:sz w:val="28"/>
      <w:szCs w:val="28"/>
    </w:rPr>
  </w:style>
  <w:style w:type="character" w:styleId="IntenseEmphasis">
    <w:name w:val="Intense Emphasis"/>
    <w:uiPriority w:val="21"/>
    <w:qFormat/>
    <w:rPr>
      <w:i/>
      <w:iCs/>
      <w:color w:val="0F4761"/>
    </w:rPr>
  </w:style>
  <w:style w:type="character" w:customStyle="1" w:styleId="QuoteChar">
    <w:name w:val="Quote Char"/>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uiPriority w:val="32"/>
    <w:qFormat/>
    <w:rPr>
      <w:b/>
      <w:bCs/>
      <w:smallCaps/>
      <w:color w:val="0F4761"/>
      <w:spacing w:val="5"/>
    </w:rPr>
  </w:style>
  <w:style w:type="character" w:styleId="FootnoteReference">
    <w:name w:val="footnote reference"/>
    <w:uiPriority w:val="99"/>
    <w:semiHidden/>
    <w:unhideWhenUsed/>
    <w:rsid w:val="005B67D0"/>
    <w:rPr>
      <w:vertAlign w:val="superscript"/>
    </w:rPr>
  </w:style>
  <w:style w:type="character" w:customStyle="1" w:styleId="FootnoteTextChar">
    <w:name w:val="Footnote Text Char"/>
    <w:link w:val="FootnoteText"/>
    <w:uiPriority w:val="99"/>
    <w:semiHidden/>
    <w:rsid w:val="005B67D0"/>
    <w:rPr>
      <w:sz w:val="20"/>
      <w:szCs w:val="20"/>
    </w:rPr>
  </w:style>
  <w:style w:type="paragraph" w:styleId="FootnoteText">
    <w:name w:val="footnote text"/>
    <w:basedOn w:val="Normal"/>
    <w:link w:val="FootnoteTextChar"/>
    <w:uiPriority w:val="99"/>
    <w:semiHidden/>
    <w:unhideWhenUsed/>
    <w:rsid w:val="005B67D0"/>
    <w:pPr>
      <w:spacing w:after="0" w:line="240" w:lineRule="auto"/>
    </w:pPr>
    <w:rPr>
      <w:sz w:val="20"/>
      <w:szCs w:val="20"/>
    </w:rPr>
  </w:style>
  <w:style w:type="character" w:customStyle="1" w:styleId="FootnoteTextChar1">
    <w:name w:val="Footnote Text Char1"/>
    <w:uiPriority w:val="99"/>
    <w:semiHidden/>
    <w:rsid w:val="005B67D0"/>
    <w:rPr>
      <w:sz w:val="20"/>
      <w:szCs w:val="20"/>
    </w:rPr>
  </w:style>
  <w:style w:type="character" w:styleId="CommentReference">
    <w:name w:val="annotation reference"/>
    <w:uiPriority w:val="99"/>
    <w:semiHidden/>
    <w:unhideWhenUsed/>
    <w:rsid w:val="005B67D0"/>
    <w:rPr>
      <w:sz w:val="16"/>
      <w:szCs w:val="16"/>
    </w:rPr>
  </w:style>
  <w:style w:type="paragraph" w:styleId="CommentText">
    <w:name w:val="annotation text"/>
    <w:basedOn w:val="Normal"/>
    <w:link w:val="CommentTextChar"/>
    <w:uiPriority w:val="99"/>
    <w:unhideWhenUsed/>
    <w:rsid w:val="005B67D0"/>
    <w:pPr>
      <w:spacing w:line="240" w:lineRule="auto"/>
    </w:pPr>
    <w:rPr>
      <w:rFonts w:eastAsia="Calibri" w:cs="Arial"/>
      <w:sz w:val="20"/>
      <w:szCs w:val="20"/>
      <w:lang w:eastAsia="en-US"/>
    </w:rPr>
  </w:style>
  <w:style w:type="character" w:customStyle="1" w:styleId="CommentTextChar">
    <w:name w:val="Comment Text Char"/>
    <w:link w:val="CommentText"/>
    <w:uiPriority w:val="99"/>
    <w:rsid w:val="005B67D0"/>
    <w:rPr>
      <w:rFonts w:eastAsia="Calibri" w:cs="Arial"/>
      <w:sz w:val="20"/>
      <w:szCs w:val="20"/>
      <w:lang w:eastAsia="en-US"/>
    </w:rPr>
  </w:style>
  <w:style w:type="character" w:customStyle="1" w:styleId="normaltextrun">
    <w:name w:val="normaltextrun"/>
    <w:basedOn w:val="DefaultParagraphFont"/>
    <w:rsid w:val="0077539D"/>
  </w:style>
  <w:style w:type="character" w:styleId="Hyperlink">
    <w:name w:val="Hyperlink"/>
    <w:uiPriority w:val="99"/>
    <w:unhideWhenUsed/>
    <w:rsid w:val="00EB1D70"/>
    <w:rPr>
      <w:color w:val="467886"/>
      <w:u w:val="single"/>
    </w:rPr>
  </w:style>
  <w:style w:type="character" w:styleId="UnresolvedMention">
    <w:name w:val="Unresolved Mention"/>
    <w:uiPriority w:val="99"/>
    <w:semiHidden/>
    <w:unhideWhenUsed/>
    <w:rsid w:val="00EB1D70"/>
    <w:rPr>
      <w:color w:val="605E5C"/>
      <w:shd w:val="clear" w:color="auto" w:fill="E1DFDD"/>
    </w:rPr>
  </w:style>
  <w:style w:type="character" w:customStyle="1" w:styleId="eop">
    <w:name w:val="eop"/>
    <w:basedOn w:val="DefaultParagraphFont"/>
    <w:rsid w:val="00DA50DE"/>
  </w:style>
  <w:style w:type="paragraph" w:styleId="CommentSubject">
    <w:name w:val="annotation subject"/>
    <w:basedOn w:val="CommentText"/>
    <w:next w:val="CommentText"/>
    <w:link w:val="CommentSubjectChar"/>
    <w:uiPriority w:val="99"/>
    <w:semiHidden/>
    <w:unhideWhenUsed/>
    <w:rsid w:val="00183E98"/>
    <w:rPr>
      <w:rFonts w:eastAsia="Times New Roman" w:cs="Times New Roman"/>
      <w:b/>
      <w:bCs/>
      <w:lang w:eastAsia="ja-JP"/>
    </w:rPr>
  </w:style>
  <w:style w:type="character" w:customStyle="1" w:styleId="CommentSubjectChar">
    <w:name w:val="Comment Subject Char"/>
    <w:link w:val="CommentSubject"/>
    <w:uiPriority w:val="99"/>
    <w:semiHidden/>
    <w:rsid w:val="00183E98"/>
    <w:rPr>
      <w:rFonts w:eastAsia="Calibri" w:cs="Arial"/>
      <w:b/>
      <w:bCs/>
      <w:sz w:val="20"/>
      <w:szCs w:val="20"/>
      <w:lang w:eastAsia="en-US"/>
    </w:rPr>
  </w:style>
  <w:style w:type="paragraph" w:styleId="Header">
    <w:name w:val="header"/>
    <w:basedOn w:val="Normal"/>
    <w:link w:val="HeaderChar"/>
    <w:uiPriority w:val="99"/>
    <w:unhideWhenUsed/>
    <w:rsid w:val="00606F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FF9"/>
  </w:style>
  <w:style w:type="paragraph" w:styleId="Footer">
    <w:name w:val="footer"/>
    <w:basedOn w:val="Normal"/>
    <w:link w:val="FooterChar"/>
    <w:uiPriority w:val="99"/>
    <w:unhideWhenUsed/>
    <w:rsid w:val="00606F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FF9"/>
  </w:style>
  <w:style w:type="paragraph" w:styleId="ListParagraph">
    <w:name w:val="List Paragraph"/>
    <w:basedOn w:val="Normal"/>
    <w:uiPriority w:val="34"/>
    <w:qFormat/>
    <w:rsid w:val="00220A86"/>
    <w:pPr>
      <w:ind w:left="720"/>
      <w:contextualSpacing/>
    </w:pPr>
  </w:style>
  <w:style w:type="paragraph" w:customStyle="1" w:styleId="Style1">
    <w:name w:val="Style1"/>
    <w:basedOn w:val="FootnoteText"/>
    <w:link w:val="Style1Char"/>
    <w:qFormat/>
    <w:rsid w:val="00302D44"/>
    <w:rPr>
      <w:rFonts w:eastAsia="Aptos"/>
      <w:lang w:eastAsia="en-US"/>
    </w:rPr>
  </w:style>
  <w:style w:type="character" w:customStyle="1" w:styleId="Style1Char">
    <w:name w:val="Style1 Char"/>
    <w:link w:val="Style1"/>
    <w:rsid w:val="00302D44"/>
    <w:rPr>
      <w:rFonts w:eastAsia="Aptos"/>
      <w:lang w:eastAsia="en-US"/>
    </w:rPr>
  </w:style>
  <w:style w:type="paragraph" w:customStyle="1" w:styleId="msonormal0">
    <w:name w:val="msonormal"/>
    <w:basedOn w:val="Normal"/>
    <w:rsid w:val="00992C45"/>
    <w:pPr>
      <w:spacing w:before="100" w:beforeAutospacing="1" w:after="100" w:afterAutospacing="1" w:line="240" w:lineRule="auto"/>
    </w:pPr>
    <w:rPr>
      <w:rFonts w:ascii="Times New Roman" w:hAnsi="Times New Roman"/>
      <w:lang w:eastAsia="en-GB"/>
    </w:rPr>
  </w:style>
  <w:style w:type="paragraph" w:customStyle="1" w:styleId="paragraph">
    <w:name w:val="paragraph"/>
    <w:basedOn w:val="Normal"/>
    <w:rsid w:val="00992C45"/>
    <w:pPr>
      <w:spacing w:before="100" w:beforeAutospacing="1" w:after="100" w:afterAutospacing="1" w:line="240" w:lineRule="auto"/>
    </w:pPr>
    <w:rPr>
      <w:rFonts w:ascii="Times New Roman" w:hAnsi="Times New Roman"/>
      <w:lang w:eastAsia="en-GB"/>
    </w:rPr>
  </w:style>
  <w:style w:type="character" w:customStyle="1" w:styleId="textrun">
    <w:name w:val="textrun"/>
    <w:basedOn w:val="DefaultParagraphFont"/>
    <w:rsid w:val="00992C45"/>
  </w:style>
  <w:style w:type="character" w:customStyle="1" w:styleId="spellingerror">
    <w:name w:val="spellingerror"/>
    <w:basedOn w:val="DefaultParagraphFont"/>
    <w:rsid w:val="00EC1EEB"/>
  </w:style>
  <w:style w:type="character" w:customStyle="1" w:styleId="findhit">
    <w:name w:val="findhit"/>
    <w:basedOn w:val="DefaultParagraphFont"/>
    <w:rsid w:val="00EC1EEB"/>
  </w:style>
  <w:style w:type="paragraph" w:styleId="Revision">
    <w:name w:val="Revision"/>
    <w:hidden/>
    <w:uiPriority w:val="99"/>
    <w:semiHidden/>
    <w:rsid w:val="00EC1EEB"/>
    <w:rPr>
      <w:rFonts w:cs="Calibri"/>
      <w:sz w:val="24"/>
      <w:lang w:eastAsia="ja-JP"/>
    </w:rPr>
  </w:style>
  <w:style w:type="table" w:styleId="TableGrid">
    <w:name w:val="Table Grid"/>
    <w:basedOn w:val="TableNormal"/>
    <w:uiPriority w:val="39"/>
    <w:rsid w:val="003A756F"/>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C2D9B"/>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E335F"/>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825"/>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F3703"/>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05A80"/>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E3422"/>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00A61"/>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12F9F"/>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F4E31"/>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AF364E"/>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185AB7"/>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658CF"/>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B9725A"/>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94562"/>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AD1399"/>
    <w:rPr>
      <w:rFonts w:eastAsia="Aptos" w:cs="Calibri"/>
      <w:b/>
      <w:bCs/>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482812"/>
  </w:style>
  <w:style w:type="table" w:customStyle="1" w:styleId="TableGrid16">
    <w:name w:val="Table Grid16"/>
    <w:basedOn w:val="TableNormal"/>
    <w:next w:val="TableGrid"/>
    <w:uiPriority w:val="59"/>
    <w:rsid w:val="00482812"/>
    <w:rPr>
      <w:rFonts w:eastAsia="Aptos" w:cs="Calibri"/>
      <w:b/>
      <w:bCs/>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78865">
      <w:bodyDiv w:val="1"/>
      <w:marLeft w:val="0"/>
      <w:marRight w:val="0"/>
      <w:marTop w:val="0"/>
      <w:marBottom w:val="0"/>
      <w:divBdr>
        <w:top w:val="none" w:sz="0" w:space="0" w:color="auto"/>
        <w:left w:val="none" w:sz="0" w:space="0" w:color="auto"/>
        <w:bottom w:val="none" w:sz="0" w:space="0" w:color="auto"/>
        <w:right w:val="none" w:sz="0" w:space="0" w:color="auto"/>
      </w:divBdr>
      <w:divsChild>
        <w:div w:id="1747455383">
          <w:marLeft w:val="0"/>
          <w:marRight w:val="0"/>
          <w:marTop w:val="0"/>
          <w:marBottom w:val="0"/>
          <w:divBdr>
            <w:top w:val="none" w:sz="0" w:space="0" w:color="auto"/>
            <w:left w:val="none" w:sz="0" w:space="0" w:color="auto"/>
            <w:bottom w:val="none" w:sz="0" w:space="0" w:color="auto"/>
            <w:right w:val="none" w:sz="0" w:space="0" w:color="auto"/>
          </w:divBdr>
        </w:div>
        <w:div w:id="1447968794">
          <w:marLeft w:val="0"/>
          <w:marRight w:val="0"/>
          <w:marTop w:val="0"/>
          <w:marBottom w:val="0"/>
          <w:divBdr>
            <w:top w:val="none" w:sz="0" w:space="0" w:color="auto"/>
            <w:left w:val="none" w:sz="0" w:space="0" w:color="auto"/>
            <w:bottom w:val="none" w:sz="0" w:space="0" w:color="auto"/>
            <w:right w:val="none" w:sz="0" w:space="0" w:color="auto"/>
          </w:divBdr>
        </w:div>
        <w:div w:id="904074059">
          <w:marLeft w:val="0"/>
          <w:marRight w:val="0"/>
          <w:marTop w:val="0"/>
          <w:marBottom w:val="0"/>
          <w:divBdr>
            <w:top w:val="none" w:sz="0" w:space="0" w:color="auto"/>
            <w:left w:val="none" w:sz="0" w:space="0" w:color="auto"/>
            <w:bottom w:val="none" w:sz="0" w:space="0" w:color="auto"/>
            <w:right w:val="none" w:sz="0" w:space="0" w:color="auto"/>
          </w:divBdr>
        </w:div>
        <w:div w:id="1066151468">
          <w:marLeft w:val="0"/>
          <w:marRight w:val="0"/>
          <w:marTop w:val="0"/>
          <w:marBottom w:val="0"/>
          <w:divBdr>
            <w:top w:val="none" w:sz="0" w:space="0" w:color="auto"/>
            <w:left w:val="none" w:sz="0" w:space="0" w:color="auto"/>
            <w:bottom w:val="none" w:sz="0" w:space="0" w:color="auto"/>
            <w:right w:val="none" w:sz="0" w:space="0" w:color="auto"/>
          </w:divBdr>
        </w:div>
        <w:div w:id="1361785560">
          <w:marLeft w:val="0"/>
          <w:marRight w:val="0"/>
          <w:marTop w:val="0"/>
          <w:marBottom w:val="0"/>
          <w:divBdr>
            <w:top w:val="none" w:sz="0" w:space="0" w:color="auto"/>
            <w:left w:val="none" w:sz="0" w:space="0" w:color="auto"/>
            <w:bottom w:val="none" w:sz="0" w:space="0" w:color="auto"/>
            <w:right w:val="none" w:sz="0" w:space="0" w:color="auto"/>
          </w:divBdr>
        </w:div>
        <w:div w:id="754863723">
          <w:marLeft w:val="0"/>
          <w:marRight w:val="0"/>
          <w:marTop w:val="0"/>
          <w:marBottom w:val="0"/>
          <w:divBdr>
            <w:top w:val="none" w:sz="0" w:space="0" w:color="auto"/>
            <w:left w:val="none" w:sz="0" w:space="0" w:color="auto"/>
            <w:bottom w:val="none" w:sz="0" w:space="0" w:color="auto"/>
            <w:right w:val="none" w:sz="0" w:space="0" w:color="auto"/>
          </w:divBdr>
        </w:div>
        <w:div w:id="181433785">
          <w:marLeft w:val="0"/>
          <w:marRight w:val="0"/>
          <w:marTop w:val="0"/>
          <w:marBottom w:val="0"/>
          <w:divBdr>
            <w:top w:val="none" w:sz="0" w:space="0" w:color="auto"/>
            <w:left w:val="none" w:sz="0" w:space="0" w:color="auto"/>
            <w:bottom w:val="none" w:sz="0" w:space="0" w:color="auto"/>
            <w:right w:val="none" w:sz="0" w:space="0" w:color="auto"/>
          </w:divBdr>
        </w:div>
        <w:div w:id="1877153766">
          <w:marLeft w:val="0"/>
          <w:marRight w:val="0"/>
          <w:marTop w:val="0"/>
          <w:marBottom w:val="0"/>
          <w:divBdr>
            <w:top w:val="none" w:sz="0" w:space="0" w:color="auto"/>
            <w:left w:val="none" w:sz="0" w:space="0" w:color="auto"/>
            <w:bottom w:val="none" w:sz="0" w:space="0" w:color="auto"/>
            <w:right w:val="none" w:sz="0" w:space="0" w:color="auto"/>
          </w:divBdr>
        </w:div>
        <w:div w:id="1482621228">
          <w:marLeft w:val="0"/>
          <w:marRight w:val="0"/>
          <w:marTop w:val="0"/>
          <w:marBottom w:val="0"/>
          <w:divBdr>
            <w:top w:val="none" w:sz="0" w:space="0" w:color="auto"/>
            <w:left w:val="none" w:sz="0" w:space="0" w:color="auto"/>
            <w:bottom w:val="none" w:sz="0" w:space="0" w:color="auto"/>
            <w:right w:val="none" w:sz="0" w:space="0" w:color="auto"/>
          </w:divBdr>
        </w:div>
        <w:div w:id="199167996">
          <w:marLeft w:val="0"/>
          <w:marRight w:val="0"/>
          <w:marTop w:val="0"/>
          <w:marBottom w:val="0"/>
          <w:divBdr>
            <w:top w:val="none" w:sz="0" w:space="0" w:color="auto"/>
            <w:left w:val="none" w:sz="0" w:space="0" w:color="auto"/>
            <w:bottom w:val="none" w:sz="0" w:space="0" w:color="auto"/>
            <w:right w:val="none" w:sz="0" w:space="0" w:color="auto"/>
          </w:divBdr>
        </w:div>
        <w:div w:id="1228960208">
          <w:marLeft w:val="0"/>
          <w:marRight w:val="0"/>
          <w:marTop w:val="0"/>
          <w:marBottom w:val="0"/>
          <w:divBdr>
            <w:top w:val="none" w:sz="0" w:space="0" w:color="auto"/>
            <w:left w:val="none" w:sz="0" w:space="0" w:color="auto"/>
            <w:bottom w:val="none" w:sz="0" w:space="0" w:color="auto"/>
            <w:right w:val="none" w:sz="0" w:space="0" w:color="auto"/>
          </w:divBdr>
        </w:div>
        <w:div w:id="1560290568">
          <w:marLeft w:val="0"/>
          <w:marRight w:val="0"/>
          <w:marTop w:val="0"/>
          <w:marBottom w:val="0"/>
          <w:divBdr>
            <w:top w:val="none" w:sz="0" w:space="0" w:color="auto"/>
            <w:left w:val="none" w:sz="0" w:space="0" w:color="auto"/>
            <w:bottom w:val="none" w:sz="0" w:space="0" w:color="auto"/>
            <w:right w:val="none" w:sz="0" w:space="0" w:color="auto"/>
          </w:divBdr>
        </w:div>
        <w:div w:id="894195524">
          <w:marLeft w:val="0"/>
          <w:marRight w:val="0"/>
          <w:marTop w:val="0"/>
          <w:marBottom w:val="0"/>
          <w:divBdr>
            <w:top w:val="none" w:sz="0" w:space="0" w:color="auto"/>
            <w:left w:val="none" w:sz="0" w:space="0" w:color="auto"/>
            <w:bottom w:val="none" w:sz="0" w:space="0" w:color="auto"/>
            <w:right w:val="none" w:sz="0" w:space="0" w:color="auto"/>
          </w:divBdr>
        </w:div>
        <w:div w:id="1763916501">
          <w:marLeft w:val="0"/>
          <w:marRight w:val="0"/>
          <w:marTop w:val="0"/>
          <w:marBottom w:val="0"/>
          <w:divBdr>
            <w:top w:val="none" w:sz="0" w:space="0" w:color="auto"/>
            <w:left w:val="none" w:sz="0" w:space="0" w:color="auto"/>
            <w:bottom w:val="none" w:sz="0" w:space="0" w:color="auto"/>
            <w:right w:val="none" w:sz="0" w:space="0" w:color="auto"/>
          </w:divBdr>
        </w:div>
        <w:div w:id="363680602">
          <w:marLeft w:val="0"/>
          <w:marRight w:val="0"/>
          <w:marTop w:val="0"/>
          <w:marBottom w:val="0"/>
          <w:divBdr>
            <w:top w:val="none" w:sz="0" w:space="0" w:color="auto"/>
            <w:left w:val="none" w:sz="0" w:space="0" w:color="auto"/>
            <w:bottom w:val="none" w:sz="0" w:space="0" w:color="auto"/>
            <w:right w:val="none" w:sz="0" w:space="0" w:color="auto"/>
          </w:divBdr>
        </w:div>
        <w:div w:id="1152138008">
          <w:marLeft w:val="0"/>
          <w:marRight w:val="0"/>
          <w:marTop w:val="0"/>
          <w:marBottom w:val="0"/>
          <w:divBdr>
            <w:top w:val="none" w:sz="0" w:space="0" w:color="auto"/>
            <w:left w:val="none" w:sz="0" w:space="0" w:color="auto"/>
            <w:bottom w:val="none" w:sz="0" w:space="0" w:color="auto"/>
            <w:right w:val="none" w:sz="0" w:space="0" w:color="auto"/>
          </w:divBdr>
        </w:div>
        <w:div w:id="559634219">
          <w:marLeft w:val="0"/>
          <w:marRight w:val="0"/>
          <w:marTop w:val="0"/>
          <w:marBottom w:val="0"/>
          <w:divBdr>
            <w:top w:val="none" w:sz="0" w:space="0" w:color="auto"/>
            <w:left w:val="none" w:sz="0" w:space="0" w:color="auto"/>
            <w:bottom w:val="none" w:sz="0" w:space="0" w:color="auto"/>
            <w:right w:val="none" w:sz="0" w:space="0" w:color="auto"/>
          </w:divBdr>
        </w:div>
        <w:div w:id="849486035">
          <w:marLeft w:val="0"/>
          <w:marRight w:val="0"/>
          <w:marTop w:val="0"/>
          <w:marBottom w:val="0"/>
          <w:divBdr>
            <w:top w:val="none" w:sz="0" w:space="0" w:color="auto"/>
            <w:left w:val="none" w:sz="0" w:space="0" w:color="auto"/>
            <w:bottom w:val="none" w:sz="0" w:space="0" w:color="auto"/>
            <w:right w:val="none" w:sz="0" w:space="0" w:color="auto"/>
          </w:divBdr>
        </w:div>
        <w:div w:id="1121192070">
          <w:marLeft w:val="0"/>
          <w:marRight w:val="0"/>
          <w:marTop w:val="0"/>
          <w:marBottom w:val="0"/>
          <w:divBdr>
            <w:top w:val="none" w:sz="0" w:space="0" w:color="auto"/>
            <w:left w:val="none" w:sz="0" w:space="0" w:color="auto"/>
            <w:bottom w:val="none" w:sz="0" w:space="0" w:color="auto"/>
            <w:right w:val="none" w:sz="0" w:space="0" w:color="auto"/>
          </w:divBdr>
        </w:div>
        <w:div w:id="125439560">
          <w:marLeft w:val="0"/>
          <w:marRight w:val="0"/>
          <w:marTop w:val="0"/>
          <w:marBottom w:val="0"/>
          <w:divBdr>
            <w:top w:val="none" w:sz="0" w:space="0" w:color="auto"/>
            <w:left w:val="none" w:sz="0" w:space="0" w:color="auto"/>
            <w:bottom w:val="none" w:sz="0" w:space="0" w:color="auto"/>
            <w:right w:val="none" w:sz="0" w:space="0" w:color="auto"/>
          </w:divBdr>
        </w:div>
        <w:div w:id="1692953434">
          <w:marLeft w:val="0"/>
          <w:marRight w:val="0"/>
          <w:marTop w:val="0"/>
          <w:marBottom w:val="0"/>
          <w:divBdr>
            <w:top w:val="none" w:sz="0" w:space="0" w:color="auto"/>
            <w:left w:val="none" w:sz="0" w:space="0" w:color="auto"/>
            <w:bottom w:val="none" w:sz="0" w:space="0" w:color="auto"/>
            <w:right w:val="none" w:sz="0" w:space="0" w:color="auto"/>
          </w:divBdr>
        </w:div>
        <w:div w:id="1943760107">
          <w:marLeft w:val="0"/>
          <w:marRight w:val="0"/>
          <w:marTop w:val="0"/>
          <w:marBottom w:val="0"/>
          <w:divBdr>
            <w:top w:val="none" w:sz="0" w:space="0" w:color="auto"/>
            <w:left w:val="none" w:sz="0" w:space="0" w:color="auto"/>
            <w:bottom w:val="none" w:sz="0" w:space="0" w:color="auto"/>
            <w:right w:val="none" w:sz="0" w:space="0" w:color="auto"/>
          </w:divBdr>
        </w:div>
        <w:div w:id="335958046">
          <w:marLeft w:val="0"/>
          <w:marRight w:val="0"/>
          <w:marTop w:val="0"/>
          <w:marBottom w:val="0"/>
          <w:divBdr>
            <w:top w:val="none" w:sz="0" w:space="0" w:color="auto"/>
            <w:left w:val="none" w:sz="0" w:space="0" w:color="auto"/>
            <w:bottom w:val="none" w:sz="0" w:space="0" w:color="auto"/>
            <w:right w:val="none" w:sz="0" w:space="0" w:color="auto"/>
          </w:divBdr>
        </w:div>
        <w:div w:id="1055162003">
          <w:marLeft w:val="0"/>
          <w:marRight w:val="0"/>
          <w:marTop w:val="0"/>
          <w:marBottom w:val="0"/>
          <w:divBdr>
            <w:top w:val="none" w:sz="0" w:space="0" w:color="auto"/>
            <w:left w:val="none" w:sz="0" w:space="0" w:color="auto"/>
            <w:bottom w:val="none" w:sz="0" w:space="0" w:color="auto"/>
            <w:right w:val="none" w:sz="0" w:space="0" w:color="auto"/>
          </w:divBdr>
        </w:div>
        <w:div w:id="181632071">
          <w:marLeft w:val="0"/>
          <w:marRight w:val="0"/>
          <w:marTop w:val="0"/>
          <w:marBottom w:val="0"/>
          <w:divBdr>
            <w:top w:val="none" w:sz="0" w:space="0" w:color="auto"/>
            <w:left w:val="none" w:sz="0" w:space="0" w:color="auto"/>
            <w:bottom w:val="none" w:sz="0" w:space="0" w:color="auto"/>
            <w:right w:val="none" w:sz="0" w:space="0" w:color="auto"/>
          </w:divBdr>
        </w:div>
        <w:div w:id="1570651961">
          <w:marLeft w:val="0"/>
          <w:marRight w:val="0"/>
          <w:marTop w:val="0"/>
          <w:marBottom w:val="0"/>
          <w:divBdr>
            <w:top w:val="none" w:sz="0" w:space="0" w:color="auto"/>
            <w:left w:val="none" w:sz="0" w:space="0" w:color="auto"/>
            <w:bottom w:val="none" w:sz="0" w:space="0" w:color="auto"/>
            <w:right w:val="none" w:sz="0" w:space="0" w:color="auto"/>
          </w:divBdr>
        </w:div>
        <w:div w:id="2001957791">
          <w:marLeft w:val="0"/>
          <w:marRight w:val="0"/>
          <w:marTop w:val="0"/>
          <w:marBottom w:val="0"/>
          <w:divBdr>
            <w:top w:val="none" w:sz="0" w:space="0" w:color="auto"/>
            <w:left w:val="none" w:sz="0" w:space="0" w:color="auto"/>
            <w:bottom w:val="none" w:sz="0" w:space="0" w:color="auto"/>
            <w:right w:val="none" w:sz="0" w:space="0" w:color="auto"/>
          </w:divBdr>
        </w:div>
        <w:div w:id="1103301350">
          <w:marLeft w:val="0"/>
          <w:marRight w:val="0"/>
          <w:marTop w:val="0"/>
          <w:marBottom w:val="0"/>
          <w:divBdr>
            <w:top w:val="none" w:sz="0" w:space="0" w:color="auto"/>
            <w:left w:val="none" w:sz="0" w:space="0" w:color="auto"/>
            <w:bottom w:val="none" w:sz="0" w:space="0" w:color="auto"/>
            <w:right w:val="none" w:sz="0" w:space="0" w:color="auto"/>
          </w:divBdr>
        </w:div>
        <w:div w:id="801075235">
          <w:marLeft w:val="0"/>
          <w:marRight w:val="0"/>
          <w:marTop w:val="0"/>
          <w:marBottom w:val="0"/>
          <w:divBdr>
            <w:top w:val="none" w:sz="0" w:space="0" w:color="auto"/>
            <w:left w:val="none" w:sz="0" w:space="0" w:color="auto"/>
            <w:bottom w:val="none" w:sz="0" w:space="0" w:color="auto"/>
            <w:right w:val="none" w:sz="0" w:space="0" w:color="auto"/>
          </w:divBdr>
        </w:div>
        <w:div w:id="527303947">
          <w:marLeft w:val="0"/>
          <w:marRight w:val="0"/>
          <w:marTop w:val="0"/>
          <w:marBottom w:val="0"/>
          <w:divBdr>
            <w:top w:val="none" w:sz="0" w:space="0" w:color="auto"/>
            <w:left w:val="none" w:sz="0" w:space="0" w:color="auto"/>
            <w:bottom w:val="none" w:sz="0" w:space="0" w:color="auto"/>
            <w:right w:val="none" w:sz="0" w:space="0" w:color="auto"/>
          </w:divBdr>
        </w:div>
        <w:div w:id="2084981738">
          <w:marLeft w:val="0"/>
          <w:marRight w:val="0"/>
          <w:marTop w:val="0"/>
          <w:marBottom w:val="0"/>
          <w:divBdr>
            <w:top w:val="none" w:sz="0" w:space="0" w:color="auto"/>
            <w:left w:val="none" w:sz="0" w:space="0" w:color="auto"/>
            <w:bottom w:val="none" w:sz="0" w:space="0" w:color="auto"/>
            <w:right w:val="none" w:sz="0" w:space="0" w:color="auto"/>
          </w:divBdr>
        </w:div>
        <w:div w:id="1900089914">
          <w:marLeft w:val="0"/>
          <w:marRight w:val="0"/>
          <w:marTop w:val="0"/>
          <w:marBottom w:val="0"/>
          <w:divBdr>
            <w:top w:val="none" w:sz="0" w:space="0" w:color="auto"/>
            <w:left w:val="none" w:sz="0" w:space="0" w:color="auto"/>
            <w:bottom w:val="none" w:sz="0" w:space="0" w:color="auto"/>
            <w:right w:val="none" w:sz="0" w:space="0" w:color="auto"/>
          </w:divBdr>
        </w:div>
        <w:div w:id="1077634316">
          <w:marLeft w:val="0"/>
          <w:marRight w:val="0"/>
          <w:marTop w:val="0"/>
          <w:marBottom w:val="0"/>
          <w:divBdr>
            <w:top w:val="none" w:sz="0" w:space="0" w:color="auto"/>
            <w:left w:val="none" w:sz="0" w:space="0" w:color="auto"/>
            <w:bottom w:val="none" w:sz="0" w:space="0" w:color="auto"/>
            <w:right w:val="none" w:sz="0" w:space="0" w:color="auto"/>
          </w:divBdr>
        </w:div>
        <w:div w:id="290980473">
          <w:marLeft w:val="0"/>
          <w:marRight w:val="0"/>
          <w:marTop w:val="0"/>
          <w:marBottom w:val="0"/>
          <w:divBdr>
            <w:top w:val="none" w:sz="0" w:space="0" w:color="auto"/>
            <w:left w:val="none" w:sz="0" w:space="0" w:color="auto"/>
            <w:bottom w:val="none" w:sz="0" w:space="0" w:color="auto"/>
            <w:right w:val="none" w:sz="0" w:space="0" w:color="auto"/>
          </w:divBdr>
        </w:div>
        <w:div w:id="1493376900">
          <w:marLeft w:val="0"/>
          <w:marRight w:val="0"/>
          <w:marTop w:val="0"/>
          <w:marBottom w:val="0"/>
          <w:divBdr>
            <w:top w:val="none" w:sz="0" w:space="0" w:color="auto"/>
            <w:left w:val="none" w:sz="0" w:space="0" w:color="auto"/>
            <w:bottom w:val="none" w:sz="0" w:space="0" w:color="auto"/>
            <w:right w:val="none" w:sz="0" w:space="0" w:color="auto"/>
          </w:divBdr>
        </w:div>
      </w:divsChild>
    </w:div>
    <w:div w:id="276454720">
      <w:bodyDiv w:val="1"/>
      <w:marLeft w:val="0"/>
      <w:marRight w:val="0"/>
      <w:marTop w:val="0"/>
      <w:marBottom w:val="0"/>
      <w:divBdr>
        <w:top w:val="none" w:sz="0" w:space="0" w:color="auto"/>
        <w:left w:val="none" w:sz="0" w:space="0" w:color="auto"/>
        <w:bottom w:val="none" w:sz="0" w:space="0" w:color="auto"/>
        <w:right w:val="none" w:sz="0" w:space="0" w:color="auto"/>
      </w:divBdr>
      <w:divsChild>
        <w:div w:id="334302956">
          <w:marLeft w:val="0"/>
          <w:marRight w:val="0"/>
          <w:marTop w:val="0"/>
          <w:marBottom w:val="0"/>
          <w:divBdr>
            <w:top w:val="none" w:sz="0" w:space="0" w:color="auto"/>
            <w:left w:val="none" w:sz="0" w:space="0" w:color="auto"/>
            <w:bottom w:val="none" w:sz="0" w:space="0" w:color="auto"/>
            <w:right w:val="none" w:sz="0" w:space="0" w:color="auto"/>
          </w:divBdr>
        </w:div>
        <w:div w:id="142043400">
          <w:marLeft w:val="0"/>
          <w:marRight w:val="0"/>
          <w:marTop w:val="0"/>
          <w:marBottom w:val="0"/>
          <w:divBdr>
            <w:top w:val="none" w:sz="0" w:space="0" w:color="auto"/>
            <w:left w:val="none" w:sz="0" w:space="0" w:color="auto"/>
            <w:bottom w:val="none" w:sz="0" w:space="0" w:color="auto"/>
            <w:right w:val="none" w:sz="0" w:space="0" w:color="auto"/>
          </w:divBdr>
        </w:div>
      </w:divsChild>
    </w:div>
    <w:div w:id="367610118">
      <w:bodyDiv w:val="1"/>
      <w:marLeft w:val="0"/>
      <w:marRight w:val="0"/>
      <w:marTop w:val="0"/>
      <w:marBottom w:val="0"/>
      <w:divBdr>
        <w:top w:val="none" w:sz="0" w:space="0" w:color="auto"/>
        <w:left w:val="none" w:sz="0" w:space="0" w:color="auto"/>
        <w:bottom w:val="none" w:sz="0" w:space="0" w:color="auto"/>
        <w:right w:val="none" w:sz="0" w:space="0" w:color="auto"/>
      </w:divBdr>
      <w:divsChild>
        <w:div w:id="1118797320">
          <w:marLeft w:val="0"/>
          <w:marRight w:val="0"/>
          <w:marTop w:val="0"/>
          <w:marBottom w:val="0"/>
          <w:divBdr>
            <w:top w:val="none" w:sz="0" w:space="0" w:color="auto"/>
            <w:left w:val="none" w:sz="0" w:space="0" w:color="auto"/>
            <w:bottom w:val="none" w:sz="0" w:space="0" w:color="auto"/>
            <w:right w:val="none" w:sz="0" w:space="0" w:color="auto"/>
          </w:divBdr>
        </w:div>
        <w:div w:id="579675571">
          <w:marLeft w:val="0"/>
          <w:marRight w:val="0"/>
          <w:marTop w:val="0"/>
          <w:marBottom w:val="0"/>
          <w:divBdr>
            <w:top w:val="none" w:sz="0" w:space="0" w:color="auto"/>
            <w:left w:val="none" w:sz="0" w:space="0" w:color="auto"/>
            <w:bottom w:val="none" w:sz="0" w:space="0" w:color="auto"/>
            <w:right w:val="none" w:sz="0" w:space="0" w:color="auto"/>
          </w:divBdr>
        </w:div>
        <w:div w:id="1498963942">
          <w:marLeft w:val="0"/>
          <w:marRight w:val="0"/>
          <w:marTop w:val="0"/>
          <w:marBottom w:val="0"/>
          <w:divBdr>
            <w:top w:val="none" w:sz="0" w:space="0" w:color="auto"/>
            <w:left w:val="none" w:sz="0" w:space="0" w:color="auto"/>
            <w:bottom w:val="none" w:sz="0" w:space="0" w:color="auto"/>
            <w:right w:val="none" w:sz="0" w:space="0" w:color="auto"/>
          </w:divBdr>
        </w:div>
        <w:div w:id="282008446">
          <w:marLeft w:val="0"/>
          <w:marRight w:val="0"/>
          <w:marTop w:val="0"/>
          <w:marBottom w:val="0"/>
          <w:divBdr>
            <w:top w:val="none" w:sz="0" w:space="0" w:color="auto"/>
            <w:left w:val="none" w:sz="0" w:space="0" w:color="auto"/>
            <w:bottom w:val="none" w:sz="0" w:space="0" w:color="auto"/>
            <w:right w:val="none" w:sz="0" w:space="0" w:color="auto"/>
          </w:divBdr>
        </w:div>
        <w:div w:id="831027831">
          <w:marLeft w:val="0"/>
          <w:marRight w:val="0"/>
          <w:marTop w:val="0"/>
          <w:marBottom w:val="0"/>
          <w:divBdr>
            <w:top w:val="none" w:sz="0" w:space="0" w:color="auto"/>
            <w:left w:val="none" w:sz="0" w:space="0" w:color="auto"/>
            <w:bottom w:val="none" w:sz="0" w:space="0" w:color="auto"/>
            <w:right w:val="none" w:sz="0" w:space="0" w:color="auto"/>
          </w:divBdr>
        </w:div>
        <w:div w:id="1084573887">
          <w:marLeft w:val="0"/>
          <w:marRight w:val="0"/>
          <w:marTop w:val="0"/>
          <w:marBottom w:val="0"/>
          <w:divBdr>
            <w:top w:val="none" w:sz="0" w:space="0" w:color="auto"/>
            <w:left w:val="none" w:sz="0" w:space="0" w:color="auto"/>
            <w:bottom w:val="none" w:sz="0" w:space="0" w:color="auto"/>
            <w:right w:val="none" w:sz="0" w:space="0" w:color="auto"/>
          </w:divBdr>
        </w:div>
        <w:div w:id="1717120607">
          <w:marLeft w:val="0"/>
          <w:marRight w:val="0"/>
          <w:marTop w:val="0"/>
          <w:marBottom w:val="0"/>
          <w:divBdr>
            <w:top w:val="none" w:sz="0" w:space="0" w:color="auto"/>
            <w:left w:val="none" w:sz="0" w:space="0" w:color="auto"/>
            <w:bottom w:val="none" w:sz="0" w:space="0" w:color="auto"/>
            <w:right w:val="none" w:sz="0" w:space="0" w:color="auto"/>
          </w:divBdr>
        </w:div>
        <w:div w:id="164790268">
          <w:marLeft w:val="0"/>
          <w:marRight w:val="0"/>
          <w:marTop w:val="0"/>
          <w:marBottom w:val="0"/>
          <w:divBdr>
            <w:top w:val="none" w:sz="0" w:space="0" w:color="auto"/>
            <w:left w:val="none" w:sz="0" w:space="0" w:color="auto"/>
            <w:bottom w:val="none" w:sz="0" w:space="0" w:color="auto"/>
            <w:right w:val="none" w:sz="0" w:space="0" w:color="auto"/>
          </w:divBdr>
        </w:div>
        <w:div w:id="160505762">
          <w:marLeft w:val="0"/>
          <w:marRight w:val="0"/>
          <w:marTop w:val="0"/>
          <w:marBottom w:val="0"/>
          <w:divBdr>
            <w:top w:val="none" w:sz="0" w:space="0" w:color="auto"/>
            <w:left w:val="none" w:sz="0" w:space="0" w:color="auto"/>
            <w:bottom w:val="none" w:sz="0" w:space="0" w:color="auto"/>
            <w:right w:val="none" w:sz="0" w:space="0" w:color="auto"/>
          </w:divBdr>
        </w:div>
        <w:div w:id="610933883">
          <w:marLeft w:val="0"/>
          <w:marRight w:val="0"/>
          <w:marTop w:val="0"/>
          <w:marBottom w:val="0"/>
          <w:divBdr>
            <w:top w:val="none" w:sz="0" w:space="0" w:color="auto"/>
            <w:left w:val="none" w:sz="0" w:space="0" w:color="auto"/>
            <w:bottom w:val="none" w:sz="0" w:space="0" w:color="auto"/>
            <w:right w:val="none" w:sz="0" w:space="0" w:color="auto"/>
          </w:divBdr>
        </w:div>
        <w:div w:id="898828626">
          <w:marLeft w:val="0"/>
          <w:marRight w:val="0"/>
          <w:marTop w:val="0"/>
          <w:marBottom w:val="0"/>
          <w:divBdr>
            <w:top w:val="none" w:sz="0" w:space="0" w:color="auto"/>
            <w:left w:val="none" w:sz="0" w:space="0" w:color="auto"/>
            <w:bottom w:val="none" w:sz="0" w:space="0" w:color="auto"/>
            <w:right w:val="none" w:sz="0" w:space="0" w:color="auto"/>
          </w:divBdr>
        </w:div>
        <w:div w:id="412358524">
          <w:marLeft w:val="0"/>
          <w:marRight w:val="0"/>
          <w:marTop w:val="0"/>
          <w:marBottom w:val="0"/>
          <w:divBdr>
            <w:top w:val="none" w:sz="0" w:space="0" w:color="auto"/>
            <w:left w:val="none" w:sz="0" w:space="0" w:color="auto"/>
            <w:bottom w:val="none" w:sz="0" w:space="0" w:color="auto"/>
            <w:right w:val="none" w:sz="0" w:space="0" w:color="auto"/>
          </w:divBdr>
        </w:div>
        <w:div w:id="1941911947">
          <w:marLeft w:val="0"/>
          <w:marRight w:val="0"/>
          <w:marTop w:val="0"/>
          <w:marBottom w:val="0"/>
          <w:divBdr>
            <w:top w:val="none" w:sz="0" w:space="0" w:color="auto"/>
            <w:left w:val="none" w:sz="0" w:space="0" w:color="auto"/>
            <w:bottom w:val="none" w:sz="0" w:space="0" w:color="auto"/>
            <w:right w:val="none" w:sz="0" w:space="0" w:color="auto"/>
          </w:divBdr>
        </w:div>
        <w:div w:id="268006476">
          <w:marLeft w:val="0"/>
          <w:marRight w:val="0"/>
          <w:marTop w:val="0"/>
          <w:marBottom w:val="0"/>
          <w:divBdr>
            <w:top w:val="none" w:sz="0" w:space="0" w:color="auto"/>
            <w:left w:val="none" w:sz="0" w:space="0" w:color="auto"/>
            <w:bottom w:val="none" w:sz="0" w:space="0" w:color="auto"/>
            <w:right w:val="none" w:sz="0" w:space="0" w:color="auto"/>
          </w:divBdr>
        </w:div>
        <w:div w:id="870994953">
          <w:marLeft w:val="0"/>
          <w:marRight w:val="0"/>
          <w:marTop w:val="0"/>
          <w:marBottom w:val="0"/>
          <w:divBdr>
            <w:top w:val="none" w:sz="0" w:space="0" w:color="auto"/>
            <w:left w:val="none" w:sz="0" w:space="0" w:color="auto"/>
            <w:bottom w:val="none" w:sz="0" w:space="0" w:color="auto"/>
            <w:right w:val="none" w:sz="0" w:space="0" w:color="auto"/>
          </w:divBdr>
        </w:div>
        <w:div w:id="2120373070">
          <w:marLeft w:val="0"/>
          <w:marRight w:val="0"/>
          <w:marTop w:val="0"/>
          <w:marBottom w:val="0"/>
          <w:divBdr>
            <w:top w:val="none" w:sz="0" w:space="0" w:color="auto"/>
            <w:left w:val="none" w:sz="0" w:space="0" w:color="auto"/>
            <w:bottom w:val="none" w:sz="0" w:space="0" w:color="auto"/>
            <w:right w:val="none" w:sz="0" w:space="0" w:color="auto"/>
          </w:divBdr>
        </w:div>
        <w:div w:id="1754547809">
          <w:marLeft w:val="0"/>
          <w:marRight w:val="0"/>
          <w:marTop w:val="0"/>
          <w:marBottom w:val="0"/>
          <w:divBdr>
            <w:top w:val="none" w:sz="0" w:space="0" w:color="auto"/>
            <w:left w:val="none" w:sz="0" w:space="0" w:color="auto"/>
            <w:bottom w:val="none" w:sz="0" w:space="0" w:color="auto"/>
            <w:right w:val="none" w:sz="0" w:space="0" w:color="auto"/>
          </w:divBdr>
        </w:div>
        <w:div w:id="99182551">
          <w:marLeft w:val="0"/>
          <w:marRight w:val="0"/>
          <w:marTop w:val="0"/>
          <w:marBottom w:val="0"/>
          <w:divBdr>
            <w:top w:val="none" w:sz="0" w:space="0" w:color="auto"/>
            <w:left w:val="none" w:sz="0" w:space="0" w:color="auto"/>
            <w:bottom w:val="none" w:sz="0" w:space="0" w:color="auto"/>
            <w:right w:val="none" w:sz="0" w:space="0" w:color="auto"/>
          </w:divBdr>
        </w:div>
        <w:div w:id="1538733020">
          <w:marLeft w:val="0"/>
          <w:marRight w:val="0"/>
          <w:marTop w:val="0"/>
          <w:marBottom w:val="0"/>
          <w:divBdr>
            <w:top w:val="none" w:sz="0" w:space="0" w:color="auto"/>
            <w:left w:val="none" w:sz="0" w:space="0" w:color="auto"/>
            <w:bottom w:val="none" w:sz="0" w:space="0" w:color="auto"/>
            <w:right w:val="none" w:sz="0" w:space="0" w:color="auto"/>
          </w:divBdr>
        </w:div>
        <w:div w:id="234172833">
          <w:marLeft w:val="0"/>
          <w:marRight w:val="0"/>
          <w:marTop w:val="0"/>
          <w:marBottom w:val="0"/>
          <w:divBdr>
            <w:top w:val="none" w:sz="0" w:space="0" w:color="auto"/>
            <w:left w:val="none" w:sz="0" w:space="0" w:color="auto"/>
            <w:bottom w:val="none" w:sz="0" w:space="0" w:color="auto"/>
            <w:right w:val="none" w:sz="0" w:space="0" w:color="auto"/>
          </w:divBdr>
        </w:div>
        <w:div w:id="7484967">
          <w:marLeft w:val="0"/>
          <w:marRight w:val="0"/>
          <w:marTop w:val="0"/>
          <w:marBottom w:val="0"/>
          <w:divBdr>
            <w:top w:val="none" w:sz="0" w:space="0" w:color="auto"/>
            <w:left w:val="none" w:sz="0" w:space="0" w:color="auto"/>
            <w:bottom w:val="none" w:sz="0" w:space="0" w:color="auto"/>
            <w:right w:val="none" w:sz="0" w:space="0" w:color="auto"/>
          </w:divBdr>
        </w:div>
        <w:div w:id="365640274">
          <w:marLeft w:val="0"/>
          <w:marRight w:val="0"/>
          <w:marTop w:val="0"/>
          <w:marBottom w:val="0"/>
          <w:divBdr>
            <w:top w:val="none" w:sz="0" w:space="0" w:color="auto"/>
            <w:left w:val="none" w:sz="0" w:space="0" w:color="auto"/>
            <w:bottom w:val="none" w:sz="0" w:space="0" w:color="auto"/>
            <w:right w:val="none" w:sz="0" w:space="0" w:color="auto"/>
          </w:divBdr>
        </w:div>
        <w:div w:id="1951089058">
          <w:marLeft w:val="0"/>
          <w:marRight w:val="0"/>
          <w:marTop w:val="0"/>
          <w:marBottom w:val="0"/>
          <w:divBdr>
            <w:top w:val="none" w:sz="0" w:space="0" w:color="auto"/>
            <w:left w:val="none" w:sz="0" w:space="0" w:color="auto"/>
            <w:bottom w:val="none" w:sz="0" w:space="0" w:color="auto"/>
            <w:right w:val="none" w:sz="0" w:space="0" w:color="auto"/>
          </w:divBdr>
        </w:div>
        <w:div w:id="121460361">
          <w:marLeft w:val="0"/>
          <w:marRight w:val="0"/>
          <w:marTop w:val="0"/>
          <w:marBottom w:val="0"/>
          <w:divBdr>
            <w:top w:val="none" w:sz="0" w:space="0" w:color="auto"/>
            <w:left w:val="none" w:sz="0" w:space="0" w:color="auto"/>
            <w:bottom w:val="none" w:sz="0" w:space="0" w:color="auto"/>
            <w:right w:val="none" w:sz="0" w:space="0" w:color="auto"/>
          </w:divBdr>
        </w:div>
        <w:div w:id="1485584360">
          <w:marLeft w:val="0"/>
          <w:marRight w:val="0"/>
          <w:marTop w:val="0"/>
          <w:marBottom w:val="0"/>
          <w:divBdr>
            <w:top w:val="none" w:sz="0" w:space="0" w:color="auto"/>
            <w:left w:val="none" w:sz="0" w:space="0" w:color="auto"/>
            <w:bottom w:val="none" w:sz="0" w:space="0" w:color="auto"/>
            <w:right w:val="none" w:sz="0" w:space="0" w:color="auto"/>
          </w:divBdr>
        </w:div>
        <w:div w:id="1600067425">
          <w:marLeft w:val="0"/>
          <w:marRight w:val="0"/>
          <w:marTop w:val="0"/>
          <w:marBottom w:val="0"/>
          <w:divBdr>
            <w:top w:val="none" w:sz="0" w:space="0" w:color="auto"/>
            <w:left w:val="none" w:sz="0" w:space="0" w:color="auto"/>
            <w:bottom w:val="none" w:sz="0" w:space="0" w:color="auto"/>
            <w:right w:val="none" w:sz="0" w:space="0" w:color="auto"/>
          </w:divBdr>
        </w:div>
        <w:div w:id="2034332562">
          <w:marLeft w:val="0"/>
          <w:marRight w:val="0"/>
          <w:marTop w:val="0"/>
          <w:marBottom w:val="0"/>
          <w:divBdr>
            <w:top w:val="none" w:sz="0" w:space="0" w:color="auto"/>
            <w:left w:val="none" w:sz="0" w:space="0" w:color="auto"/>
            <w:bottom w:val="none" w:sz="0" w:space="0" w:color="auto"/>
            <w:right w:val="none" w:sz="0" w:space="0" w:color="auto"/>
          </w:divBdr>
        </w:div>
        <w:div w:id="1653364430">
          <w:marLeft w:val="0"/>
          <w:marRight w:val="0"/>
          <w:marTop w:val="0"/>
          <w:marBottom w:val="0"/>
          <w:divBdr>
            <w:top w:val="none" w:sz="0" w:space="0" w:color="auto"/>
            <w:left w:val="none" w:sz="0" w:space="0" w:color="auto"/>
            <w:bottom w:val="none" w:sz="0" w:space="0" w:color="auto"/>
            <w:right w:val="none" w:sz="0" w:space="0" w:color="auto"/>
          </w:divBdr>
        </w:div>
        <w:div w:id="1209798161">
          <w:marLeft w:val="0"/>
          <w:marRight w:val="0"/>
          <w:marTop w:val="0"/>
          <w:marBottom w:val="0"/>
          <w:divBdr>
            <w:top w:val="none" w:sz="0" w:space="0" w:color="auto"/>
            <w:left w:val="none" w:sz="0" w:space="0" w:color="auto"/>
            <w:bottom w:val="none" w:sz="0" w:space="0" w:color="auto"/>
            <w:right w:val="none" w:sz="0" w:space="0" w:color="auto"/>
          </w:divBdr>
        </w:div>
        <w:div w:id="745037386">
          <w:marLeft w:val="0"/>
          <w:marRight w:val="0"/>
          <w:marTop w:val="0"/>
          <w:marBottom w:val="0"/>
          <w:divBdr>
            <w:top w:val="none" w:sz="0" w:space="0" w:color="auto"/>
            <w:left w:val="none" w:sz="0" w:space="0" w:color="auto"/>
            <w:bottom w:val="none" w:sz="0" w:space="0" w:color="auto"/>
            <w:right w:val="none" w:sz="0" w:space="0" w:color="auto"/>
          </w:divBdr>
        </w:div>
        <w:div w:id="1731728520">
          <w:marLeft w:val="0"/>
          <w:marRight w:val="0"/>
          <w:marTop w:val="0"/>
          <w:marBottom w:val="0"/>
          <w:divBdr>
            <w:top w:val="none" w:sz="0" w:space="0" w:color="auto"/>
            <w:left w:val="none" w:sz="0" w:space="0" w:color="auto"/>
            <w:bottom w:val="none" w:sz="0" w:space="0" w:color="auto"/>
            <w:right w:val="none" w:sz="0" w:space="0" w:color="auto"/>
          </w:divBdr>
        </w:div>
        <w:div w:id="774058331">
          <w:marLeft w:val="0"/>
          <w:marRight w:val="0"/>
          <w:marTop w:val="0"/>
          <w:marBottom w:val="0"/>
          <w:divBdr>
            <w:top w:val="none" w:sz="0" w:space="0" w:color="auto"/>
            <w:left w:val="none" w:sz="0" w:space="0" w:color="auto"/>
            <w:bottom w:val="none" w:sz="0" w:space="0" w:color="auto"/>
            <w:right w:val="none" w:sz="0" w:space="0" w:color="auto"/>
          </w:divBdr>
        </w:div>
        <w:div w:id="1944262989">
          <w:marLeft w:val="0"/>
          <w:marRight w:val="0"/>
          <w:marTop w:val="0"/>
          <w:marBottom w:val="0"/>
          <w:divBdr>
            <w:top w:val="none" w:sz="0" w:space="0" w:color="auto"/>
            <w:left w:val="none" w:sz="0" w:space="0" w:color="auto"/>
            <w:bottom w:val="none" w:sz="0" w:space="0" w:color="auto"/>
            <w:right w:val="none" w:sz="0" w:space="0" w:color="auto"/>
          </w:divBdr>
        </w:div>
        <w:div w:id="648560410">
          <w:marLeft w:val="0"/>
          <w:marRight w:val="0"/>
          <w:marTop w:val="0"/>
          <w:marBottom w:val="0"/>
          <w:divBdr>
            <w:top w:val="none" w:sz="0" w:space="0" w:color="auto"/>
            <w:left w:val="none" w:sz="0" w:space="0" w:color="auto"/>
            <w:bottom w:val="none" w:sz="0" w:space="0" w:color="auto"/>
            <w:right w:val="none" w:sz="0" w:space="0" w:color="auto"/>
          </w:divBdr>
        </w:div>
        <w:div w:id="1670597531">
          <w:marLeft w:val="0"/>
          <w:marRight w:val="0"/>
          <w:marTop w:val="0"/>
          <w:marBottom w:val="0"/>
          <w:divBdr>
            <w:top w:val="none" w:sz="0" w:space="0" w:color="auto"/>
            <w:left w:val="none" w:sz="0" w:space="0" w:color="auto"/>
            <w:bottom w:val="none" w:sz="0" w:space="0" w:color="auto"/>
            <w:right w:val="none" w:sz="0" w:space="0" w:color="auto"/>
          </w:divBdr>
        </w:div>
        <w:div w:id="558134035">
          <w:marLeft w:val="0"/>
          <w:marRight w:val="0"/>
          <w:marTop w:val="0"/>
          <w:marBottom w:val="0"/>
          <w:divBdr>
            <w:top w:val="none" w:sz="0" w:space="0" w:color="auto"/>
            <w:left w:val="none" w:sz="0" w:space="0" w:color="auto"/>
            <w:bottom w:val="none" w:sz="0" w:space="0" w:color="auto"/>
            <w:right w:val="none" w:sz="0" w:space="0" w:color="auto"/>
          </w:divBdr>
        </w:div>
        <w:div w:id="1163005031">
          <w:marLeft w:val="0"/>
          <w:marRight w:val="0"/>
          <w:marTop w:val="0"/>
          <w:marBottom w:val="0"/>
          <w:divBdr>
            <w:top w:val="none" w:sz="0" w:space="0" w:color="auto"/>
            <w:left w:val="none" w:sz="0" w:space="0" w:color="auto"/>
            <w:bottom w:val="none" w:sz="0" w:space="0" w:color="auto"/>
            <w:right w:val="none" w:sz="0" w:space="0" w:color="auto"/>
          </w:divBdr>
        </w:div>
        <w:div w:id="1594584618">
          <w:marLeft w:val="0"/>
          <w:marRight w:val="0"/>
          <w:marTop w:val="0"/>
          <w:marBottom w:val="0"/>
          <w:divBdr>
            <w:top w:val="none" w:sz="0" w:space="0" w:color="auto"/>
            <w:left w:val="none" w:sz="0" w:space="0" w:color="auto"/>
            <w:bottom w:val="none" w:sz="0" w:space="0" w:color="auto"/>
            <w:right w:val="none" w:sz="0" w:space="0" w:color="auto"/>
          </w:divBdr>
        </w:div>
        <w:div w:id="1522936050">
          <w:marLeft w:val="0"/>
          <w:marRight w:val="0"/>
          <w:marTop w:val="0"/>
          <w:marBottom w:val="0"/>
          <w:divBdr>
            <w:top w:val="none" w:sz="0" w:space="0" w:color="auto"/>
            <w:left w:val="none" w:sz="0" w:space="0" w:color="auto"/>
            <w:bottom w:val="none" w:sz="0" w:space="0" w:color="auto"/>
            <w:right w:val="none" w:sz="0" w:space="0" w:color="auto"/>
          </w:divBdr>
        </w:div>
        <w:div w:id="1499685353">
          <w:marLeft w:val="0"/>
          <w:marRight w:val="0"/>
          <w:marTop w:val="0"/>
          <w:marBottom w:val="0"/>
          <w:divBdr>
            <w:top w:val="none" w:sz="0" w:space="0" w:color="auto"/>
            <w:left w:val="none" w:sz="0" w:space="0" w:color="auto"/>
            <w:bottom w:val="none" w:sz="0" w:space="0" w:color="auto"/>
            <w:right w:val="none" w:sz="0" w:space="0" w:color="auto"/>
          </w:divBdr>
        </w:div>
        <w:div w:id="1468085474">
          <w:marLeft w:val="0"/>
          <w:marRight w:val="0"/>
          <w:marTop w:val="0"/>
          <w:marBottom w:val="0"/>
          <w:divBdr>
            <w:top w:val="none" w:sz="0" w:space="0" w:color="auto"/>
            <w:left w:val="none" w:sz="0" w:space="0" w:color="auto"/>
            <w:bottom w:val="none" w:sz="0" w:space="0" w:color="auto"/>
            <w:right w:val="none" w:sz="0" w:space="0" w:color="auto"/>
          </w:divBdr>
        </w:div>
        <w:div w:id="1384257982">
          <w:marLeft w:val="0"/>
          <w:marRight w:val="0"/>
          <w:marTop w:val="0"/>
          <w:marBottom w:val="0"/>
          <w:divBdr>
            <w:top w:val="none" w:sz="0" w:space="0" w:color="auto"/>
            <w:left w:val="none" w:sz="0" w:space="0" w:color="auto"/>
            <w:bottom w:val="none" w:sz="0" w:space="0" w:color="auto"/>
            <w:right w:val="none" w:sz="0" w:space="0" w:color="auto"/>
          </w:divBdr>
        </w:div>
        <w:div w:id="360710805">
          <w:marLeft w:val="0"/>
          <w:marRight w:val="0"/>
          <w:marTop w:val="0"/>
          <w:marBottom w:val="0"/>
          <w:divBdr>
            <w:top w:val="none" w:sz="0" w:space="0" w:color="auto"/>
            <w:left w:val="none" w:sz="0" w:space="0" w:color="auto"/>
            <w:bottom w:val="none" w:sz="0" w:space="0" w:color="auto"/>
            <w:right w:val="none" w:sz="0" w:space="0" w:color="auto"/>
          </w:divBdr>
        </w:div>
        <w:div w:id="284966171">
          <w:marLeft w:val="0"/>
          <w:marRight w:val="0"/>
          <w:marTop w:val="0"/>
          <w:marBottom w:val="0"/>
          <w:divBdr>
            <w:top w:val="none" w:sz="0" w:space="0" w:color="auto"/>
            <w:left w:val="none" w:sz="0" w:space="0" w:color="auto"/>
            <w:bottom w:val="none" w:sz="0" w:space="0" w:color="auto"/>
            <w:right w:val="none" w:sz="0" w:space="0" w:color="auto"/>
          </w:divBdr>
        </w:div>
        <w:div w:id="1597251392">
          <w:marLeft w:val="0"/>
          <w:marRight w:val="0"/>
          <w:marTop w:val="0"/>
          <w:marBottom w:val="0"/>
          <w:divBdr>
            <w:top w:val="none" w:sz="0" w:space="0" w:color="auto"/>
            <w:left w:val="none" w:sz="0" w:space="0" w:color="auto"/>
            <w:bottom w:val="none" w:sz="0" w:space="0" w:color="auto"/>
            <w:right w:val="none" w:sz="0" w:space="0" w:color="auto"/>
          </w:divBdr>
        </w:div>
        <w:div w:id="1620338787">
          <w:marLeft w:val="0"/>
          <w:marRight w:val="0"/>
          <w:marTop w:val="0"/>
          <w:marBottom w:val="0"/>
          <w:divBdr>
            <w:top w:val="none" w:sz="0" w:space="0" w:color="auto"/>
            <w:left w:val="none" w:sz="0" w:space="0" w:color="auto"/>
            <w:bottom w:val="none" w:sz="0" w:space="0" w:color="auto"/>
            <w:right w:val="none" w:sz="0" w:space="0" w:color="auto"/>
          </w:divBdr>
        </w:div>
        <w:div w:id="897285264">
          <w:marLeft w:val="0"/>
          <w:marRight w:val="0"/>
          <w:marTop w:val="0"/>
          <w:marBottom w:val="0"/>
          <w:divBdr>
            <w:top w:val="none" w:sz="0" w:space="0" w:color="auto"/>
            <w:left w:val="none" w:sz="0" w:space="0" w:color="auto"/>
            <w:bottom w:val="none" w:sz="0" w:space="0" w:color="auto"/>
            <w:right w:val="none" w:sz="0" w:space="0" w:color="auto"/>
          </w:divBdr>
        </w:div>
        <w:div w:id="1573006337">
          <w:marLeft w:val="0"/>
          <w:marRight w:val="0"/>
          <w:marTop w:val="0"/>
          <w:marBottom w:val="0"/>
          <w:divBdr>
            <w:top w:val="none" w:sz="0" w:space="0" w:color="auto"/>
            <w:left w:val="none" w:sz="0" w:space="0" w:color="auto"/>
            <w:bottom w:val="none" w:sz="0" w:space="0" w:color="auto"/>
            <w:right w:val="none" w:sz="0" w:space="0" w:color="auto"/>
          </w:divBdr>
        </w:div>
        <w:div w:id="1074358485">
          <w:marLeft w:val="0"/>
          <w:marRight w:val="0"/>
          <w:marTop w:val="0"/>
          <w:marBottom w:val="0"/>
          <w:divBdr>
            <w:top w:val="none" w:sz="0" w:space="0" w:color="auto"/>
            <w:left w:val="none" w:sz="0" w:space="0" w:color="auto"/>
            <w:bottom w:val="none" w:sz="0" w:space="0" w:color="auto"/>
            <w:right w:val="none" w:sz="0" w:space="0" w:color="auto"/>
          </w:divBdr>
        </w:div>
        <w:div w:id="1626236850">
          <w:marLeft w:val="0"/>
          <w:marRight w:val="0"/>
          <w:marTop w:val="0"/>
          <w:marBottom w:val="0"/>
          <w:divBdr>
            <w:top w:val="none" w:sz="0" w:space="0" w:color="auto"/>
            <w:left w:val="none" w:sz="0" w:space="0" w:color="auto"/>
            <w:bottom w:val="none" w:sz="0" w:space="0" w:color="auto"/>
            <w:right w:val="none" w:sz="0" w:space="0" w:color="auto"/>
          </w:divBdr>
        </w:div>
        <w:div w:id="1138104587">
          <w:marLeft w:val="0"/>
          <w:marRight w:val="0"/>
          <w:marTop w:val="0"/>
          <w:marBottom w:val="0"/>
          <w:divBdr>
            <w:top w:val="none" w:sz="0" w:space="0" w:color="auto"/>
            <w:left w:val="none" w:sz="0" w:space="0" w:color="auto"/>
            <w:bottom w:val="none" w:sz="0" w:space="0" w:color="auto"/>
            <w:right w:val="none" w:sz="0" w:space="0" w:color="auto"/>
          </w:divBdr>
        </w:div>
        <w:div w:id="1118183025">
          <w:marLeft w:val="0"/>
          <w:marRight w:val="0"/>
          <w:marTop w:val="0"/>
          <w:marBottom w:val="0"/>
          <w:divBdr>
            <w:top w:val="none" w:sz="0" w:space="0" w:color="auto"/>
            <w:left w:val="none" w:sz="0" w:space="0" w:color="auto"/>
            <w:bottom w:val="none" w:sz="0" w:space="0" w:color="auto"/>
            <w:right w:val="none" w:sz="0" w:space="0" w:color="auto"/>
          </w:divBdr>
        </w:div>
        <w:div w:id="1676179604">
          <w:marLeft w:val="0"/>
          <w:marRight w:val="0"/>
          <w:marTop w:val="0"/>
          <w:marBottom w:val="0"/>
          <w:divBdr>
            <w:top w:val="none" w:sz="0" w:space="0" w:color="auto"/>
            <w:left w:val="none" w:sz="0" w:space="0" w:color="auto"/>
            <w:bottom w:val="none" w:sz="0" w:space="0" w:color="auto"/>
            <w:right w:val="none" w:sz="0" w:space="0" w:color="auto"/>
          </w:divBdr>
        </w:div>
        <w:div w:id="1627156641">
          <w:marLeft w:val="0"/>
          <w:marRight w:val="0"/>
          <w:marTop w:val="0"/>
          <w:marBottom w:val="0"/>
          <w:divBdr>
            <w:top w:val="none" w:sz="0" w:space="0" w:color="auto"/>
            <w:left w:val="none" w:sz="0" w:space="0" w:color="auto"/>
            <w:bottom w:val="none" w:sz="0" w:space="0" w:color="auto"/>
            <w:right w:val="none" w:sz="0" w:space="0" w:color="auto"/>
          </w:divBdr>
        </w:div>
        <w:div w:id="1977684262">
          <w:marLeft w:val="0"/>
          <w:marRight w:val="0"/>
          <w:marTop w:val="0"/>
          <w:marBottom w:val="0"/>
          <w:divBdr>
            <w:top w:val="none" w:sz="0" w:space="0" w:color="auto"/>
            <w:left w:val="none" w:sz="0" w:space="0" w:color="auto"/>
            <w:bottom w:val="none" w:sz="0" w:space="0" w:color="auto"/>
            <w:right w:val="none" w:sz="0" w:space="0" w:color="auto"/>
          </w:divBdr>
        </w:div>
        <w:div w:id="1895195899">
          <w:marLeft w:val="0"/>
          <w:marRight w:val="0"/>
          <w:marTop w:val="0"/>
          <w:marBottom w:val="0"/>
          <w:divBdr>
            <w:top w:val="none" w:sz="0" w:space="0" w:color="auto"/>
            <w:left w:val="none" w:sz="0" w:space="0" w:color="auto"/>
            <w:bottom w:val="none" w:sz="0" w:space="0" w:color="auto"/>
            <w:right w:val="none" w:sz="0" w:space="0" w:color="auto"/>
          </w:divBdr>
        </w:div>
        <w:div w:id="192036977">
          <w:marLeft w:val="0"/>
          <w:marRight w:val="0"/>
          <w:marTop w:val="0"/>
          <w:marBottom w:val="0"/>
          <w:divBdr>
            <w:top w:val="none" w:sz="0" w:space="0" w:color="auto"/>
            <w:left w:val="none" w:sz="0" w:space="0" w:color="auto"/>
            <w:bottom w:val="none" w:sz="0" w:space="0" w:color="auto"/>
            <w:right w:val="none" w:sz="0" w:space="0" w:color="auto"/>
          </w:divBdr>
        </w:div>
        <w:div w:id="1243225707">
          <w:marLeft w:val="0"/>
          <w:marRight w:val="0"/>
          <w:marTop w:val="0"/>
          <w:marBottom w:val="0"/>
          <w:divBdr>
            <w:top w:val="none" w:sz="0" w:space="0" w:color="auto"/>
            <w:left w:val="none" w:sz="0" w:space="0" w:color="auto"/>
            <w:bottom w:val="none" w:sz="0" w:space="0" w:color="auto"/>
            <w:right w:val="none" w:sz="0" w:space="0" w:color="auto"/>
          </w:divBdr>
        </w:div>
        <w:div w:id="273902531">
          <w:marLeft w:val="0"/>
          <w:marRight w:val="0"/>
          <w:marTop w:val="0"/>
          <w:marBottom w:val="0"/>
          <w:divBdr>
            <w:top w:val="none" w:sz="0" w:space="0" w:color="auto"/>
            <w:left w:val="none" w:sz="0" w:space="0" w:color="auto"/>
            <w:bottom w:val="none" w:sz="0" w:space="0" w:color="auto"/>
            <w:right w:val="none" w:sz="0" w:space="0" w:color="auto"/>
          </w:divBdr>
        </w:div>
        <w:div w:id="829057442">
          <w:marLeft w:val="0"/>
          <w:marRight w:val="0"/>
          <w:marTop w:val="0"/>
          <w:marBottom w:val="0"/>
          <w:divBdr>
            <w:top w:val="none" w:sz="0" w:space="0" w:color="auto"/>
            <w:left w:val="none" w:sz="0" w:space="0" w:color="auto"/>
            <w:bottom w:val="none" w:sz="0" w:space="0" w:color="auto"/>
            <w:right w:val="none" w:sz="0" w:space="0" w:color="auto"/>
          </w:divBdr>
        </w:div>
      </w:divsChild>
    </w:div>
    <w:div w:id="433747581">
      <w:bodyDiv w:val="1"/>
      <w:marLeft w:val="0"/>
      <w:marRight w:val="0"/>
      <w:marTop w:val="0"/>
      <w:marBottom w:val="0"/>
      <w:divBdr>
        <w:top w:val="none" w:sz="0" w:space="0" w:color="auto"/>
        <w:left w:val="none" w:sz="0" w:space="0" w:color="auto"/>
        <w:bottom w:val="none" w:sz="0" w:space="0" w:color="auto"/>
        <w:right w:val="none" w:sz="0" w:space="0" w:color="auto"/>
      </w:divBdr>
    </w:div>
    <w:div w:id="487090637">
      <w:bodyDiv w:val="1"/>
      <w:marLeft w:val="0"/>
      <w:marRight w:val="0"/>
      <w:marTop w:val="0"/>
      <w:marBottom w:val="0"/>
      <w:divBdr>
        <w:top w:val="none" w:sz="0" w:space="0" w:color="auto"/>
        <w:left w:val="none" w:sz="0" w:space="0" w:color="auto"/>
        <w:bottom w:val="none" w:sz="0" w:space="0" w:color="auto"/>
        <w:right w:val="none" w:sz="0" w:space="0" w:color="auto"/>
      </w:divBdr>
      <w:divsChild>
        <w:div w:id="524487642">
          <w:marLeft w:val="0"/>
          <w:marRight w:val="0"/>
          <w:marTop w:val="0"/>
          <w:marBottom w:val="0"/>
          <w:divBdr>
            <w:top w:val="none" w:sz="0" w:space="0" w:color="auto"/>
            <w:left w:val="none" w:sz="0" w:space="0" w:color="auto"/>
            <w:bottom w:val="none" w:sz="0" w:space="0" w:color="auto"/>
            <w:right w:val="none" w:sz="0" w:space="0" w:color="auto"/>
          </w:divBdr>
        </w:div>
        <w:div w:id="831989526">
          <w:marLeft w:val="0"/>
          <w:marRight w:val="0"/>
          <w:marTop w:val="0"/>
          <w:marBottom w:val="0"/>
          <w:divBdr>
            <w:top w:val="none" w:sz="0" w:space="0" w:color="auto"/>
            <w:left w:val="none" w:sz="0" w:space="0" w:color="auto"/>
            <w:bottom w:val="none" w:sz="0" w:space="0" w:color="auto"/>
            <w:right w:val="none" w:sz="0" w:space="0" w:color="auto"/>
          </w:divBdr>
        </w:div>
        <w:div w:id="2104909320">
          <w:marLeft w:val="0"/>
          <w:marRight w:val="0"/>
          <w:marTop w:val="0"/>
          <w:marBottom w:val="0"/>
          <w:divBdr>
            <w:top w:val="none" w:sz="0" w:space="0" w:color="auto"/>
            <w:left w:val="none" w:sz="0" w:space="0" w:color="auto"/>
            <w:bottom w:val="none" w:sz="0" w:space="0" w:color="auto"/>
            <w:right w:val="none" w:sz="0" w:space="0" w:color="auto"/>
          </w:divBdr>
        </w:div>
        <w:div w:id="243539635">
          <w:marLeft w:val="0"/>
          <w:marRight w:val="0"/>
          <w:marTop w:val="0"/>
          <w:marBottom w:val="0"/>
          <w:divBdr>
            <w:top w:val="none" w:sz="0" w:space="0" w:color="auto"/>
            <w:left w:val="none" w:sz="0" w:space="0" w:color="auto"/>
            <w:bottom w:val="none" w:sz="0" w:space="0" w:color="auto"/>
            <w:right w:val="none" w:sz="0" w:space="0" w:color="auto"/>
          </w:divBdr>
        </w:div>
        <w:div w:id="1008215213">
          <w:marLeft w:val="0"/>
          <w:marRight w:val="0"/>
          <w:marTop w:val="0"/>
          <w:marBottom w:val="0"/>
          <w:divBdr>
            <w:top w:val="none" w:sz="0" w:space="0" w:color="auto"/>
            <w:left w:val="none" w:sz="0" w:space="0" w:color="auto"/>
            <w:bottom w:val="none" w:sz="0" w:space="0" w:color="auto"/>
            <w:right w:val="none" w:sz="0" w:space="0" w:color="auto"/>
          </w:divBdr>
        </w:div>
        <w:div w:id="348142601">
          <w:marLeft w:val="0"/>
          <w:marRight w:val="0"/>
          <w:marTop w:val="0"/>
          <w:marBottom w:val="0"/>
          <w:divBdr>
            <w:top w:val="none" w:sz="0" w:space="0" w:color="auto"/>
            <w:left w:val="none" w:sz="0" w:space="0" w:color="auto"/>
            <w:bottom w:val="none" w:sz="0" w:space="0" w:color="auto"/>
            <w:right w:val="none" w:sz="0" w:space="0" w:color="auto"/>
          </w:divBdr>
        </w:div>
        <w:div w:id="1168517683">
          <w:marLeft w:val="0"/>
          <w:marRight w:val="0"/>
          <w:marTop w:val="0"/>
          <w:marBottom w:val="0"/>
          <w:divBdr>
            <w:top w:val="none" w:sz="0" w:space="0" w:color="auto"/>
            <w:left w:val="none" w:sz="0" w:space="0" w:color="auto"/>
            <w:bottom w:val="none" w:sz="0" w:space="0" w:color="auto"/>
            <w:right w:val="none" w:sz="0" w:space="0" w:color="auto"/>
          </w:divBdr>
        </w:div>
        <w:div w:id="2021084437">
          <w:marLeft w:val="0"/>
          <w:marRight w:val="0"/>
          <w:marTop w:val="0"/>
          <w:marBottom w:val="0"/>
          <w:divBdr>
            <w:top w:val="none" w:sz="0" w:space="0" w:color="auto"/>
            <w:left w:val="none" w:sz="0" w:space="0" w:color="auto"/>
            <w:bottom w:val="none" w:sz="0" w:space="0" w:color="auto"/>
            <w:right w:val="none" w:sz="0" w:space="0" w:color="auto"/>
          </w:divBdr>
        </w:div>
        <w:div w:id="816149149">
          <w:marLeft w:val="0"/>
          <w:marRight w:val="0"/>
          <w:marTop w:val="0"/>
          <w:marBottom w:val="0"/>
          <w:divBdr>
            <w:top w:val="none" w:sz="0" w:space="0" w:color="auto"/>
            <w:left w:val="none" w:sz="0" w:space="0" w:color="auto"/>
            <w:bottom w:val="none" w:sz="0" w:space="0" w:color="auto"/>
            <w:right w:val="none" w:sz="0" w:space="0" w:color="auto"/>
          </w:divBdr>
        </w:div>
        <w:div w:id="709499268">
          <w:marLeft w:val="0"/>
          <w:marRight w:val="0"/>
          <w:marTop w:val="0"/>
          <w:marBottom w:val="0"/>
          <w:divBdr>
            <w:top w:val="none" w:sz="0" w:space="0" w:color="auto"/>
            <w:left w:val="none" w:sz="0" w:space="0" w:color="auto"/>
            <w:bottom w:val="none" w:sz="0" w:space="0" w:color="auto"/>
            <w:right w:val="none" w:sz="0" w:space="0" w:color="auto"/>
          </w:divBdr>
        </w:div>
        <w:div w:id="1547718802">
          <w:marLeft w:val="0"/>
          <w:marRight w:val="0"/>
          <w:marTop w:val="0"/>
          <w:marBottom w:val="0"/>
          <w:divBdr>
            <w:top w:val="none" w:sz="0" w:space="0" w:color="auto"/>
            <w:left w:val="none" w:sz="0" w:space="0" w:color="auto"/>
            <w:bottom w:val="none" w:sz="0" w:space="0" w:color="auto"/>
            <w:right w:val="none" w:sz="0" w:space="0" w:color="auto"/>
          </w:divBdr>
        </w:div>
        <w:div w:id="474957313">
          <w:marLeft w:val="0"/>
          <w:marRight w:val="0"/>
          <w:marTop w:val="0"/>
          <w:marBottom w:val="0"/>
          <w:divBdr>
            <w:top w:val="none" w:sz="0" w:space="0" w:color="auto"/>
            <w:left w:val="none" w:sz="0" w:space="0" w:color="auto"/>
            <w:bottom w:val="none" w:sz="0" w:space="0" w:color="auto"/>
            <w:right w:val="none" w:sz="0" w:space="0" w:color="auto"/>
          </w:divBdr>
        </w:div>
        <w:div w:id="856116734">
          <w:marLeft w:val="0"/>
          <w:marRight w:val="0"/>
          <w:marTop w:val="0"/>
          <w:marBottom w:val="0"/>
          <w:divBdr>
            <w:top w:val="none" w:sz="0" w:space="0" w:color="auto"/>
            <w:left w:val="none" w:sz="0" w:space="0" w:color="auto"/>
            <w:bottom w:val="none" w:sz="0" w:space="0" w:color="auto"/>
            <w:right w:val="none" w:sz="0" w:space="0" w:color="auto"/>
          </w:divBdr>
        </w:div>
        <w:div w:id="628434990">
          <w:marLeft w:val="0"/>
          <w:marRight w:val="0"/>
          <w:marTop w:val="0"/>
          <w:marBottom w:val="0"/>
          <w:divBdr>
            <w:top w:val="none" w:sz="0" w:space="0" w:color="auto"/>
            <w:left w:val="none" w:sz="0" w:space="0" w:color="auto"/>
            <w:bottom w:val="none" w:sz="0" w:space="0" w:color="auto"/>
            <w:right w:val="none" w:sz="0" w:space="0" w:color="auto"/>
          </w:divBdr>
        </w:div>
        <w:div w:id="1837651062">
          <w:marLeft w:val="0"/>
          <w:marRight w:val="0"/>
          <w:marTop w:val="0"/>
          <w:marBottom w:val="0"/>
          <w:divBdr>
            <w:top w:val="none" w:sz="0" w:space="0" w:color="auto"/>
            <w:left w:val="none" w:sz="0" w:space="0" w:color="auto"/>
            <w:bottom w:val="none" w:sz="0" w:space="0" w:color="auto"/>
            <w:right w:val="none" w:sz="0" w:space="0" w:color="auto"/>
          </w:divBdr>
        </w:div>
        <w:div w:id="1121798079">
          <w:marLeft w:val="0"/>
          <w:marRight w:val="0"/>
          <w:marTop w:val="0"/>
          <w:marBottom w:val="0"/>
          <w:divBdr>
            <w:top w:val="none" w:sz="0" w:space="0" w:color="auto"/>
            <w:left w:val="none" w:sz="0" w:space="0" w:color="auto"/>
            <w:bottom w:val="none" w:sz="0" w:space="0" w:color="auto"/>
            <w:right w:val="none" w:sz="0" w:space="0" w:color="auto"/>
          </w:divBdr>
        </w:div>
        <w:div w:id="2085032148">
          <w:marLeft w:val="0"/>
          <w:marRight w:val="0"/>
          <w:marTop w:val="0"/>
          <w:marBottom w:val="0"/>
          <w:divBdr>
            <w:top w:val="none" w:sz="0" w:space="0" w:color="auto"/>
            <w:left w:val="none" w:sz="0" w:space="0" w:color="auto"/>
            <w:bottom w:val="none" w:sz="0" w:space="0" w:color="auto"/>
            <w:right w:val="none" w:sz="0" w:space="0" w:color="auto"/>
          </w:divBdr>
        </w:div>
        <w:div w:id="274337137">
          <w:marLeft w:val="0"/>
          <w:marRight w:val="0"/>
          <w:marTop w:val="0"/>
          <w:marBottom w:val="0"/>
          <w:divBdr>
            <w:top w:val="none" w:sz="0" w:space="0" w:color="auto"/>
            <w:left w:val="none" w:sz="0" w:space="0" w:color="auto"/>
            <w:bottom w:val="none" w:sz="0" w:space="0" w:color="auto"/>
            <w:right w:val="none" w:sz="0" w:space="0" w:color="auto"/>
          </w:divBdr>
        </w:div>
        <w:div w:id="657880610">
          <w:marLeft w:val="0"/>
          <w:marRight w:val="0"/>
          <w:marTop w:val="0"/>
          <w:marBottom w:val="0"/>
          <w:divBdr>
            <w:top w:val="none" w:sz="0" w:space="0" w:color="auto"/>
            <w:left w:val="none" w:sz="0" w:space="0" w:color="auto"/>
            <w:bottom w:val="none" w:sz="0" w:space="0" w:color="auto"/>
            <w:right w:val="none" w:sz="0" w:space="0" w:color="auto"/>
          </w:divBdr>
        </w:div>
        <w:div w:id="850990211">
          <w:marLeft w:val="0"/>
          <w:marRight w:val="0"/>
          <w:marTop w:val="0"/>
          <w:marBottom w:val="0"/>
          <w:divBdr>
            <w:top w:val="none" w:sz="0" w:space="0" w:color="auto"/>
            <w:left w:val="none" w:sz="0" w:space="0" w:color="auto"/>
            <w:bottom w:val="none" w:sz="0" w:space="0" w:color="auto"/>
            <w:right w:val="none" w:sz="0" w:space="0" w:color="auto"/>
          </w:divBdr>
        </w:div>
        <w:div w:id="1753970898">
          <w:marLeft w:val="0"/>
          <w:marRight w:val="0"/>
          <w:marTop w:val="0"/>
          <w:marBottom w:val="0"/>
          <w:divBdr>
            <w:top w:val="none" w:sz="0" w:space="0" w:color="auto"/>
            <w:left w:val="none" w:sz="0" w:space="0" w:color="auto"/>
            <w:bottom w:val="none" w:sz="0" w:space="0" w:color="auto"/>
            <w:right w:val="none" w:sz="0" w:space="0" w:color="auto"/>
          </w:divBdr>
        </w:div>
        <w:div w:id="705374955">
          <w:marLeft w:val="0"/>
          <w:marRight w:val="0"/>
          <w:marTop w:val="0"/>
          <w:marBottom w:val="0"/>
          <w:divBdr>
            <w:top w:val="none" w:sz="0" w:space="0" w:color="auto"/>
            <w:left w:val="none" w:sz="0" w:space="0" w:color="auto"/>
            <w:bottom w:val="none" w:sz="0" w:space="0" w:color="auto"/>
            <w:right w:val="none" w:sz="0" w:space="0" w:color="auto"/>
          </w:divBdr>
        </w:div>
      </w:divsChild>
    </w:div>
    <w:div w:id="645083323">
      <w:bodyDiv w:val="1"/>
      <w:marLeft w:val="0"/>
      <w:marRight w:val="0"/>
      <w:marTop w:val="0"/>
      <w:marBottom w:val="0"/>
      <w:divBdr>
        <w:top w:val="none" w:sz="0" w:space="0" w:color="auto"/>
        <w:left w:val="none" w:sz="0" w:space="0" w:color="auto"/>
        <w:bottom w:val="none" w:sz="0" w:space="0" w:color="auto"/>
        <w:right w:val="none" w:sz="0" w:space="0" w:color="auto"/>
      </w:divBdr>
      <w:divsChild>
        <w:div w:id="209849379">
          <w:marLeft w:val="0"/>
          <w:marRight w:val="0"/>
          <w:marTop w:val="0"/>
          <w:marBottom w:val="0"/>
          <w:divBdr>
            <w:top w:val="none" w:sz="0" w:space="0" w:color="auto"/>
            <w:left w:val="none" w:sz="0" w:space="0" w:color="auto"/>
            <w:bottom w:val="none" w:sz="0" w:space="0" w:color="auto"/>
            <w:right w:val="none" w:sz="0" w:space="0" w:color="auto"/>
          </w:divBdr>
        </w:div>
        <w:div w:id="320352554">
          <w:marLeft w:val="0"/>
          <w:marRight w:val="0"/>
          <w:marTop w:val="0"/>
          <w:marBottom w:val="0"/>
          <w:divBdr>
            <w:top w:val="none" w:sz="0" w:space="0" w:color="auto"/>
            <w:left w:val="none" w:sz="0" w:space="0" w:color="auto"/>
            <w:bottom w:val="none" w:sz="0" w:space="0" w:color="auto"/>
            <w:right w:val="none" w:sz="0" w:space="0" w:color="auto"/>
          </w:divBdr>
        </w:div>
      </w:divsChild>
    </w:div>
    <w:div w:id="663318861">
      <w:bodyDiv w:val="1"/>
      <w:marLeft w:val="0"/>
      <w:marRight w:val="0"/>
      <w:marTop w:val="0"/>
      <w:marBottom w:val="0"/>
      <w:divBdr>
        <w:top w:val="none" w:sz="0" w:space="0" w:color="auto"/>
        <w:left w:val="none" w:sz="0" w:space="0" w:color="auto"/>
        <w:bottom w:val="none" w:sz="0" w:space="0" w:color="auto"/>
        <w:right w:val="none" w:sz="0" w:space="0" w:color="auto"/>
      </w:divBdr>
      <w:divsChild>
        <w:div w:id="561136038">
          <w:marLeft w:val="0"/>
          <w:marRight w:val="0"/>
          <w:marTop w:val="0"/>
          <w:marBottom w:val="0"/>
          <w:divBdr>
            <w:top w:val="none" w:sz="0" w:space="0" w:color="auto"/>
            <w:left w:val="none" w:sz="0" w:space="0" w:color="auto"/>
            <w:bottom w:val="none" w:sz="0" w:space="0" w:color="auto"/>
            <w:right w:val="none" w:sz="0" w:space="0" w:color="auto"/>
          </w:divBdr>
        </w:div>
        <w:div w:id="688994324">
          <w:marLeft w:val="0"/>
          <w:marRight w:val="0"/>
          <w:marTop w:val="0"/>
          <w:marBottom w:val="0"/>
          <w:divBdr>
            <w:top w:val="none" w:sz="0" w:space="0" w:color="auto"/>
            <w:left w:val="none" w:sz="0" w:space="0" w:color="auto"/>
            <w:bottom w:val="none" w:sz="0" w:space="0" w:color="auto"/>
            <w:right w:val="none" w:sz="0" w:space="0" w:color="auto"/>
          </w:divBdr>
        </w:div>
        <w:div w:id="1890215900">
          <w:marLeft w:val="0"/>
          <w:marRight w:val="0"/>
          <w:marTop w:val="0"/>
          <w:marBottom w:val="0"/>
          <w:divBdr>
            <w:top w:val="none" w:sz="0" w:space="0" w:color="auto"/>
            <w:left w:val="none" w:sz="0" w:space="0" w:color="auto"/>
            <w:bottom w:val="none" w:sz="0" w:space="0" w:color="auto"/>
            <w:right w:val="none" w:sz="0" w:space="0" w:color="auto"/>
          </w:divBdr>
        </w:div>
        <w:div w:id="2117865119">
          <w:marLeft w:val="0"/>
          <w:marRight w:val="0"/>
          <w:marTop w:val="0"/>
          <w:marBottom w:val="0"/>
          <w:divBdr>
            <w:top w:val="none" w:sz="0" w:space="0" w:color="auto"/>
            <w:left w:val="none" w:sz="0" w:space="0" w:color="auto"/>
            <w:bottom w:val="none" w:sz="0" w:space="0" w:color="auto"/>
            <w:right w:val="none" w:sz="0" w:space="0" w:color="auto"/>
          </w:divBdr>
        </w:div>
        <w:div w:id="1791775997">
          <w:marLeft w:val="0"/>
          <w:marRight w:val="0"/>
          <w:marTop w:val="0"/>
          <w:marBottom w:val="0"/>
          <w:divBdr>
            <w:top w:val="none" w:sz="0" w:space="0" w:color="auto"/>
            <w:left w:val="none" w:sz="0" w:space="0" w:color="auto"/>
            <w:bottom w:val="none" w:sz="0" w:space="0" w:color="auto"/>
            <w:right w:val="none" w:sz="0" w:space="0" w:color="auto"/>
          </w:divBdr>
        </w:div>
        <w:div w:id="175925840">
          <w:marLeft w:val="0"/>
          <w:marRight w:val="0"/>
          <w:marTop w:val="0"/>
          <w:marBottom w:val="0"/>
          <w:divBdr>
            <w:top w:val="none" w:sz="0" w:space="0" w:color="auto"/>
            <w:left w:val="none" w:sz="0" w:space="0" w:color="auto"/>
            <w:bottom w:val="none" w:sz="0" w:space="0" w:color="auto"/>
            <w:right w:val="none" w:sz="0" w:space="0" w:color="auto"/>
          </w:divBdr>
        </w:div>
        <w:div w:id="364254465">
          <w:marLeft w:val="0"/>
          <w:marRight w:val="0"/>
          <w:marTop w:val="0"/>
          <w:marBottom w:val="0"/>
          <w:divBdr>
            <w:top w:val="none" w:sz="0" w:space="0" w:color="auto"/>
            <w:left w:val="none" w:sz="0" w:space="0" w:color="auto"/>
            <w:bottom w:val="none" w:sz="0" w:space="0" w:color="auto"/>
            <w:right w:val="none" w:sz="0" w:space="0" w:color="auto"/>
          </w:divBdr>
        </w:div>
        <w:div w:id="1144082682">
          <w:marLeft w:val="0"/>
          <w:marRight w:val="0"/>
          <w:marTop w:val="0"/>
          <w:marBottom w:val="0"/>
          <w:divBdr>
            <w:top w:val="none" w:sz="0" w:space="0" w:color="auto"/>
            <w:left w:val="none" w:sz="0" w:space="0" w:color="auto"/>
            <w:bottom w:val="none" w:sz="0" w:space="0" w:color="auto"/>
            <w:right w:val="none" w:sz="0" w:space="0" w:color="auto"/>
          </w:divBdr>
        </w:div>
        <w:div w:id="403141782">
          <w:marLeft w:val="0"/>
          <w:marRight w:val="0"/>
          <w:marTop w:val="0"/>
          <w:marBottom w:val="0"/>
          <w:divBdr>
            <w:top w:val="none" w:sz="0" w:space="0" w:color="auto"/>
            <w:left w:val="none" w:sz="0" w:space="0" w:color="auto"/>
            <w:bottom w:val="none" w:sz="0" w:space="0" w:color="auto"/>
            <w:right w:val="none" w:sz="0" w:space="0" w:color="auto"/>
          </w:divBdr>
        </w:div>
        <w:div w:id="918171710">
          <w:marLeft w:val="0"/>
          <w:marRight w:val="0"/>
          <w:marTop w:val="0"/>
          <w:marBottom w:val="0"/>
          <w:divBdr>
            <w:top w:val="none" w:sz="0" w:space="0" w:color="auto"/>
            <w:left w:val="none" w:sz="0" w:space="0" w:color="auto"/>
            <w:bottom w:val="none" w:sz="0" w:space="0" w:color="auto"/>
            <w:right w:val="none" w:sz="0" w:space="0" w:color="auto"/>
          </w:divBdr>
        </w:div>
        <w:div w:id="1109399080">
          <w:marLeft w:val="0"/>
          <w:marRight w:val="0"/>
          <w:marTop w:val="0"/>
          <w:marBottom w:val="0"/>
          <w:divBdr>
            <w:top w:val="none" w:sz="0" w:space="0" w:color="auto"/>
            <w:left w:val="none" w:sz="0" w:space="0" w:color="auto"/>
            <w:bottom w:val="none" w:sz="0" w:space="0" w:color="auto"/>
            <w:right w:val="none" w:sz="0" w:space="0" w:color="auto"/>
          </w:divBdr>
        </w:div>
        <w:div w:id="114061045">
          <w:marLeft w:val="0"/>
          <w:marRight w:val="0"/>
          <w:marTop w:val="0"/>
          <w:marBottom w:val="0"/>
          <w:divBdr>
            <w:top w:val="none" w:sz="0" w:space="0" w:color="auto"/>
            <w:left w:val="none" w:sz="0" w:space="0" w:color="auto"/>
            <w:bottom w:val="none" w:sz="0" w:space="0" w:color="auto"/>
            <w:right w:val="none" w:sz="0" w:space="0" w:color="auto"/>
          </w:divBdr>
        </w:div>
        <w:div w:id="1658654533">
          <w:marLeft w:val="0"/>
          <w:marRight w:val="0"/>
          <w:marTop w:val="0"/>
          <w:marBottom w:val="0"/>
          <w:divBdr>
            <w:top w:val="none" w:sz="0" w:space="0" w:color="auto"/>
            <w:left w:val="none" w:sz="0" w:space="0" w:color="auto"/>
            <w:bottom w:val="none" w:sz="0" w:space="0" w:color="auto"/>
            <w:right w:val="none" w:sz="0" w:space="0" w:color="auto"/>
          </w:divBdr>
        </w:div>
        <w:div w:id="1397900320">
          <w:marLeft w:val="0"/>
          <w:marRight w:val="0"/>
          <w:marTop w:val="0"/>
          <w:marBottom w:val="0"/>
          <w:divBdr>
            <w:top w:val="none" w:sz="0" w:space="0" w:color="auto"/>
            <w:left w:val="none" w:sz="0" w:space="0" w:color="auto"/>
            <w:bottom w:val="none" w:sz="0" w:space="0" w:color="auto"/>
            <w:right w:val="none" w:sz="0" w:space="0" w:color="auto"/>
          </w:divBdr>
        </w:div>
        <w:div w:id="666444324">
          <w:marLeft w:val="0"/>
          <w:marRight w:val="0"/>
          <w:marTop w:val="0"/>
          <w:marBottom w:val="0"/>
          <w:divBdr>
            <w:top w:val="none" w:sz="0" w:space="0" w:color="auto"/>
            <w:left w:val="none" w:sz="0" w:space="0" w:color="auto"/>
            <w:bottom w:val="none" w:sz="0" w:space="0" w:color="auto"/>
            <w:right w:val="none" w:sz="0" w:space="0" w:color="auto"/>
          </w:divBdr>
        </w:div>
        <w:div w:id="1250886887">
          <w:marLeft w:val="0"/>
          <w:marRight w:val="0"/>
          <w:marTop w:val="0"/>
          <w:marBottom w:val="0"/>
          <w:divBdr>
            <w:top w:val="none" w:sz="0" w:space="0" w:color="auto"/>
            <w:left w:val="none" w:sz="0" w:space="0" w:color="auto"/>
            <w:bottom w:val="none" w:sz="0" w:space="0" w:color="auto"/>
            <w:right w:val="none" w:sz="0" w:space="0" w:color="auto"/>
          </w:divBdr>
        </w:div>
        <w:div w:id="361787551">
          <w:marLeft w:val="0"/>
          <w:marRight w:val="0"/>
          <w:marTop w:val="0"/>
          <w:marBottom w:val="0"/>
          <w:divBdr>
            <w:top w:val="none" w:sz="0" w:space="0" w:color="auto"/>
            <w:left w:val="none" w:sz="0" w:space="0" w:color="auto"/>
            <w:bottom w:val="none" w:sz="0" w:space="0" w:color="auto"/>
            <w:right w:val="none" w:sz="0" w:space="0" w:color="auto"/>
          </w:divBdr>
        </w:div>
        <w:div w:id="645938642">
          <w:marLeft w:val="0"/>
          <w:marRight w:val="0"/>
          <w:marTop w:val="0"/>
          <w:marBottom w:val="0"/>
          <w:divBdr>
            <w:top w:val="none" w:sz="0" w:space="0" w:color="auto"/>
            <w:left w:val="none" w:sz="0" w:space="0" w:color="auto"/>
            <w:bottom w:val="none" w:sz="0" w:space="0" w:color="auto"/>
            <w:right w:val="none" w:sz="0" w:space="0" w:color="auto"/>
          </w:divBdr>
        </w:div>
        <w:div w:id="856504677">
          <w:marLeft w:val="0"/>
          <w:marRight w:val="0"/>
          <w:marTop w:val="0"/>
          <w:marBottom w:val="0"/>
          <w:divBdr>
            <w:top w:val="none" w:sz="0" w:space="0" w:color="auto"/>
            <w:left w:val="none" w:sz="0" w:space="0" w:color="auto"/>
            <w:bottom w:val="none" w:sz="0" w:space="0" w:color="auto"/>
            <w:right w:val="none" w:sz="0" w:space="0" w:color="auto"/>
          </w:divBdr>
        </w:div>
        <w:div w:id="1607811905">
          <w:marLeft w:val="0"/>
          <w:marRight w:val="0"/>
          <w:marTop w:val="0"/>
          <w:marBottom w:val="0"/>
          <w:divBdr>
            <w:top w:val="none" w:sz="0" w:space="0" w:color="auto"/>
            <w:left w:val="none" w:sz="0" w:space="0" w:color="auto"/>
            <w:bottom w:val="none" w:sz="0" w:space="0" w:color="auto"/>
            <w:right w:val="none" w:sz="0" w:space="0" w:color="auto"/>
          </w:divBdr>
        </w:div>
        <w:div w:id="1076126992">
          <w:marLeft w:val="0"/>
          <w:marRight w:val="0"/>
          <w:marTop w:val="0"/>
          <w:marBottom w:val="0"/>
          <w:divBdr>
            <w:top w:val="none" w:sz="0" w:space="0" w:color="auto"/>
            <w:left w:val="none" w:sz="0" w:space="0" w:color="auto"/>
            <w:bottom w:val="none" w:sz="0" w:space="0" w:color="auto"/>
            <w:right w:val="none" w:sz="0" w:space="0" w:color="auto"/>
          </w:divBdr>
        </w:div>
        <w:div w:id="1047602103">
          <w:marLeft w:val="0"/>
          <w:marRight w:val="0"/>
          <w:marTop w:val="0"/>
          <w:marBottom w:val="0"/>
          <w:divBdr>
            <w:top w:val="none" w:sz="0" w:space="0" w:color="auto"/>
            <w:left w:val="none" w:sz="0" w:space="0" w:color="auto"/>
            <w:bottom w:val="none" w:sz="0" w:space="0" w:color="auto"/>
            <w:right w:val="none" w:sz="0" w:space="0" w:color="auto"/>
          </w:divBdr>
        </w:div>
      </w:divsChild>
    </w:div>
    <w:div w:id="713695780">
      <w:bodyDiv w:val="1"/>
      <w:marLeft w:val="0"/>
      <w:marRight w:val="0"/>
      <w:marTop w:val="0"/>
      <w:marBottom w:val="0"/>
      <w:divBdr>
        <w:top w:val="none" w:sz="0" w:space="0" w:color="auto"/>
        <w:left w:val="none" w:sz="0" w:space="0" w:color="auto"/>
        <w:bottom w:val="none" w:sz="0" w:space="0" w:color="auto"/>
        <w:right w:val="none" w:sz="0" w:space="0" w:color="auto"/>
      </w:divBdr>
    </w:div>
    <w:div w:id="743643629">
      <w:bodyDiv w:val="1"/>
      <w:marLeft w:val="0"/>
      <w:marRight w:val="0"/>
      <w:marTop w:val="0"/>
      <w:marBottom w:val="0"/>
      <w:divBdr>
        <w:top w:val="none" w:sz="0" w:space="0" w:color="auto"/>
        <w:left w:val="none" w:sz="0" w:space="0" w:color="auto"/>
        <w:bottom w:val="none" w:sz="0" w:space="0" w:color="auto"/>
        <w:right w:val="none" w:sz="0" w:space="0" w:color="auto"/>
      </w:divBdr>
      <w:divsChild>
        <w:div w:id="1098676417">
          <w:marLeft w:val="0"/>
          <w:marRight w:val="0"/>
          <w:marTop w:val="0"/>
          <w:marBottom w:val="0"/>
          <w:divBdr>
            <w:top w:val="none" w:sz="0" w:space="0" w:color="auto"/>
            <w:left w:val="none" w:sz="0" w:space="0" w:color="auto"/>
            <w:bottom w:val="none" w:sz="0" w:space="0" w:color="auto"/>
            <w:right w:val="none" w:sz="0" w:space="0" w:color="auto"/>
          </w:divBdr>
        </w:div>
        <w:div w:id="770903368">
          <w:marLeft w:val="0"/>
          <w:marRight w:val="0"/>
          <w:marTop w:val="0"/>
          <w:marBottom w:val="0"/>
          <w:divBdr>
            <w:top w:val="none" w:sz="0" w:space="0" w:color="auto"/>
            <w:left w:val="none" w:sz="0" w:space="0" w:color="auto"/>
            <w:bottom w:val="none" w:sz="0" w:space="0" w:color="auto"/>
            <w:right w:val="none" w:sz="0" w:space="0" w:color="auto"/>
          </w:divBdr>
        </w:div>
        <w:div w:id="13659106">
          <w:marLeft w:val="0"/>
          <w:marRight w:val="0"/>
          <w:marTop w:val="0"/>
          <w:marBottom w:val="0"/>
          <w:divBdr>
            <w:top w:val="none" w:sz="0" w:space="0" w:color="auto"/>
            <w:left w:val="none" w:sz="0" w:space="0" w:color="auto"/>
            <w:bottom w:val="none" w:sz="0" w:space="0" w:color="auto"/>
            <w:right w:val="none" w:sz="0" w:space="0" w:color="auto"/>
          </w:divBdr>
        </w:div>
        <w:div w:id="1592078949">
          <w:marLeft w:val="0"/>
          <w:marRight w:val="0"/>
          <w:marTop w:val="0"/>
          <w:marBottom w:val="0"/>
          <w:divBdr>
            <w:top w:val="none" w:sz="0" w:space="0" w:color="auto"/>
            <w:left w:val="none" w:sz="0" w:space="0" w:color="auto"/>
            <w:bottom w:val="none" w:sz="0" w:space="0" w:color="auto"/>
            <w:right w:val="none" w:sz="0" w:space="0" w:color="auto"/>
          </w:divBdr>
        </w:div>
        <w:div w:id="1752315976">
          <w:marLeft w:val="0"/>
          <w:marRight w:val="0"/>
          <w:marTop w:val="0"/>
          <w:marBottom w:val="0"/>
          <w:divBdr>
            <w:top w:val="none" w:sz="0" w:space="0" w:color="auto"/>
            <w:left w:val="none" w:sz="0" w:space="0" w:color="auto"/>
            <w:bottom w:val="none" w:sz="0" w:space="0" w:color="auto"/>
            <w:right w:val="none" w:sz="0" w:space="0" w:color="auto"/>
          </w:divBdr>
        </w:div>
        <w:div w:id="1308433303">
          <w:marLeft w:val="0"/>
          <w:marRight w:val="0"/>
          <w:marTop w:val="0"/>
          <w:marBottom w:val="0"/>
          <w:divBdr>
            <w:top w:val="none" w:sz="0" w:space="0" w:color="auto"/>
            <w:left w:val="none" w:sz="0" w:space="0" w:color="auto"/>
            <w:bottom w:val="none" w:sz="0" w:space="0" w:color="auto"/>
            <w:right w:val="none" w:sz="0" w:space="0" w:color="auto"/>
          </w:divBdr>
        </w:div>
        <w:div w:id="2027318068">
          <w:marLeft w:val="0"/>
          <w:marRight w:val="0"/>
          <w:marTop w:val="0"/>
          <w:marBottom w:val="0"/>
          <w:divBdr>
            <w:top w:val="none" w:sz="0" w:space="0" w:color="auto"/>
            <w:left w:val="none" w:sz="0" w:space="0" w:color="auto"/>
            <w:bottom w:val="none" w:sz="0" w:space="0" w:color="auto"/>
            <w:right w:val="none" w:sz="0" w:space="0" w:color="auto"/>
          </w:divBdr>
        </w:div>
        <w:div w:id="1294336159">
          <w:marLeft w:val="0"/>
          <w:marRight w:val="0"/>
          <w:marTop w:val="0"/>
          <w:marBottom w:val="0"/>
          <w:divBdr>
            <w:top w:val="none" w:sz="0" w:space="0" w:color="auto"/>
            <w:left w:val="none" w:sz="0" w:space="0" w:color="auto"/>
            <w:bottom w:val="none" w:sz="0" w:space="0" w:color="auto"/>
            <w:right w:val="none" w:sz="0" w:space="0" w:color="auto"/>
          </w:divBdr>
        </w:div>
        <w:div w:id="1314066246">
          <w:marLeft w:val="0"/>
          <w:marRight w:val="0"/>
          <w:marTop w:val="0"/>
          <w:marBottom w:val="0"/>
          <w:divBdr>
            <w:top w:val="none" w:sz="0" w:space="0" w:color="auto"/>
            <w:left w:val="none" w:sz="0" w:space="0" w:color="auto"/>
            <w:bottom w:val="none" w:sz="0" w:space="0" w:color="auto"/>
            <w:right w:val="none" w:sz="0" w:space="0" w:color="auto"/>
          </w:divBdr>
        </w:div>
        <w:div w:id="1869100289">
          <w:marLeft w:val="0"/>
          <w:marRight w:val="0"/>
          <w:marTop w:val="0"/>
          <w:marBottom w:val="0"/>
          <w:divBdr>
            <w:top w:val="none" w:sz="0" w:space="0" w:color="auto"/>
            <w:left w:val="none" w:sz="0" w:space="0" w:color="auto"/>
            <w:bottom w:val="none" w:sz="0" w:space="0" w:color="auto"/>
            <w:right w:val="none" w:sz="0" w:space="0" w:color="auto"/>
          </w:divBdr>
        </w:div>
        <w:div w:id="284317060">
          <w:marLeft w:val="0"/>
          <w:marRight w:val="0"/>
          <w:marTop w:val="0"/>
          <w:marBottom w:val="0"/>
          <w:divBdr>
            <w:top w:val="none" w:sz="0" w:space="0" w:color="auto"/>
            <w:left w:val="none" w:sz="0" w:space="0" w:color="auto"/>
            <w:bottom w:val="none" w:sz="0" w:space="0" w:color="auto"/>
            <w:right w:val="none" w:sz="0" w:space="0" w:color="auto"/>
          </w:divBdr>
        </w:div>
        <w:div w:id="1254049311">
          <w:marLeft w:val="0"/>
          <w:marRight w:val="0"/>
          <w:marTop w:val="0"/>
          <w:marBottom w:val="0"/>
          <w:divBdr>
            <w:top w:val="none" w:sz="0" w:space="0" w:color="auto"/>
            <w:left w:val="none" w:sz="0" w:space="0" w:color="auto"/>
            <w:bottom w:val="none" w:sz="0" w:space="0" w:color="auto"/>
            <w:right w:val="none" w:sz="0" w:space="0" w:color="auto"/>
          </w:divBdr>
        </w:div>
        <w:div w:id="1046953285">
          <w:marLeft w:val="0"/>
          <w:marRight w:val="0"/>
          <w:marTop w:val="0"/>
          <w:marBottom w:val="0"/>
          <w:divBdr>
            <w:top w:val="none" w:sz="0" w:space="0" w:color="auto"/>
            <w:left w:val="none" w:sz="0" w:space="0" w:color="auto"/>
            <w:bottom w:val="none" w:sz="0" w:space="0" w:color="auto"/>
            <w:right w:val="none" w:sz="0" w:space="0" w:color="auto"/>
          </w:divBdr>
        </w:div>
        <w:div w:id="276376267">
          <w:marLeft w:val="0"/>
          <w:marRight w:val="0"/>
          <w:marTop w:val="0"/>
          <w:marBottom w:val="0"/>
          <w:divBdr>
            <w:top w:val="none" w:sz="0" w:space="0" w:color="auto"/>
            <w:left w:val="none" w:sz="0" w:space="0" w:color="auto"/>
            <w:bottom w:val="none" w:sz="0" w:space="0" w:color="auto"/>
            <w:right w:val="none" w:sz="0" w:space="0" w:color="auto"/>
          </w:divBdr>
        </w:div>
        <w:div w:id="1131245207">
          <w:marLeft w:val="0"/>
          <w:marRight w:val="0"/>
          <w:marTop w:val="0"/>
          <w:marBottom w:val="0"/>
          <w:divBdr>
            <w:top w:val="none" w:sz="0" w:space="0" w:color="auto"/>
            <w:left w:val="none" w:sz="0" w:space="0" w:color="auto"/>
            <w:bottom w:val="none" w:sz="0" w:space="0" w:color="auto"/>
            <w:right w:val="none" w:sz="0" w:space="0" w:color="auto"/>
          </w:divBdr>
        </w:div>
        <w:div w:id="904486428">
          <w:marLeft w:val="0"/>
          <w:marRight w:val="0"/>
          <w:marTop w:val="0"/>
          <w:marBottom w:val="0"/>
          <w:divBdr>
            <w:top w:val="none" w:sz="0" w:space="0" w:color="auto"/>
            <w:left w:val="none" w:sz="0" w:space="0" w:color="auto"/>
            <w:bottom w:val="none" w:sz="0" w:space="0" w:color="auto"/>
            <w:right w:val="none" w:sz="0" w:space="0" w:color="auto"/>
          </w:divBdr>
        </w:div>
        <w:div w:id="2038961767">
          <w:marLeft w:val="0"/>
          <w:marRight w:val="0"/>
          <w:marTop w:val="0"/>
          <w:marBottom w:val="0"/>
          <w:divBdr>
            <w:top w:val="none" w:sz="0" w:space="0" w:color="auto"/>
            <w:left w:val="none" w:sz="0" w:space="0" w:color="auto"/>
            <w:bottom w:val="none" w:sz="0" w:space="0" w:color="auto"/>
            <w:right w:val="none" w:sz="0" w:space="0" w:color="auto"/>
          </w:divBdr>
        </w:div>
        <w:div w:id="1866865842">
          <w:marLeft w:val="0"/>
          <w:marRight w:val="0"/>
          <w:marTop w:val="0"/>
          <w:marBottom w:val="0"/>
          <w:divBdr>
            <w:top w:val="none" w:sz="0" w:space="0" w:color="auto"/>
            <w:left w:val="none" w:sz="0" w:space="0" w:color="auto"/>
            <w:bottom w:val="none" w:sz="0" w:space="0" w:color="auto"/>
            <w:right w:val="none" w:sz="0" w:space="0" w:color="auto"/>
          </w:divBdr>
        </w:div>
        <w:div w:id="1663586452">
          <w:marLeft w:val="0"/>
          <w:marRight w:val="0"/>
          <w:marTop w:val="0"/>
          <w:marBottom w:val="0"/>
          <w:divBdr>
            <w:top w:val="none" w:sz="0" w:space="0" w:color="auto"/>
            <w:left w:val="none" w:sz="0" w:space="0" w:color="auto"/>
            <w:bottom w:val="none" w:sz="0" w:space="0" w:color="auto"/>
            <w:right w:val="none" w:sz="0" w:space="0" w:color="auto"/>
          </w:divBdr>
        </w:div>
        <w:div w:id="1636637287">
          <w:marLeft w:val="0"/>
          <w:marRight w:val="0"/>
          <w:marTop w:val="0"/>
          <w:marBottom w:val="0"/>
          <w:divBdr>
            <w:top w:val="none" w:sz="0" w:space="0" w:color="auto"/>
            <w:left w:val="none" w:sz="0" w:space="0" w:color="auto"/>
            <w:bottom w:val="none" w:sz="0" w:space="0" w:color="auto"/>
            <w:right w:val="none" w:sz="0" w:space="0" w:color="auto"/>
          </w:divBdr>
        </w:div>
        <w:div w:id="1796562227">
          <w:marLeft w:val="0"/>
          <w:marRight w:val="0"/>
          <w:marTop w:val="0"/>
          <w:marBottom w:val="0"/>
          <w:divBdr>
            <w:top w:val="none" w:sz="0" w:space="0" w:color="auto"/>
            <w:left w:val="none" w:sz="0" w:space="0" w:color="auto"/>
            <w:bottom w:val="none" w:sz="0" w:space="0" w:color="auto"/>
            <w:right w:val="none" w:sz="0" w:space="0" w:color="auto"/>
          </w:divBdr>
        </w:div>
        <w:div w:id="2130586033">
          <w:marLeft w:val="0"/>
          <w:marRight w:val="0"/>
          <w:marTop w:val="0"/>
          <w:marBottom w:val="0"/>
          <w:divBdr>
            <w:top w:val="none" w:sz="0" w:space="0" w:color="auto"/>
            <w:left w:val="none" w:sz="0" w:space="0" w:color="auto"/>
            <w:bottom w:val="none" w:sz="0" w:space="0" w:color="auto"/>
            <w:right w:val="none" w:sz="0" w:space="0" w:color="auto"/>
          </w:divBdr>
        </w:div>
        <w:div w:id="2041203429">
          <w:marLeft w:val="0"/>
          <w:marRight w:val="0"/>
          <w:marTop w:val="0"/>
          <w:marBottom w:val="0"/>
          <w:divBdr>
            <w:top w:val="none" w:sz="0" w:space="0" w:color="auto"/>
            <w:left w:val="none" w:sz="0" w:space="0" w:color="auto"/>
            <w:bottom w:val="none" w:sz="0" w:space="0" w:color="auto"/>
            <w:right w:val="none" w:sz="0" w:space="0" w:color="auto"/>
          </w:divBdr>
        </w:div>
        <w:div w:id="1452549794">
          <w:marLeft w:val="0"/>
          <w:marRight w:val="0"/>
          <w:marTop w:val="0"/>
          <w:marBottom w:val="0"/>
          <w:divBdr>
            <w:top w:val="none" w:sz="0" w:space="0" w:color="auto"/>
            <w:left w:val="none" w:sz="0" w:space="0" w:color="auto"/>
            <w:bottom w:val="none" w:sz="0" w:space="0" w:color="auto"/>
            <w:right w:val="none" w:sz="0" w:space="0" w:color="auto"/>
          </w:divBdr>
        </w:div>
        <w:div w:id="744036891">
          <w:marLeft w:val="0"/>
          <w:marRight w:val="0"/>
          <w:marTop w:val="0"/>
          <w:marBottom w:val="0"/>
          <w:divBdr>
            <w:top w:val="none" w:sz="0" w:space="0" w:color="auto"/>
            <w:left w:val="none" w:sz="0" w:space="0" w:color="auto"/>
            <w:bottom w:val="none" w:sz="0" w:space="0" w:color="auto"/>
            <w:right w:val="none" w:sz="0" w:space="0" w:color="auto"/>
          </w:divBdr>
        </w:div>
        <w:div w:id="421225569">
          <w:marLeft w:val="0"/>
          <w:marRight w:val="0"/>
          <w:marTop w:val="0"/>
          <w:marBottom w:val="0"/>
          <w:divBdr>
            <w:top w:val="none" w:sz="0" w:space="0" w:color="auto"/>
            <w:left w:val="none" w:sz="0" w:space="0" w:color="auto"/>
            <w:bottom w:val="none" w:sz="0" w:space="0" w:color="auto"/>
            <w:right w:val="none" w:sz="0" w:space="0" w:color="auto"/>
          </w:divBdr>
        </w:div>
        <w:div w:id="225923330">
          <w:marLeft w:val="0"/>
          <w:marRight w:val="0"/>
          <w:marTop w:val="0"/>
          <w:marBottom w:val="0"/>
          <w:divBdr>
            <w:top w:val="none" w:sz="0" w:space="0" w:color="auto"/>
            <w:left w:val="none" w:sz="0" w:space="0" w:color="auto"/>
            <w:bottom w:val="none" w:sz="0" w:space="0" w:color="auto"/>
            <w:right w:val="none" w:sz="0" w:space="0" w:color="auto"/>
          </w:divBdr>
        </w:div>
        <w:div w:id="1715037900">
          <w:marLeft w:val="0"/>
          <w:marRight w:val="0"/>
          <w:marTop w:val="0"/>
          <w:marBottom w:val="0"/>
          <w:divBdr>
            <w:top w:val="none" w:sz="0" w:space="0" w:color="auto"/>
            <w:left w:val="none" w:sz="0" w:space="0" w:color="auto"/>
            <w:bottom w:val="none" w:sz="0" w:space="0" w:color="auto"/>
            <w:right w:val="none" w:sz="0" w:space="0" w:color="auto"/>
          </w:divBdr>
        </w:div>
        <w:div w:id="1006328542">
          <w:marLeft w:val="0"/>
          <w:marRight w:val="0"/>
          <w:marTop w:val="0"/>
          <w:marBottom w:val="0"/>
          <w:divBdr>
            <w:top w:val="none" w:sz="0" w:space="0" w:color="auto"/>
            <w:left w:val="none" w:sz="0" w:space="0" w:color="auto"/>
            <w:bottom w:val="none" w:sz="0" w:space="0" w:color="auto"/>
            <w:right w:val="none" w:sz="0" w:space="0" w:color="auto"/>
          </w:divBdr>
        </w:div>
        <w:div w:id="670718661">
          <w:marLeft w:val="0"/>
          <w:marRight w:val="0"/>
          <w:marTop w:val="0"/>
          <w:marBottom w:val="0"/>
          <w:divBdr>
            <w:top w:val="none" w:sz="0" w:space="0" w:color="auto"/>
            <w:left w:val="none" w:sz="0" w:space="0" w:color="auto"/>
            <w:bottom w:val="none" w:sz="0" w:space="0" w:color="auto"/>
            <w:right w:val="none" w:sz="0" w:space="0" w:color="auto"/>
          </w:divBdr>
        </w:div>
        <w:div w:id="1654022026">
          <w:marLeft w:val="0"/>
          <w:marRight w:val="0"/>
          <w:marTop w:val="0"/>
          <w:marBottom w:val="0"/>
          <w:divBdr>
            <w:top w:val="none" w:sz="0" w:space="0" w:color="auto"/>
            <w:left w:val="none" w:sz="0" w:space="0" w:color="auto"/>
            <w:bottom w:val="none" w:sz="0" w:space="0" w:color="auto"/>
            <w:right w:val="none" w:sz="0" w:space="0" w:color="auto"/>
          </w:divBdr>
        </w:div>
        <w:div w:id="1171682851">
          <w:marLeft w:val="0"/>
          <w:marRight w:val="0"/>
          <w:marTop w:val="0"/>
          <w:marBottom w:val="0"/>
          <w:divBdr>
            <w:top w:val="none" w:sz="0" w:space="0" w:color="auto"/>
            <w:left w:val="none" w:sz="0" w:space="0" w:color="auto"/>
            <w:bottom w:val="none" w:sz="0" w:space="0" w:color="auto"/>
            <w:right w:val="none" w:sz="0" w:space="0" w:color="auto"/>
          </w:divBdr>
        </w:div>
        <w:div w:id="1463422979">
          <w:marLeft w:val="0"/>
          <w:marRight w:val="0"/>
          <w:marTop w:val="0"/>
          <w:marBottom w:val="0"/>
          <w:divBdr>
            <w:top w:val="none" w:sz="0" w:space="0" w:color="auto"/>
            <w:left w:val="none" w:sz="0" w:space="0" w:color="auto"/>
            <w:bottom w:val="none" w:sz="0" w:space="0" w:color="auto"/>
            <w:right w:val="none" w:sz="0" w:space="0" w:color="auto"/>
          </w:divBdr>
        </w:div>
        <w:div w:id="1165707983">
          <w:marLeft w:val="0"/>
          <w:marRight w:val="0"/>
          <w:marTop w:val="0"/>
          <w:marBottom w:val="0"/>
          <w:divBdr>
            <w:top w:val="none" w:sz="0" w:space="0" w:color="auto"/>
            <w:left w:val="none" w:sz="0" w:space="0" w:color="auto"/>
            <w:bottom w:val="none" w:sz="0" w:space="0" w:color="auto"/>
            <w:right w:val="none" w:sz="0" w:space="0" w:color="auto"/>
          </w:divBdr>
        </w:div>
        <w:div w:id="380983834">
          <w:marLeft w:val="0"/>
          <w:marRight w:val="0"/>
          <w:marTop w:val="0"/>
          <w:marBottom w:val="0"/>
          <w:divBdr>
            <w:top w:val="none" w:sz="0" w:space="0" w:color="auto"/>
            <w:left w:val="none" w:sz="0" w:space="0" w:color="auto"/>
            <w:bottom w:val="none" w:sz="0" w:space="0" w:color="auto"/>
            <w:right w:val="none" w:sz="0" w:space="0" w:color="auto"/>
          </w:divBdr>
        </w:div>
        <w:div w:id="1299141578">
          <w:marLeft w:val="0"/>
          <w:marRight w:val="0"/>
          <w:marTop w:val="0"/>
          <w:marBottom w:val="0"/>
          <w:divBdr>
            <w:top w:val="none" w:sz="0" w:space="0" w:color="auto"/>
            <w:left w:val="none" w:sz="0" w:space="0" w:color="auto"/>
            <w:bottom w:val="none" w:sz="0" w:space="0" w:color="auto"/>
            <w:right w:val="none" w:sz="0" w:space="0" w:color="auto"/>
          </w:divBdr>
        </w:div>
        <w:div w:id="253906328">
          <w:marLeft w:val="0"/>
          <w:marRight w:val="0"/>
          <w:marTop w:val="0"/>
          <w:marBottom w:val="0"/>
          <w:divBdr>
            <w:top w:val="none" w:sz="0" w:space="0" w:color="auto"/>
            <w:left w:val="none" w:sz="0" w:space="0" w:color="auto"/>
            <w:bottom w:val="none" w:sz="0" w:space="0" w:color="auto"/>
            <w:right w:val="none" w:sz="0" w:space="0" w:color="auto"/>
          </w:divBdr>
        </w:div>
        <w:div w:id="1555577832">
          <w:marLeft w:val="0"/>
          <w:marRight w:val="0"/>
          <w:marTop w:val="0"/>
          <w:marBottom w:val="0"/>
          <w:divBdr>
            <w:top w:val="none" w:sz="0" w:space="0" w:color="auto"/>
            <w:left w:val="none" w:sz="0" w:space="0" w:color="auto"/>
            <w:bottom w:val="none" w:sz="0" w:space="0" w:color="auto"/>
            <w:right w:val="none" w:sz="0" w:space="0" w:color="auto"/>
          </w:divBdr>
        </w:div>
        <w:div w:id="1065374823">
          <w:marLeft w:val="0"/>
          <w:marRight w:val="0"/>
          <w:marTop w:val="0"/>
          <w:marBottom w:val="0"/>
          <w:divBdr>
            <w:top w:val="none" w:sz="0" w:space="0" w:color="auto"/>
            <w:left w:val="none" w:sz="0" w:space="0" w:color="auto"/>
            <w:bottom w:val="none" w:sz="0" w:space="0" w:color="auto"/>
            <w:right w:val="none" w:sz="0" w:space="0" w:color="auto"/>
          </w:divBdr>
        </w:div>
        <w:div w:id="274334105">
          <w:marLeft w:val="0"/>
          <w:marRight w:val="0"/>
          <w:marTop w:val="0"/>
          <w:marBottom w:val="0"/>
          <w:divBdr>
            <w:top w:val="none" w:sz="0" w:space="0" w:color="auto"/>
            <w:left w:val="none" w:sz="0" w:space="0" w:color="auto"/>
            <w:bottom w:val="none" w:sz="0" w:space="0" w:color="auto"/>
            <w:right w:val="none" w:sz="0" w:space="0" w:color="auto"/>
          </w:divBdr>
        </w:div>
        <w:div w:id="1637493648">
          <w:marLeft w:val="0"/>
          <w:marRight w:val="0"/>
          <w:marTop w:val="0"/>
          <w:marBottom w:val="0"/>
          <w:divBdr>
            <w:top w:val="none" w:sz="0" w:space="0" w:color="auto"/>
            <w:left w:val="none" w:sz="0" w:space="0" w:color="auto"/>
            <w:bottom w:val="none" w:sz="0" w:space="0" w:color="auto"/>
            <w:right w:val="none" w:sz="0" w:space="0" w:color="auto"/>
          </w:divBdr>
        </w:div>
        <w:div w:id="1382293230">
          <w:marLeft w:val="0"/>
          <w:marRight w:val="0"/>
          <w:marTop w:val="0"/>
          <w:marBottom w:val="0"/>
          <w:divBdr>
            <w:top w:val="none" w:sz="0" w:space="0" w:color="auto"/>
            <w:left w:val="none" w:sz="0" w:space="0" w:color="auto"/>
            <w:bottom w:val="none" w:sz="0" w:space="0" w:color="auto"/>
            <w:right w:val="none" w:sz="0" w:space="0" w:color="auto"/>
          </w:divBdr>
        </w:div>
        <w:div w:id="789477831">
          <w:marLeft w:val="0"/>
          <w:marRight w:val="0"/>
          <w:marTop w:val="0"/>
          <w:marBottom w:val="0"/>
          <w:divBdr>
            <w:top w:val="none" w:sz="0" w:space="0" w:color="auto"/>
            <w:left w:val="none" w:sz="0" w:space="0" w:color="auto"/>
            <w:bottom w:val="none" w:sz="0" w:space="0" w:color="auto"/>
            <w:right w:val="none" w:sz="0" w:space="0" w:color="auto"/>
          </w:divBdr>
        </w:div>
        <w:div w:id="1879466964">
          <w:marLeft w:val="0"/>
          <w:marRight w:val="0"/>
          <w:marTop w:val="0"/>
          <w:marBottom w:val="0"/>
          <w:divBdr>
            <w:top w:val="none" w:sz="0" w:space="0" w:color="auto"/>
            <w:left w:val="none" w:sz="0" w:space="0" w:color="auto"/>
            <w:bottom w:val="none" w:sz="0" w:space="0" w:color="auto"/>
            <w:right w:val="none" w:sz="0" w:space="0" w:color="auto"/>
          </w:divBdr>
        </w:div>
        <w:div w:id="1557934149">
          <w:marLeft w:val="0"/>
          <w:marRight w:val="0"/>
          <w:marTop w:val="0"/>
          <w:marBottom w:val="0"/>
          <w:divBdr>
            <w:top w:val="none" w:sz="0" w:space="0" w:color="auto"/>
            <w:left w:val="none" w:sz="0" w:space="0" w:color="auto"/>
            <w:bottom w:val="none" w:sz="0" w:space="0" w:color="auto"/>
            <w:right w:val="none" w:sz="0" w:space="0" w:color="auto"/>
          </w:divBdr>
        </w:div>
        <w:div w:id="1642153711">
          <w:marLeft w:val="0"/>
          <w:marRight w:val="0"/>
          <w:marTop w:val="0"/>
          <w:marBottom w:val="0"/>
          <w:divBdr>
            <w:top w:val="none" w:sz="0" w:space="0" w:color="auto"/>
            <w:left w:val="none" w:sz="0" w:space="0" w:color="auto"/>
            <w:bottom w:val="none" w:sz="0" w:space="0" w:color="auto"/>
            <w:right w:val="none" w:sz="0" w:space="0" w:color="auto"/>
          </w:divBdr>
        </w:div>
        <w:div w:id="1776485244">
          <w:marLeft w:val="0"/>
          <w:marRight w:val="0"/>
          <w:marTop w:val="0"/>
          <w:marBottom w:val="0"/>
          <w:divBdr>
            <w:top w:val="none" w:sz="0" w:space="0" w:color="auto"/>
            <w:left w:val="none" w:sz="0" w:space="0" w:color="auto"/>
            <w:bottom w:val="none" w:sz="0" w:space="0" w:color="auto"/>
            <w:right w:val="none" w:sz="0" w:space="0" w:color="auto"/>
          </w:divBdr>
        </w:div>
        <w:div w:id="983697214">
          <w:marLeft w:val="0"/>
          <w:marRight w:val="0"/>
          <w:marTop w:val="0"/>
          <w:marBottom w:val="0"/>
          <w:divBdr>
            <w:top w:val="none" w:sz="0" w:space="0" w:color="auto"/>
            <w:left w:val="none" w:sz="0" w:space="0" w:color="auto"/>
            <w:bottom w:val="none" w:sz="0" w:space="0" w:color="auto"/>
            <w:right w:val="none" w:sz="0" w:space="0" w:color="auto"/>
          </w:divBdr>
        </w:div>
        <w:div w:id="1820268911">
          <w:marLeft w:val="0"/>
          <w:marRight w:val="0"/>
          <w:marTop w:val="0"/>
          <w:marBottom w:val="0"/>
          <w:divBdr>
            <w:top w:val="none" w:sz="0" w:space="0" w:color="auto"/>
            <w:left w:val="none" w:sz="0" w:space="0" w:color="auto"/>
            <w:bottom w:val="none" w:sz="0" w:space="0" w:color="auto"/>
            <w:right w:val="none" w:sz="0" w:space="0" w:color="auto"/>
          </w:divBdr>
        </w:div>
        <w:div w:id="1498762718">
          <w:marLeft w:val="0"/>
          <w:marRight w:val="0"/>
          <w:marTop w:val="0"/>
          <w:marBottom w:val="0"/>
          <w:divBdr>
            <w:top w:val="none" w:sz="0" w:space="0" w:color="auto"/>
            <w:left w:val="none" w:sz="0" w:space="0" w:color="auto"/>
            <w:bottom w:val="none" w:sz="0" w:space="0" w:color="auto"/>
            <w:right w:val="none" w:sz="0" w:space="0" w:color="auto"/>
          </w:divBdr>
        </w:div>
        <w:div w:id="1573855116">
          <w:marLeft w:val="0"/>
          <w:marRight w:val="0"/>
          <w:marTop w:val="0"/>
          <w:marBottom w:val="0"/>
          <w:divBdr>
            <w:top w:val="none" w:sz="0" w:space="0" w:color="auto"/>
            <w:left w:val="none" w:sz="0" w:space="0" w:color="auto"/>
            <w:bottom w:val="none" w:sz="0" w:space="0" w:color="auto"/>
            <w:right w:val="none" w:sz="0" w:space="0" w:color="auto"/>
          </w:divBdr>
        </w:div>
        <w:div w:id="1052847358">
          <w:marLeft w:val="0"/>
          <w:marRight w:val="0"/>
          <w:marTop w:val="0"/>
          <w:marBottom w:val="0"/>
          <w:divBdr>
            <w:top w:val="none" w:sz="0" w:space="0" w:color="auto"/>
            <w:left w:val="none" w:sz="0" w:space="0" w:color="auto"/>
            <w:bottom w:val="none" w:sz="0" w:space="0" w:color="auto"/>
            <w:right w:val="none" w:sz="0" w:space="0" w:color="auto"/>
          </w:divBdr>
        </w:div>
        <w:div w:id="624695818">
          <w:marLeft w:val="0"/>
          <w:marRight w:val="0"/>
          <w:marTop w:val="0"/>
          <w:marBottom w:val="0"/>
          <w:divBdr>
            <w:top w:val="none" w:sz="0" w:space="0" w:color="auto"/>
            <w:left w:val="none" w:sz="0" w:space="0" w:color="auto"/>
            <w:bottom w:val="none" w:sz="0" w:space="0" w:color="auto"/>
            <w:right w:val="none" w:sz="0" w:space="0" w:color="auto"/>
          </w:divBdr>
        </w:div>
        <w:div w:id="2065441703">
          <w:marLeft w:val="0"/>
          <w:marRight w:val="0"/>
          <w:marTop w:val="0"/>
          <w:marBottom w:val="0"/>
          <w:divBdr>
            <w:top w:val="none" w:sz="0" w:space="0" w:color="auto"/>
            <w:left w:val="none" w:sz="0" w:space="0" w:color="auto"/>
            <w:bottom w:val="none" w:sz="0" w:space="0" w:color="auto"/>
            <w:right w:val="none" w:sz="0" w:space="0" w:color="auto"/>
          </w:divBdr>
        </w:div>
        <w:div w:id="1547521304">
          <w:marLeft w:val="0"/>
          <w:marRight w:val="0"/>
          <w:marTop w:val="0"/>
          <w:marBottom w:val="0"/>
          <w:divBdr>
            <w:top w:val="none" w:sz="0" w:space="0" w:color="auto"/>
            <w:left w:val="none" w:sz="0" w:space="0" w:color="auto"/>
            <w:bottom w:val="none" w:sz="0" w:space="0" w:color="auto"/>
            <w:right w:val="none" w:sz="0" w:space="0" w:color="auto"/>
          </w:divBdr>
        </w:div>
        <w:div w:id="1051417107">
          <w:marLeft w:val="0"/>
          <w:marRight w:val="0"/>
          <w:marTop w:val="0"/>
          <w:marBottom w:val="0"/>
          <w:divBdr>
            <w:top w:val="none" w:sz="0" w:space="0" w:color="auto"/>
            <w:left w:val="none" w:sz="0" w:space="0" w:color="auto"/>
            <w:bottom w:val="none" w:sz="0" w:space="0" w:color="auto"/>
            <w:right w:val="none" w:sz="0" w:space="0" w:color="auto"/>
          </w:divBdr>
        </w:div>
        <w:div w:id="786003753">
          <w:marLeft w:val="0"/>
          <w:marRight w:val="0"/>
          <w:marTop w:val="0"/>
          <w:marBottom w:val="0"/>
          <w:divBdr>
            <w:top w:val="none" w:sz="0" w:space="0" w:color="auto"/>
            <w:left w:val="none" w:sz="0" w:space="0" w:color="auto"/>
            <w:bottom w:val="none" w:sz="0" w:space="0" w:color="auto"/>
            <w:right w:val="none" w:sz="0" w:space="0" w:color="auto"/>
          </w:divBdr>
        </w:div>
        <w:div w:id="2078282428">
          <w:marLeft w:val="0"/>
          <w:marRight w:val="0"/>
          <w:marTop w:val="0"/>
          <w:marBottom w:val="0"/>
          <w:divBdr>
            <w:top w:val="none" w:sz="0" w:space="0" w:color="auto"/>
            <w:left w:val="none" w:sz="0" w:space="0" w:color="auto"/>
            <w:bottom w:val="none" w:sz="0" w:space="0" w:color="auto"/>
            <w:right w:val="none" w:sz="0" w:space="0" w:color="auto"/>
          </w:divBdr>
        </w:div>
        <w:div w:id="1421295381">
          <w:marLeft w:val="0"/>
          <w:marRight w:val="0"/>
          <w:marTop w:val="0"/>
          <w:marBottom w:val="0"/>
          <w:divBdr>
            <w:top w:val="none" w:sz="0" w:space="0" w:color="auto"/>
            <w:left w:val="none" w:sz="0" w:space="0" w:color="auto"/>
            <w:bottom w:val="none" w:sz="0" w:space="0" w:color="auto"/>
            <w:right w:val="none" w:sz="0" w:space="0" w:color="auto"/>
          </w:divBdr>
        </w:div>
        <w:div w:id="750197596">
          <w:marLeft w:val="0"/>
          <w:marRight w:val="0"/>
          <w:marTop w:val="0"/>
          <w:marBottom w:val="0"/>
          <w:divBdr>
            <w:top w:val="none" w:sz="0" w:space="0" w:color="auto"/>
            <w:left w:val="none" w:sz="0" w:space="0" w:color="auto"/>
            <w:bottom w:val="none" w:sz="0" w:space="0" w:color="auto"/>
            <w:right w:val="none" w:sz="0" w:space="0" w:color="auto"/>
          </w:divBdr>
        </w:div>
      </w:divsChild>
    </w:div>
    <w:div w:id="759907789">
      <w:bodyDiv w:val="1"/>
      <w:marLeft w:val="0"/>
      <w:marRight w:val="0"/>
      <w:marTop w:val="0"/>
      <w:marBottom w:val="0"/>
      <w:divBdr>
        <w:top w:val="none" w:sz="0" w:space="0" w:color="auto"/>
        <w:left w:val="none" w:sz="0" w:space="0" w:color="auto"/>
        <w:bottom w:val="none" w:sz="0" w:space="0" w:color="auto"/>
        <w:right w:val="none" w:sz="0" w:space="0" w:color="auto"/>
      </w:divBdr>
      <w:divsChild>
        <w:div w:id="311719240">
          <w:marLeft w:val="0"/>
          <w:marRight w:val="0"/>
          <w:marTop w:val="0"/>
          <w:marBottom w:val="0"/>
          <w:divBdr>
            <w:top w:val="none" w:sz="0" w:space="0" w:color="auto"/>
            <w:left w:val="none" w:sz="0" w:space="0" w:color="auto"/>
            <w:bottom w:val="none" w:sz="0" w:space="0" w:color="auto"/>
            <w:right w:val="none" w:sz="0" w:space="0" w:color="auto"/>
          </w:divBdr>
        </w:div>
        <w:div w:id="3867931">
          <w:marLeft w:val="0"/>
          <w:marRight w:val="0"/>
          <w:marTop w:val="0"/>
          <w:marBottom w:val="0"/>
          <w:divBdr>
            <w:top w:val="none" w:sz="0" w:space="0" w:color="auto"/>
            <w:left w:val="none" w:sz="0" w:space="0" w:color="auto"/>
            <w:bottom w:val="none" w:sz="0" w:space="0" w:color="auto"/>
            <w:right w:val="none" w:sz="0" w:space="0" w:color="auto"/>
          </w:divBdr>
        </w:div>
        <w:div w:id="1573195446">
          <w:marLeft w:val="0"/>
          <w:marRight w:val="0"/>
          <w:marTop w:val="0"/>
          <w:marBottom w:val="0"/>
          <w:divBdr>
            <w:top w:val="none" w:sz="0" w:space="0" w:color="auto"/>
            <w:left w:val="none" w:sz="0" w:space="0" w:color="auto"/>
            <w:bottom w:val="none" w:sz="0" w:space="0" w:color="auto"/>
            <w:right w:val="none" w:sz="0" w:space="0" w:color="auto"/>
          </w:divBdr>
        </w:div>
        <w:div w:id="1708294119">
          <w:marLeft w:val="0"/>
          <w:marRight w:val="0"/>
          <w:marTop w:val="0"/>
          <w:marBottom w:val="0"/>
          <w:divBdr>
            <w:top w:val="none" w:sz="0" w:space="0" w:color="auto"/>
            <w:left w:val="none" w:sz="0" w:space="0" w:color="auto"/>
            <w:bottom w:val="none" w:sz="0" w:space="0" w:color="auto"/>
            <w:right w:val="none" w:sz="0" w:space="0" w:color="auto"/>
          </w:divBdr>
        </w:div>
        <w:div w:id="1915048995">
          <w:marLeft w:val="0"/>
          <w:marRight w:val="0"/>
          <w:marTop w:val="0"/>
          <w:marBottom w:val="0"/>
          <w:divBdr>
            <w:top w:val="none" w:sz="0" w:space="0" w:color="auto"/>
            <w:left w:val="none" w:sz="0" w:space="0" w:color="auto"/>
            <w:bottom w:val="none" w:sz="0" w:space="0" w:color="auto"/>
            <w:right w:val="none" w:sz="0" w:space="0" w:color="auto"/>
          </w:divBdr>
        </w:div>
        <w:div w:id="1794640043">
          <w:marLeft w:val="0"/>
          <w:marRight w:val="0"/>
          <w:marTop w:val="0"/>
          <w:marBottom w:val="0"/>
          <w:divBdr>
            <w:top w:val="none" w:sz="0" w:space="0" w:color="auto"/>
            <w:left w:val="none" w:sz="0" w:space="0" w:color="auto"/>
            <w:bottom w:val="none" w:sz="0" w:space="0" w:color="auto"/>
            <w:right w:val="none" w:sz="0" w:space="0" w:color="auto"/>
          </w:divBdr>
        </w:div>
        <w:div w:id="622731324">
          <w:marLeft w:val="0"/>
          <w:marRight w:val="0"/>
          <w:marTop w:val="0"/>
          <w:marBottom w:val="0"/>
          <w:divBdr>
            <w:top w:val="none" w:sz="0" w:space="0" w:color="auto"/>
            <w:left w:val="none" w:sz="0" w:space="0" w:color="auto"/>
            <w:bottom w:val="none" w:sz="0" w:space="0" w:color="auto"/>
            <w:right w:val="none" w:sz="0" w:space="0" w:color="auto"/>
          </w:divBdr>
        </w:div>
        <w:div w:id="1024211615">
          <w:marLeft w:val="0"/>
          <w:marRight w:val="0"/>
          <w:marTop w:val="0"/>
          <w:marBottom w:val="0"/>
          <w:divBdr>
            <w:top w:val="none" w:sz="0" w:space="0" w:color="auto"/>
            <w:left w:val="none" w:sz="0" w:space="0" w:color="auto"/>
            <w:bottom w:val="none" w:sz="0" w:space="0" w:color="auto"/>
            <w:right w:val="none" w:sz="0" w:space="0" w:color="auto"/>
          </w:divBdr>
        </w:div>
        <w:div w:id="25721361">
          <w:marLeft w:val="0"/>
          <w:marRight w:val="0"/>
          <w:marTop w:val="0"/>
          <w:marBottom w:val="0"/>
          <w:divBdr>
            <w:top w:val="none" w:sz="0" w:space="0" w:color="auto"/>
            <w:left w:val="none" w:sz="0" w:space="0" w:color="auto"/>
            <w:bottom w:val="none" w:sz="0" w:space="0" w:color="auto"/>
            <w:right w:val="none" w:sz="0" w:space="0" w:color="auto"/>
          </w:divBdr>
        </w:div>
        <w:div w:id="2074110807">
          <w:marLeft w:val="0"/>
          <w:marRight w:val="0"/>
          <w:marTop w:val="0"/>
          <w:marBottom w:val="0"/>
          <w:divBdr>
            <w:top w:val="none" w:sz="0" w:space="0" w:color="auto"/>
            <w:left w:val="none" w:sz="0" w:space="0" w:color="auto"/>
            <w:bottom w:val="none" w:sz="0" w:space="0" w:color="auto"/>
            <w:right w:val="none" w:sz="0" w:space="0" w:color="auto"/>
          </w:divBdr>
        </w:div>
        <w:div w:id="309138027">
          <w:marLeft w:val="0"/>
          <w:marRight w:val="0"/>
          <w:marTop w:val="0"/>
          <w:marBottom w:val="0"/>
          <w:divBdr>
            <w:top w:val="none" w:sz="0" w:space="0" w:color="auto"/>
            <w:left w:val="none" w:sz="0" w:space="0" w:color="auto"/>
            <w:bottom w:val="none" w:sz="0" w:space="0" w:color="auto"/>
            <w:right w:val="none" w:sz="0" w:space="0" w:color="auto"/>
          </w:divBdr>
        </w:div>
        <w:div w:id="484325805">
          <w:marLeft w:val="0"/>
          <w:marRight w:val="0"/>
          <w:marTop w:val="0"/>
          <w:marBottom w:val="0"/>
          <w:divBdr>
            <w:top w:val="none" w:sz="0" w:space="0" w:color="auto"/>
            <w:left w:val="none" w:sz="0" w:space="0" w:color="auto"/>
            <w:bottom w:val="none" w:sz="0" w:space="0" w:color="auto"/>
            <w:right w:val="none" w:sz="0" w:space="0" w:color="auto"/>
          </w:divBdr>
        </w:div>
        <w:div w:id="1256478857">
          <w:marLeft w:val="0"/>
          <w:marRight w:val="0"/>
          <w:marTop w:val="0"/>
          <w:marBottom w:val="0"/>
          <w:divBdr>
            <w:top w:val="none" w:sz="0" w:space="0" w:color="auto"/>
            <w:left w:val="none" w:sz="0" w:space="0" w:color="auto"/>
            <w:bottom w:val="none" w:sz="0" w:space="0" w:color="auto"/>
            <w:right w:val="none" w:sz="0" w:space="0" w:color="auto"/>
          </w:divBdr>
        </w:div>
        <w:div w:id="310645487">
          <w:marLeft w:val="0"/>
          <w:marRight w:val="0"/>
          <w:marTop w:val="0"/>
          <w:marBottom w:val="0"/>
          <w:divBdr>
            <w:top w:val="none" w:sz="0" w:space="0" w:color="auto"/>
            <w:left w:val="none" w:sz="0" w:space="0" w:color="auto"/>
            <w:bottom w:val="none" w:sz="0" w:space="0" w:color="auto"/>
            <w:right w:val="none" w:sz="0" w:space="0" w:color="auto"/>
          </w:divBdr>
        </w:div>
        <w:div w:id="1975938184">
          <w:marLeft w:val="0"/>
          <w:marRight w:val="0"/>
          <w:marTop w:val="0"/>
          <w:marBottom w:val="0"/>
          <w:divBdr>
            <w:top w:val="none" w:sz="0" w:space="0" w:color="auto"/>
            <w:left w:val="none" w:sz="0" w:space="0" w:color="auto"/>
            <w:bottom w:val="none" w:sz="0" w:space="0" w:color="auto"/>
            <w:right w:val="none" w:sz="0" w:space="0" w:color="auto"/>
          </w:divBdr>
        </w:div>
        <w:div w:id="1088304790">
          <w:marLeft w:val="0"/>
          <w:marRight w:val="0"/>
          <w:marTop w:val="0"/>
          <w:marBottom w:val="0"/>
          <w:divBdr>
            <w:top w:val="none" w:sz="0" w:space="0" w:color="auto"/>
            <w:left w:val="none" w:sz="0" w:space="0" w:color="auto"/>
            <w:bottom w:val="none" w:sz="0" w:space="0" w:color="auto"/>
            <w:right w:val="none" w:sz="0" w:space="0" w:color="auto"/>
          </w:divBdr>
        </w:div>
        <w:div w:id="553002381">
          <w:marLeft w:val="0"/>
          <w:marRight w:val="0"/>
          <w:marTop w:val="0"/>
          <w:marBottom w:val="0"/>
          <w:divBdr>
            <w:top w:val="none" w:sz="0" w:space="0" w:color="auto"/>
            <w:left w:val="none" w:sz="0" w:space="0" w:color="auto"/>
            <w:bottom w:val="none" w:sz="0" w:space="0" w:color="auto"/>
            <w:right w:val="none" w:sz="0" w:space="0" w:color="auto"/>
          </w:divBdr>
        </w:div>
        <w:div w:id="570847539">
          <w:marLeft w:val="0"/>
          <w:marRight w:val="0"/>
          <w:marTop w:val="0"/>
          <w:marBottom w:val="0"/>
          <w:divBdr>
            <w:top w:val="none" w:sz="0" w:space="0" w:color="auto"/>
            <w:left w:val="none" w:sz="0" w:space="0" w:color="auto"/>
            <w:bottom w:val="none" w:sz="0" w:space="0" w:color="auto"/>
            <w:right w:val="none" w:sz="0" w:space="0" w:color="auto"/>
          </w:divBdr>
        </w:div>
        <w:div w:id="1520269778">
          <w:marLeft w:val="0"/>
          <w:marRight w:val="0"/>
          <w:marTop w:val="0"/>
          <w:marBottom w:val="0"/>
          <w:divBdr>
            <w:top w:val="none" w:sz="0" w:space="0" w:color="auto"/>
            <w:left w:val="none" w:sz="0" w:space="0" w:color="auto"/>
            <w:bottom w:val="none" w:sz="0" w:space="0" w:color="auto"/>
            <w:right w:val="none" w:sz="0" w:space="0" w:color="auto"/>
          </w:divBdr>
        </w:div>
        <w:div w:id="165369159">
          <w:marLeft w:val="0"/>
          <w:marRight w:val="0"/>
          <w:marTop w:val="0"/>
          <w:marBottom w:val="0"/>
          <w:divBdr>
            <w:top w:val="none" w:sz="0" w:space="0" w:color="auto"/>
            <w:left w:val="none" w:sz="0" w:space="0" w:color="auto"/>
            <w:bottom w:val="none" w:sz="0" w:space="0" w:color="auto"/>
            <w:right w:val="none" w:sz="0" w:space="0" w:color="auto"/>
          </w:divBdr>
        </w:div>
        <w:div w:id="822235801">
          <w:marLeft w:val="0"/>
          <w:marRight w:val="0"/>
          <w:marTop w:val="0"/>
          <w:marBottom w:val="0"/>
          <w:divBdr>
            <w:top w:val="none" w:sz="0" w:space="0" w:color="auto"/>
            <w:left w:val="none" w:sz="0" w:space="0" w:color="auto"/>
            <w:bottom w:val="none" w:sz="0" w:space="0" w:color="auto"/>
            <w:right w:val="none" w:sz="0" w:space="0" w:color="auto"/>
          </w:divBdr>
        </w:div>
        <w:div w:id="1304431868">
          <w:marLeft w:val="0"/>
          <w:marRight w:val="0"/>
          <w:marTop w:val="0"/>
          <w:marBottom w:val="0"/>
          <w:divBdr>
            <w:top w:val="none" w:sz="0" w:space="0" w:color="auto"/>
            <w:left w:val="none" w:sz="0" w:space="0" w:color="auto"/>
            <w:bottom w:val="none" w:sz="0" w:space="0" w:color="auto"/>
            <w:right w:val="none" w:sz="0" w:space="0" w:color="auto"/>
          </w:divBdr>
        </w:div>
        <w:div w:id="454910403">
          <w:marLeft w:val="0"/>
          <w:marRight w:val="0"/>
          <w:marTop w:val="0"/>
          <w:marBottom w:val="0"/>
          <w:divBdr>
            <w:top w:val="none" w:sz="0" w:space="0" w:color="auto"/>
            <w:left w:val="none" w:sz="0" w:space="0" w:color="auto"/>
            <w:bottom w:val="none" w:sz="0" w:space="0" w:color="auto"/>
            <w:right w:val="none" w:sz="0" w:space="0" w:color="auto"/>
          </w:divBdr>
        </w:div>
        <w:div w:id="191655258">
          <w:marLeft w:val="0"/>
          <w:marRight w:val="0"/>
          <w:marTop w:val="0"/>
          <w:marBottom w:val="0"/>
          <w:divBdr>
            <w:top w:val="none" w:sz="0" w:space="0" w:color="auto"/>
            <w:left w:val="none" w:sz="0" w:space="0" w:color="auto"/>
            <w:bottom w:val="none" w:sz="0" w:space="0" w:color="auto"/>
            <w:right w:val="none" w:sz="0" w:space="0" w:color="auto"/>
          </w:divBdr>
        </w:div>
        <w:div w:id="984239912">
          <w:marLeft w:val="0"/>
          <w:marRight w:val="0"/>
          <w:marTop w:val="0"/>
          <w:marBottom w:val="0"/>
          <w:divBdr>
            <w:top w:val="none" w:sz="0" w:space="0" w:color="auto"/>
            <w:left w:val="none" w:sz="0" w:space="0" w:color="auto"/>
            <w:bottom w:val="none" w:sz="0" w:space="0" w:color="auto"/>
            <w:right w:val="none" w:sz="0" w:space="0" w:color="auto"/>
          </w:divBdr>
        </w:div>
        <w:div w:id="1362705636">
          <w:marLeft w:val="0"/>
          <w:marRight w:val="0"/>
          <w:marTop w:val="0"/>
          <w:marBottom w:val="0"/>
          <w:divBdr>
            <w:top w:val="none" w:sz="0" w:space="0" w:color="auto"/>
            <w:left w:val="none" w:sz="0" w:space="0" w:color="auto"/>
            <w:bottom w:val="none" w:sz="0" w:space="0" w:color="auto"/>
            <w:right w:val="none" w:sz="0" w:space="0" w:color="auto"/>
          </w:divBdr>
        </w:div>
        <w:div w:id="531499634">
          <w:marLeft w:val="0"/>
          <w:marRight w:val="0"/>
          <w:marTop w:val="0"/>
          <w:marBottom w:val="0"/>
          <w:divBdr>
            <w:top w:val="none" w:sz="0" w:space="0" w:color="auto"/>
            <w:left w:val="none" w:sz="0" w:space="0" w:color="auto"/>
            <w:bottom w:val="none" w:sz="0" w:space="0" w:color="auto"/>
            <w:right w:val="none" w:sz="0" w:space="0" w:color="auto"/>
          </w:divBdr>
        </w:div>
        <w:div w:id="1005982438">
          <w:marLeft w:val="0"/>
          <w:marRight w:val="0"/>
          <w:marTop w:val="0"/>
          <w:marBottom w:val="0"/>
          <w:divBdr>
            <w:top w:val="none" w:sz="0" w:space="0" w:color="auto"/>
            <w:left w:val="none" w:sz="0" w:space="0" w:color="auto"/>
            <w:bottom w:val="none" w:sz="0" w:space="0" w:color="auto"/>
            <w:right w:val="none" w:sz="0" w:space="0" w:color="auto"/>
          </w:divBdr>
        </w:div>
        <w:div w:id="313028378">
          <w:marLeft w:val="0"/>
          <w:marRight w:val="0"/>
          <w:marTop w:val="0"/>
          <w:marBottom w:val="0"/>
          <w:divBdr>
            <w:top w:val="none" w:sz="0" w:space="0" w:color="auto"/>
            <w:left w:val="none" w:sz="0" w:space="0" w:color="auto"/>
            <w:bottom w:val="none" w:sz="0" w:space="0" w:color="auto"/>
            <w:right w:val="none" w:sz="0" w:space="0" w:color="auto"/>
          </w:divBdr>
        </w:div>
        <w:div w:id="1910651145">
          <w:marLeft w:val="0"/>
          <w:marRight w:val="0"/>
          <w:marTop w:val="0"/>
          <w:marBottom w:val="0"/>
          <w:divBdr>
            <w:top w:val="none" w:sz="0" w:space="0" w:color="auto"/>
            <w:left w:val="none" w:sz="0" w:space="0" w:color="auto"/>
            <w:bottom w:val="none" w:sz="0" w:space="0" w:color="auto"/>
            <w:right w:val="none" w:sz="0" w:space="0" w:color="auto"/>
          </w:divBdr>
        </w:div>
        <w:div w:id="649214172">
          <w:marLeft w:val="0"/>
          <w:marRight w:val="0"/>
          <w:marTop w:val="0"/>
          <w:marBottom w:val="0"/>
          <w:divBdr>
            <w:top w:val="none" w:sz="0" w:space="0" w:color="auto"/>
            <w:left w:val="none" w:sz="0" w:space="0" w:color="auto"/>
            <w:bottom w:val="none" w:sz="0" w:space="0" w:color="auto"/>
            <w:right w:val="none" w:sz="0" w:space="0" w:color="auto"/>
          </w:divBdr>
        </w:div>
        <w:div w:id="2052414087">
          <w:marLeft w:val="0"/>
          <w:marRight w:val="0"/>
          <w:marTop w:val="0"/>
          <w:marBottom w:val="0"/>
          <w:divBdr>
            <w:top w:val="none" w:sz="0" w:space="0" w:color="auto"/>
            <w:left w:val="none" w:sz="0" w:space="0" w:color="auto"/>
            <w:bottom w:val="none" w:sz="0" w:space="0" w:color="auto"/>
            <w:right w:val="none" w:sz="0" w:space="0" w:color="auto"/>
          </w:divBdr>
        </w:div>
        <w:div w:id="176233558">
          <w:marLeft w:val="0"/>
          <w:marRight w:val="0"/>
          <w:marTop w:val="0"/>
          <w:marBottom w:val="0"/>
          <w:divBdr>
            <w:top w:val="none" w:sz="0" w:space="0" w:color="auto"/>
            <w:left w:val="none" w:sz="0" w:space="0" w:color="auto"/>
            <w:bottom w:val="none" w:sz="0" w:space="0" w:color="auto"/>
            <w:right w:val="none" w:sz="0" w:space="0" w:color="auto"/>
          </w:divBdr>
        </w:div>
        <w:div w:id="841357949">
          <w:marLeft w:val="0"/>
          <w:marRight w:val="0"/>
          <w:marTop w:val="0"/>
          <w:marBottom w:val="0"/>
          <w:divBdr>
            <w:top w:val="none" w:sz="0" w:space="0" w:color="auto"/>
            <w:left w:val="none" w:sz="0" w:space="0" w:color="auto"/>
            <w:bottom w:val="none" w:sz="0" w:space="0" w:color="auto"/>
            <w:right w:val="none" w:sz="0" w:space="0" w:color="auto"/>
          </w:divBdr>
        </w:div>
        <w:div w:id="1076125716">
          <w:marLeft w:val="0"/>
          <w:marRight w:val="0"/>
          <w:marTop w:val="0"/>
          <w:marBottom w:val="0"/>
          <w:divBdr>
            <w:top w:val="none" w:sz="0" w:space="0" w:color="auto"/>
            <w:left w:val="none" w:sz="0" w:space="0" w:color="auto"/>
            <w:bottom w:val="none" w:sz="0" w:space="0" w:color="auto"/>
            <w:right w:val="none" w:sz="0" w:space="0" w:color="auto"/>
          </w:divBdr>
        </w:div>
        <w:div w:id="2081293064">
          <w:marLeft w:val="0"/>
          <w:marRight w:val="0"/>
          <w:marTop w:val="0"/>
          <w:marBottom w:val="0"/>
          <w:divBdr>
            <w:top w:val="none" w:sz="0" w:space="0" w:color="auto"/>
            <w:left w:val="none" w:sz="0" w:space="0" w:color="auto"/>
            <w:bottom w:val="none" w:sz="0" w:space="0" w:color="auto"/>
            <w:right w:val="none" w:sz="0" w:space="0" w:color="auto"/>
          </w:divBdr>
        </w:div>
        <w:div w:id="1555580798">
          <w:marLeft w:val="0"/>
          <w:marRight w:val="0"/>
          <w:marTop w:val="0"/>
          <w:marBottom w:val="0"/>
          <w:divBdr>
            <w:top w:val="none" w:sz="0" w:space="0" w:color="auto"/>
            <w:left w:val="none" w:sz="0" w:space="0" w:color="auto"/>
            <w:bottom w:val="none" w:sz="0" w:space="0" w:color="auto"/>
            <w:right w:val="none" w:sz="0" w:space="0" w:color="auto"/>
          </w:divBdr>
        </w:div>
        <w:div w:id="1002590064">
          <w:marLeft w:val="0"/>
          <w:marRight w:val="0"/>
          <w:marTop w:val="0"/>
          <w:marBottom w:val="0"/>
          <w:divBdr>
            <w:top w:val="none" w:sz="0" w:space="0" w:color="auto"/>
            <w:left w:val="none" w:sz="0" w:space="0" w:color="auto"/>
            <w:bottom w:val="none" w:sz="0" w:space="0" w:color="auto"/>
            <w:right w:val="none" w:sz="0" w:space="0" w:color="auto"/>
          </w:divBdr>
        </w:div>
        <w:div w:id="572545962">
          <w:marLeft w:val="0"/>
          <w:marRight w:val="0"/>
          <w:marTop w:val="0"/>
          <w:marBottom w:val="0"/>
          <w:divBdr>
            <w:top w:val="none" w:sz="0" w:space="0" w:color="auto"/>
            <w:left w:val="none" w:sz="0" w:space="0" w:color="auto"/>
            <w:bottom w:val="none" w:sz="0" w:space="0" w:color="auto"/>
            <w:right w:val="none" w:sz="0" w:space="0" w:color="auto"/>
          </w:divBdr>
        </w:div>
      </w:divsChild>
    </w:div>
    <w:div w:id="880820779">
      <w:bodyDiv w:val="1"/>
      <w:marLeft w:val="0"/>
      <w:marRight w:val="0"/>
      <w:marTop w:val="0"/>
      <w:marBottom w:val="0"/>
      <w:divBdr>
        <w:top w:val="none" w:sz="0" w:space="0" w:color="auto"/>
        <w:left w:val="none" w:sz="0" w:space="0" w:color="auto"/>
        <w:bottom w:val="none" w:sz="0" w:space="0" w:color="auto"/>
        <w:right w:val="none" w:sz="0" w:space="0" w:color="auto"/>
      </w:divBdr>
      <w:divsChild>
        <w:div w:id="597257941">
          <w:marLeft w:val="0"/>
          <w:marRight w:val="0"/>
          <w:marTop w:val="0"/>
          <w:marBottom w:val="0"/>
          <w:divBdr>
            <w:top w:val="none" w:sz="0" w:space="0" w:color="auto"/>
            <w:left w:val="none" w:sz="0" w:space="0" w:color="auto"/>
            <w:bottom w:val="none" w:sz="0" w:space="0" w:color="auto"/>
            <w:right w:val="none" w:sz="0" w:space="0" w:color="auto"/>
          </w:divBdr>
        </w:div>
        <w:div w:id="21178011">
          <w:marLeft w:val="0"/>
          <w:marRight w:val="0"/>
          <w:marTop w:val="0"/>
          <w:marBottom w:val="0"/>
          <w:divBdr>
            <w:top w:val="none" w:sz="0" w:space="0" w:color="auto"/>
            <w:left w:val="none" w:sz="0" w:space="0" w:color="auto"/>
            <w:bottom w:val="none" w:sz="0" w:space="0" w:color="auto"/>
            <w:right w:val="none" w:sz="0" w:space="0" w:color="auto"/>
          </w:divBdr>
        </w:div>
        <w:div w:id="144246835">
          <w:marLeft w:val="0"/>
          <w:marRight w:val="0"/>
          <w:marTop w:val="0"/>
          <w:marBottom w:val="0"/>
          <w:divBdr>
            <w:top w:val="none" w:sz="0" w:space="0" w:color="auto"/>
            <w:left w:val="none" w:sz="0" w:space="0" w:color="auto"/>
            <w:bottom w:val="none" w:sz="0" w:space="0" w:color="auto"/>
            <w:right w:val="none" w:sz="0" w:space="0" w:color="auto"/>
          </w:divBdr>
        </w:div>
        <w:div w:id="352809479">
          <w:marLeft w:val="0"/>
          <w:marRight w:val="0"/>
          <w:marTop w:val="0"/>
          <w:marBottom w:val="0"/>
          <w:divBdr>
            <w:top w:val="none" w:sz="0" w:space="0" w:color="auto"/>
            <w:left w:val="none" w:sz="0" w:space="0" w:color="auto"/>
            <w:bottom w:val="none" w:sz="0" w:space="0" w:color="auto"/>
            <w:right w:val="none" w:sz="0" w:space="0" w:color="auto"/>
          </w:divBdr>
        </w:div>
        <w:div w:id="576985388">
          <w:marLeft w:val="0"/>
          <w:marRight w:val="0"/>
          <w:marTop w:val="0"/>
          <w:marBottom w:val="0"/>
          <w:divBdr>
            <w:top w:val="none" w:sz="0" w:space="0" w:color="auto"/>
            <w:left w:val="none" w:sz="0" w:space="0" w:color="auto"/>
            <w:bottom w:val="none" w:sz="0" w:space="0" w:color="auto"/>
            <w:right w:val="none" w:sz="0" w:space="0" w:color="auto"/>
          </w:divBdr>
        </w:div>
        <w:div w:id="713235078">
          <w:marLeft w:val="0"/>
          <w:marRight w:val="0"/>
          <w:marTop w:val="0"/>
          <w:marBottom w:val="0"/>
          <w:divBdr>
            <w:top w:val="none" w:sz="0" w:space="0" w:color="auto"/>
            <w:left w:val="none" w:sz="0" w:space="0" w:color="auto"/>
            <w:bottom w:val="none" w:sz="0" w:space="0" w:color="auto"/>
            <w:right w:val="none" w:sz="0" w:space="0" w:color="auto"/>
          </w:divBdr>
        </w:div>
        <w:div w:id="280186952">
          <w:marLeft w:val="0"/>
          <w:marRight w:val="0"/>
          <w:marTop w:val="0"/>
          <w:marBottom w:val="0"/>
          <w:divBdr>
            <w:top w:val="none" w:sz="0" w:space="0" w:color="auto"/>
            <w:left w:val="none" w:sz="0" w:space="0" w:color="auto"/>
            <w:bottom w:val="none" w:sz="0" w:space="0" w:color="auto"/>
            <w:right w:val="none" w:sz="0" w:space="0" w:color="auto"/>
          </w:divBdr>
        </w:div>
        <w:div w:id="1971785500">
          <w:marLeft w:val="0"/>
          <w:marRight w:val="0"/>
          <w:marTop w:val="0"/>
          <w:marBottom w:val="0"/>
          <w:divBdr>
            <w:top w:val="none" w:sz="0" w:space="0" w:color="auto"/>
            <w:left w:val="none" w:sz="0" w:space="0" w:color="auto"/>
            <w:bottom w:val="none" w:sz="0" w:space="0" w:color="auto"/>
            <w:right w:val="none" w:sz="0" w:space="0" w:color="auto"/>
          </w:divBdr>
        </w:div>
        <w:div w:id="553664056">
          <w:marLeft w:val="0"/>
          <w:marRight w:val="0"/>
          <w:marTop w:val="0"/>
          <w:marBottom w:val="0"/>
          <w:divBdr>
            <w:top w:val="none" w:sz="0" w:space="0" w:color="auto"/>
            <w:left w:val="none" w:sz="0" w:space="0" w:color="auto"/>
            <w:bottom w:val="none" w:sz="0" w:space="0" w:color="auto"/>
            <w:right w:val="none" w:sz="0" w:space="0" w:color="auto"/>
          </w:divBdr>
        </w:div>
        <w:div w:id="107359894">
          <w:marLeft w:val="0"/>
          <w:marRight w:val="0"/>
          <w:marTop w:val="0"/>
          <w:marBottom w:val="0"/>
          <w:divBdr>
            <w:top w:val="none" w:sz="0" w:space="0" w:color="auto"/>
            <w:left w:val="none" w:sz="0" w:space="0" w:color="auto"/>
            <w:bottom w:val="none" w:sz="0" w:space="0" w:color="auto"/>
            <w:right w:val="none" w:sz="0" w:space="0" w:color="auto"/>
          </w:divBdr>
        </w:div>
        <w:div w:id="1106929144">
          <w:marLeft w:val="0"/>
          <w:marRight w:val="0"/>
          <w:marTop w:val="0"/>
          <w:marBottom w:val="0"/>
          <w:divBdr>
            <w:top w:val="none" w:sz="0" w:space="0" w:color="auto"/>
            <w:left w:val="none" w:sz="0" w:space="0" w:color="auto"/>
            <w:bottom w:val="none" w:sz="0" w:space="0" w:color="auto"/>
            <w:right w:val="none" w:sz="0" w:space="0" w:color="auto"/>
          </w:divBdr>
        </w:div>
        <w:div w:id="1883320943">
          <w:marLeft w:val="0"/>
          <w:marRight w:val="0"/>
          <w:marTop w:val="0"/>
          <w:marBottom w:val="0"/>
          <w:divBdr>
            <w:top w:val="none" w:sz="0" w:space="0" w:color="auto"/>
            <w:left w:val="none" w:sz="0" w:space="0" w:color="auto"/>
            <w:bottom w:val="none" w:sz="0" w:space="0" w:color="auto"/>
            <w:right w:val="none" w:sz="0" w:space="0" w:color="auto"/>
          </w:divBdr>
        </w:div>
        <w:div w:id="1756515715">
          <w:marLeft w:val="0"/>
          <w:marRight w:val="0"/>
          <w:marTop w:val="0"/>
          <w:marBottom w:val="0"/>
          <w:divBdr>
            <w:top w:val="none" w:sz="0" w:space="0" w:color="auto"/>
            <w:left w:val="none" w:sz="0" w:space="0" w:color="auto"/>
            <w:bottom w:val="none" w:sz="0" w:space="0" w:color="auto"/>
            <w:right w:val="none" w:sz="0" w:space="0" w:color="auto"/>
          </w:divBdr>
        </w:div>
        <w:div w:id="1187020206">
          <w:marLeft w:val="0"/>
          <w:marRight w:val="0"/>
          <w:marTop w:val="0"/>
          <w:marBottom w:val="0"/>
          <w:divBdr>
            <w:top w:val="none" w:sz="0" w:space="0" w:color="auto"/>
            <w:left w:val="none" w:sz="0" w:space="0" w:color="auto"/>
            <w:bottom w:val="none" w:sz="0" w:space="0" w:color="auto"/>
            <w:right w:val="none" w:sz="0" w:space="0" w:color="auto"/>
          </w:divBdr>
        </w:div>
        <w:div w:id="643969310">
          <w:marLeft w:val="0"/>
          <w:marRight w:val="0"/>
          <w:marTop w:val="0"/>
          <w:marBottom w:val="0"/>
          <w:divBdr>
            <w:top w:val="none" w:sz="0" w:space="0" w:color="auto"/>
            <w:left w:val="none" w:sz="0" w:space="0" w:color="auto"/>
            <w:bottom w:val="none" w:sz="0" w:space="0" w:color="auto"/>
            <w:right w:val="none" w:sz="0" w:space="0" w:color="auto"/>
          </w:divBdr>
        </w:div>
        <w:div w:id="1524171208">
          <w:marLeft w:val="0"/>
          <w:marRight w:val="0"/>
          <w:marTop w:val="0"/>
          <w:marBottom w:val="0"/>
          <w:divBdr>
            <w:top w:val="none" w:sz="0" w:space="0" w:color="auto"/>
            <w:left w:val="none" w:sz="0" w:space="0" w:color="auto"/>
            <w:bottom w:val="none" w:sz="0" w:space="0" w:color="auto"/>
            <w:right w:val="none" w:sz="0" w:space="0" w:color="auto"/>
          </w:divBdr>
        </w:div>
        <w:div w:id="1386568412">
          <w:marLeft w:val="0"/>
          <w:marRight w:val="0"/>
          <w:marTop w:val="0"/>
          <w:marBottom w:val="0"/>
          <w:divBdr>
            <w:top w:val="none" w:sz="0" w:space="0" w:color="auto"/>
            <w:left w:val="none" w:sz="0" w:space="0" w:color="auto"/>
            <w:bottom w:val="none" w:sz="0" w:space="0" w:color="auto"/>
            <w:right w:val="none" w:sz="0" w:space="0" w:color="auto"/>
          </w:divBdr>
        </w:div>
        <w:div w:id="1513841528">
          <w:marLeft w:val="0"/>
          <w:marRight w:val="0"/>
          <w:marTop w:val="0"/>
          <w:marBottom w:val="0"/>
          <w:divBdr>
            <w:top w:val="none" w:sz="0" w:space="0" w:color="auto"/>
            <w:left w:val="none" w:sz="0" w:space="0" w:color="auto"/>
            <w:bottom w:val="none" w:sz="0" w:space="0" w:color="auto"/>
            <w:right w:val="none" w:sz="0" w:space="0" w:color="auto"/>
          </w:divBdr>
        </w:div>
        <w:div w:id="655304670">
          <w:marLeft w:val="0"/>
          <w:marRight w:val="0"/>
          <w:marTop w:val="0"/>
          <w:marBottom w:val="0"/>
          <w:divBdr>
            <w:top w:val="none" w:sz="0" w:space="0" w:color="auto"/>
            <w:left w:val="none" w:sz="0" w:space="0" w:color="auto"/>
            <w:bottom w:val="none" w:sz="0" w:space="0" w:color="auto"/>
            <w:right w:val="none" w:sz="0" w:space="0" w:color="auto"/>
          </w:divBdr>
        </w:div>
        <w:div w:id="334654694">
          <w:marLeft w:val="0"/>
          <w:marRight w:val="0"/>
          <w:marTop w:val="0"/>
          <w:marBottom w:val="0"/>
          <w:divBdr>
            <w:top w:val="none" w:sz="0" w:space="0" w:color="auto"/>
            <w:left w:val="none" w:sz="0" w:space="0" w:color="auto"/>
            <w:bottom w:val="none" w:sz="0" w:space="0" w:color="auto"/>
            <w:right w:val="none" w:sz="0" w:space="0" w:color="auto"/>
          </w:divBdr>
        </w:div>
        <w:div w:id="1756512844">
          <w:marLeft w:val="0"/>
          <w:marRight w:val="0"/>
          <w:marTop w:val="0"/>
          <w:marBottom w:val="0"/>
          <w:divBdr>
            <w:top w:val="none" w:sz="0" w:space="0" w:color="auto"/>
            <w:left w:val="none" w:sz="0" w:space="0" w:color="auto"/>
            <w:bottom w:val="none" w:sz="0" w:space="0" w:color="auto"/>
            <w:right w:val="none" w:sz="0" w:space="0" w:color="auto"/>
          </w:divBdr>
        </w:div>
        <w:div w:id="143741002">
          <w:marLeft w:val="0"/>
          <w:marRight w:val="0"/>
          <w:marTop w:val="0"/>
          <w:marBottom w:val="0"/>
          <w:divBdr>
            <w:top w:val="none" w:sz="0" w:space="0" w:color="auto"/>
            <w:left w:val="none" w:sz="0" w:space="0" w:color="auto"/>
            <w:bottom w:val="none" w:sz="0" w:space="0" w:color="auto"/>
            <w:right w:val="none" w:sz="0" w:space="0" w:color="auto"/>
          </w:divBdr>
        </w:div>
      </w:divsChild>
    </w:div>
    <w:div w:id="895747680">
      <w:bodyDiv w:val="1"/>
      <w:marLeft w:val="0"/>
      <w:marRight w:val="0"/>
      <w:marTop w:val="0"/>
      <w:marBottom w:val="0"/>
      <w:divBdr>
        <w:top w:val="none" w:sz="0" w:space="0" w:color="auto"/>
        <w:left w:val="none" w:sz="0" w:space="0" w:color="auto"/>
        <w:bottom w:val="none" w:sz="0" w:space="0" w:color="auto"/>
        <w:right w:val="none" w:sz="0" w:space="0" w:color="auto"/>
      </w:divBdr>
      <w:divsChild>
        <w:div w:id="74017792">
          <w:marLeft w:val="0"/>
          <w:marRight w:val="0"/>
          <w:marTop w:val="0"/>
          <w:marBottom w:val="0"/>
          <w:divBdr>
            <w:top w:val="none" w:sz="0" w:space="0" w:color="auto"/>
            <w:left w:val="none" w:sz="0" w:space="0" w:color="auto"/>
            <w:bottom w:val="none" w:sz="0" w:space="0" w:color="auto"/>
            <w:right w:val="none" w:sz="0" w:space="0" w:color="auto"/>
          </w:divBdr>
        </w:div>
        <w:div w:id="1434398788">
          <w:marLeft w:val="0"/>
          <w:marRight w:val="0"/>
          <w:marTop w:val="0"/>
          <w:marBottom w:val="0"/>
          <w:divBdr>
            <w:top w:val="none" w:sz="0" w:space="0" w:color="auto"/>
            <w:left w:val="none" w:sz="0" w:space="0" w:color="auto"/>
            <w:bottom w:val="none" w:sz="0" w:space="0" w:color="auto"/>
            <w:right w:val="none" w:sz="0" w:space="0" w:color="auto"/>
          </w:divBdr>
        </w:div>
        <w:div w:id="1051466582">
          <w:marLeft w:val="0"/>
          <w:marRight w:val="0"/>
          <w:marTop w:val="0"/>
          <w:marBottom w:val="0"/>
          <w:divBdr>
            <w:top w:val="none" w:sz="0" w:space="0" w:color="auto"/>
            <w:left w:val="none" w:sz="0" w:space="0" w:color="auto"/>
            <w:bottom w:val="none" w:sz="0" w:space="0" w:color="auto"/>
            <w:right w:val="none" w:sz="0" w:space="0" w:color="auto"/>
          </w:divBdr>
        </w:div>
        <w:div w:id="1032145727">
          <w:marLeft w:val="0"/>
          <w:marRight w:val="0"/>
          <w:marTop w:val="0"/>
          <w:marBottom w:val="0"/>
          <w:divBdr>
            <w:top w:val="none" w:sz="0" w:space="0" w:color="auto"/>
            <w:left w:val="none" w:sz="0" w:space="0" w:color="auto"/>
            <w:bottom w:val="none" w:sz="0" w:space="0" w:color="auto"/>
            <w:right w:val="none" w:sz="0" w:space="0" w:color="auto"/>
          </w:divBdr>
        </w:div>
        <w:div w:id="1538815536">
          <w:marLeft w:val="0"/>
          <w:marRight w:val="0"/>
          <w:marTop w:val="0"/>
          <w:marBottom w:val="0"/>
          <w:divBdr>
            <w:top w:val="none" w:sz="0" w:space="0" w:color="auto"/>
            <w:left w:val="none" w:sz="0" w:space="0" w:color="auto"/>
            <w:bottom w:val="none" w:sz="0" w:space="0" w:color="auto"/>
            <w:right w:val="none" w:sz="0" w:space="0" w:color="auto"/>
          </w:divBdr>
        </w:div>
      </w:divsChild>
    </w:div>
    <w:div w:id="902564762">
      <w:bodyDiv w:val="1"/>
      <w:marLeft w:val="0"/>
      <w:marRight w:val="0"/>
      <w:marTop w:val="0"/>
      <w:marBottom w:val="0"/>
      <w:divBdr>
        <w:top w:val="none" w:sz="0" w:space="0" w:color="auto"/>
        <w:left w:val="none" w:sz="0" w:space="0" w:color="auto"/>
        <w:bottom w:val="none" w:sz="0" w:space="0" w:color="auto"/>
        <w:right w:val="none" w:sz="0" w:space="0" w:color="auto"/>
      </w:divBdr>
      <w:divsChild>
        <w:div w:id="1151797677">
          <w:marLeft w:val="0"/>
          <w:marRight w:val="0"/>
          <w:marTop w:val="0"/>
          <w:marBottom w:val="0"/>
          <w:divBdr>
            <w:top w:val="none" w:sz="0" w:space="0" w:color="auto"/>
            <w:left w:val="none" w:sz="0" w:space="0" w:color="auto"/>
            <w:bottom w:val="none" w:sz="0" w:space="0" w:color="auto"/>
            <w:right w:val="none" w:sz="0" w:space="0" w:color="auto"/>
          </w:divBdr>
        </w:div>
        <w:div w:id="869563209">
          <w:marLeft w:val="0"/>
          <w:marRight w:val="0"/>
          <w:marTop w:val="0"/>
          <w:marBottom w:val="0"/>
          <w:divBdr>
            <w:top w:val="none" w:sz="0" w:space="0" w:color="auto"/>
            <w:left w:val="none" w:sz="0" w:space="0" w:color="auto"/>
            <w:bottom w:val="none" w:sz="0" w:space="0" w:color="auto"/>
            <w:right w:val="none" w:sz="0" w:space="0" w:color="auto"/>
          </w:divBdr>
        </w:div>
        <w:div w:id="993024884">
          <w:marLeft w:val="0"/>
          <w:marRight w:val="0"/>
          <w:marTop w:val="0"/>
          <w:marBottom w:val="0"/>
          <w:divBdr>
            <w:top w:val="none" w:sz="0" w:space="0" w:color="auto"/>
            <w:left w:val="none" w:sz="0" w:space="0" w:color="auto"/>
            <w:bottom w:val="none" w:sz="0" w:space="0" w:color="auto"/>
            <w:right w:val="none" w:sz="0" w:space="0" w:color="auto"/>
          </w:divBdr>
        </w:div>
        <w:div w:id="264457210">
          <w:marLeft w:val="0"/>
          <w:marRight w:val="0"/>
          <w:marTop w:val="0"/>
          <w:marBottom w:val="0"/>
          <w:divBdr>
            <w:top w:val="none" w:sz="0" w:space="0" w:color="auto"/>
            <w:left w:val="none" w:sz="0" w:space="0" w:color="auto"/>
            <w:bottom w:val="none" w:sz="0" w:space="0" w:color="auto"/>
            <w:right w:val="none" w:sz="0" w:space="0" w:color="auto"/>
          </w:divBdr>
        </w:div>
        <w:div w:id="1324159020">
          <w:marLeft w:val="0"/>
          <w:marRight w:val="0"/>
          <w:marTop w:val="0"/>
          <w:marBottom w:val="0"/>
          <w:divBdr>
            <w:top w:val="none" w:sz="0" w:space="0" w:color="auto"/>
            <w:left w:val="none" w:sz="0" w:space="0" w:color="auto"/>
            <w:bottom w:val="none" w:sz="0" w:space="0" w:color="auto"/>
            <w:right w:val="none" w:sz="0" w:space="0" w:color="auto"/>
          </w:divBdr>
        </w:div>
        <w:div w:id="2081054698">
          <w:marLeft w:val="0"/>
          <w:marRight w:val="0"/>
          <w:marTop w:val="0"/>
          <w:marBottom w:val="0"/>
          <w:divBdr>
            <w:top w:val="none" w:sz="0" w:space="0" w:color="auto"/>
            <w:left w:val="none" w:sz="0" w:space="0" w:color="auto"/>
            <w:bottom w:val="none" w:sz="0" w:space="0" w:color="auto"/>
            <w:right w:val="none" w:sz="0" w:space="0" w:color="auto"/>
          </w:divBdr>
        </w:div>
        <w:div w:id="738405967">
          <w:marLeft w:val="0"/>
          <w:marRight w:val="0"/>
          <w:marTop w:val="0"/>
          <w:marBottom w:val="0"/>
          <w:divBdr>
            <w:top w:val="none" w:sz="0" w:space="0" w:color="auto"/>
            <w:left w:val="none" w:sz="0" w:space="0" w:color="auto"/>
            <w:bottom w:val="none" w:sz="0" w:space="0" w:color="auto"/>
            <w:right w:val="none" w:sz="0" w:space="0" w:color="auto"/>
          </w:divBdr>
        </w:div>
        <w:div w:id="352877562">
          <w:marLeft w:val="0"/>
          <w:marRight w:val="0"/>
          <w:marTop w:val="0"/>
          <w:marBottom w:val="0"/>
          <w:divBdr>
            <w:top w:val="none" w:sz="0" w:space="0" w:color="auto"/>
            <w:left w:val="none" w:sz="0" w:space="0" w:color="auto"/>
            <w:bottom w:val="none" w:sz="0" w:space="0" w:color="auto"/>
            <w:right w:val="none" w:sz="0" w:space="0" w:color="auto"/>
          </w:divBdr>
        </w:div>
        <w:div w:id="1086154573">
          <w:marLeft w:val="0"/>
          <w:marRight w:val="0"/>
          <w:marTop w:val="0"/>
          <w:marBottom w:val="0"/>
          <w:divBdr>
            <w:top w:val="none" w:sz="0" w:space="0" w:color="auto"/>
            <w:left w:val="none" w:sz="0" w:space="0" w:color="auto"/>
            <w:bottom w:val="none" w:sz="0" w:space="0" w:color="auto"/>
            <w:right w:val="none" w:sz="0" w:space="0" w:color="auto"/>
          </w:divBdr>
        </w:div>
        <w:div w:id="562255240">
          <w:marLeft w:val="0"/>
          <w:marRight w:val="0"/>
          <w:marTop w:val="0"/>
          <w:marBottom w:val="0"/>
          <w:divBdr>
            <w:top w:val="none" w:sz="0" w:space="0" w:color="auto"/>
            <w:left w:val="none" w:sz="0" w:space="0" w:color="auto"/>
            <w:bottom w:val="none" w:sz="0" w:space="0" w:color="auto"/>
            <w:right w:val="none" w:sz="0" w:space="0" w:color="auto"/>
          </w:divBdr>
        </w:div>
        <w:div w:id="1537039070">
          <w:marLeft w:val="0"/>
          <w:marRight w:val="0"/>
          <w:marTop w:val="0"/>
          <w:marBottom w:val="0"/>
          <w:divBdr>
            <w:top w:val="none" w:sz="0" w:space="0" w:color="auto"/>
            <w:left w:val="none" w:sz="0" w:space="0" w:color="auto"/>
            <w:bottom w:val="none" w:sz="0" w:space="0" w:color="auto"/>
            <w:right w:val="none" w:sz="0" w:space="0" w:color="auto"/>
          </w:divBdr>
        </w:div>
        <w:div w:id="314846530">
          <w:marLeft w:val="0"/>
          <w:marRight w:val="0"/>
          <w:marTop w:val="0"/>
          <w:marBottom w:val="0"/>
          <w:divBdr>
            <w:top w:val="none" w:sz="0" w:space="0" w:color="auto"/>
            <w:left w:val="none" w:sz="0" w:space="0" w:color="auto"/>
            <w:bottom w:val="none" w:sz="0" w:space="0" w:color="auto"/>
            <w:right w:val="none" w:sz="0" w:space="0" w:color="auto"/>
          </w:divBdr>
        </w:div>
        <w:div w:id="1442264766">
          <w:marLeft w:val="0"/>
          <w:marRight w:val="0"/>
          <w:marTop w:val="0"/>
          <w:marBottom w:val="0"/>
          <w:divBdr>
            <w:top w:val="none" w:sz="0" w:space="0" w:color="auto"/>
            <w:left w:val="none" w:sz="0" w:space="0" w:color="auto"/>
            <w:bottom w:val="none" w:sz="0" w:space="0" w:color="auto"/>
            <w:right w:val="none" w:sz="0" w:space="0" w:color="auto"/>
          </w:divBdr>
        </w:div>
        <w:div w:id="576671957">
          <w:marLeft w:val="0"/>
          <w:marRight w:val="0"/>
          <w:marTop w:val="0"/>
          <w:marBottom w:val="0"/>
          <w:divBdr>
            <w:top w:val="none" w:sz="0" w:space="0" w:color="auto"/>
            <w:left w:val="none" w:sz="0" w:space="0" w:color="auto"/>
            <w:bottom w:val="none" w:sz="0" w:space="0" w:color="auto"/>
            <w:right w:val="none" w:sz="0" w:space="0" w:color="auto"/>
          </w:divBdr>
        </w:div>
        <w:div w:id="750932094">
          <w:marLeft w:val="0"/>
          <w:marRight w:val="0"/>
          <w:marTop w:val="0"/>
          <w:marBottom w:val="0"/>
          <w:divBdr>
            <w:top w:val="none" w:sz="0" w:space="0" w:color="auto"/>
            <w:left w:val="none" w:sz="0" w:space="0" w:color="auto"/>
            <w:bottom w:val="none" w:sz="0" w:space="0" w:color="auto"/>
            <w:right w:val="none" w:sz="0" w:space="0" w:color="auto"/>
          </w:divBdr>
        </w:div>
        <w:div w:id="19279133">
          <w:marLeft w:val="0"/>
          <w:marRight w:val="0"/>
          <w:marTop w:val="0"/>
          <w:marBottom w:val="0"/>
          <w:divBdr>
            <w:top w:val="none" w:sz="0" w:space="0" w:color="auto"/>
            <w:left w:val="none" w:sz="0" w:space="0" w:color="auto"/>
            <w:bottom w:val="none" w:sz="0" w:space="0" w:color="auto"/>
            <w:right w:val="none" w:sz="0" w:space="0" w:color="auto"/>
          </w:divBdr>
        </w:div>
        <w:div w:id="1182741496">
          <w:marLeft w:val="0"/>
          <w:marRight w:val="0"/>
          <w:marTop w:val="0"/>
          <w:marBottom w:val="0"/>
          <w:divBdr>
            <w:top w:val="none" w:sz="0" w:space="0" w:color="auto"/>
            <w:left w:val="none" w:sz="0" w:space="0" w:color="auto"/>
            <w:bottom w:val="none" w:sz="0" w:space="0" w:color="auto"/>
            <w:right w:val="none" w:sz="0" w:space="0" w:color="auto"/>
          </w:divBdr>
        </w:div>
        <w:div w:id="1306199472">
          <w:marLeft w:val="0"/>
          <w:marRight w:val="0"/>
          <w:marTop w:val="0"/>
          <w:marBottom w:val="0"/>
          <w:divBdr>
            <w:top w:val="none" w:sz="0" w:space="0" w:color="auto"/>
            <w:left w:val="none" w:sz="0" w:space="0" w:color="auto"/>
            <w:bottom w:val="none" w:sz="0" w:space="0" w:color="auto"/>
            <w:right w:val="none" w:sz="0" w:space="0" w:color="auto"/>
          </w:divBdr>
        </w:div>
        <w:div w:id="990867429">
          <w:marLeft w:val="0"/>
          <w:marRight w:val="0"/>
          <w:marTop w:val="0"/>
          <w:marBottom w:val="0"/>
          <w:divBdr>
            <w:top w:val="none" w:sz="0" w:space="0" w:color="auto"/>
            <w:left w:val="none" w:sz="0" w:space="0" w:color="auto"/>
            <w:bottom w:val="none" w:sz="0" w:space="0" w:color="auto"/>
            <w:right w:val="none" w:sz="0" w:space="0" w:color="auto"/>
          </w:divBdr>
        </w:div>
        <w:div w:id="1366101271">
          <w:marLeft w:val="0"/>
          <w:marRight w:val="0"/>
          <w:marTop w:val="0"/>
          <w:marBottom w:val="0"/>
          <w:divBdr>
            <w:top w:val="none" w:sz="0" w:space="0" w:color="auto"/>
            <w:left w:val="none" w:sz="0" w:space="0" w:color="auto"/>
            <w:bottom w:val="none" w:sz="0" w:space="0" w:color="auto"/>
            <w:right w:val="none" w:sz="0" w:space="0" w:color="auto"/>
          </w:divBdr>
        </w:div>
        <w:div w:id="1081634873">
          <w:marLeft w:val="0"/>
          <w:marRight w:val="0"/>
          <w:marTop w:val="0"/>
          <w:marBottom w:val="0"/>
          <w:divBdr>
            <w:top w:val="none" w:sz="0" w:space="0" w:color="auto"/>
            <w:left w:val="none" w:sz="0" w:space="0" w:color="auto"/>
            <w:bottom w:val="none" w:sz="0" w:space="0" w:color="auto"/>
            <w:right w:val="none" w:sz="0" w:space="0" w:color="auto"/>
          </w:divBdr>
        </w:div>
        <w:div w:id="1824813104">
          <w:marLeft w:val="0"/>
          <w:marRight w:val="0"/>
          <w:marTop w:val="0"/>
          <w:marBottom w:val="0"/>
          <w:divBdr>
            <w:top w:val="none" w:sz="0" w:space="0" w:color="auto"/>
            <w:left w:val="none" w:sz="0" w:space="0" w:color="auto"/>
            <w:bottom w:val="none" w:sz="0" w:space="0" w:color="auto"/>
            <w:right w:val="none" w:sz="0" w:space="0" w:color="auto"/>
          </w:divBdr>
        </w:div>
        <w:div w:id="114177974">
          <w:marLeft w:val="0"/>
          <w:marRight w:val="0"/>
          <w:marTop w:val="0"/>
          <w:marBottom w:val="0"/>
          <w:divBdr>
            <w:top w:val="none" w:sz="0" w:space="0" w:color="auto"/>
            <w:left w:val="none" w:sz="0" w:space="0" w:color="auto"/>
            <w:bottom w:val="none" w:sz="0" w:space="0" w:color="auto"/>
            <w:right w:val="none" w:sz="0" w:space="0" w:color="auto"/>
          </w:divBdr>
        </w:div>
        <w:div w:id="1255164576">
          <w:marLeft w:val="0"/>
          <w:marRight w:val="0"/>
          <w:marTop w:val="0"/>
          <w:marBottom w:val="0"/>
          <w:divBdr>
            <w:top w:val="none" w:sz="0" w:space="0" w:color="auto"/>
            <w:left w:val="none" w:sz="0" w:space="0" w:color="auto"/>
            <w:bottom w:val="none" w:sz="0" w:space="0" w:color="auto"/>
            <w:right w:val="none" w:sz="0" w:space="0" w:color="auto"/>
          </w:divBdr>
        </w:div>
        <w:div w:id="1873834689">
          <w:marLeft w:val="0"/>
          <w:marRight w:val="0"/>
          <w:marTop w:val="0"/>
          <w:marBottom w:val="0"/>
          <w:divBdr>
            <w:top w:val="none" w:sz="0" w:space="0" w:color="auto"/>
            <w:left w:val="none" w:sz="0" w:space="0" w:color="auto"/>
            <w:bottom w:val="none" w:sz="0" w:space="0" w:color="auto"/>
            <w:right w:val="none" w:sz="0" w:space="0" w:color="auto"/>
          </w:divBdr>
        </w:div>
        <w:div w:id="115834041">
          <w:marLeft w:val="0"/>
          <w:marRight w:val="0"/>
          <w:marTop w:val="0"/>
          <w:marBottom w:val="0"/>
          <w:divBdr>
            <w:top w:val="none" w:sz="0" w:space="0" w:color="auto"/>
            <w:left w:val="none" w:sz="0" w:space="0" w:color="auto"/>
            <w:bottom w:val="none" w:sz="0" w:space="0" w:color="auto"/>
            <w:right w:val="none" w:sz="0" w:space="0" w:color="auto"/>
          </w:divBdr>
        </w:div>
        <w:div w:id="91978781">
          <w:marLeft w:val="0"/>
          <w:marRight w:val="0"/>
          <w:marTop w:val="0"/>
          <w:marBottom w:val="0"/>
          <w:divBdr>
            <w:top w:val="none" w:sz="0" w:space="0" w:color="auto"/>
            <w:left w:val="none" w:sz="0" w:space="0" w:color="auto"/>
            <w:bottom w:val="none" w:sz="0" w:space="0" w:color="auto"/>
            <w:right w:val="none" w:sz="0" w:space="0" w:color="auto"/>
          </w:divBdr>
        </w:div>
        <w:div w:id="461113302">
          <w:marLeft w:val="0"/>
          <w:marRight w:val="0"/>
          <w:marTop w:val="0"/>
          <w:marBottom w:val="0"/>
          <w:divBdr>
            <w:top w:val="none" w:sz="0" w:space="0" w:color="auto"/>
            <w:left w:val="none" w:sz="0" w:space="0" w:color="auto"/>
            <w:bottom w:val="none" w:sz="0" w:space="0" w:color="auto"/>
            <w:right w:val="none" w:sz="0" w:space="0" w:color="auto"/>
          </w:divBdr>
        </w:div>
        <w:div w:id="477038532">
          <w:marLeft w:val="0"/>
          <w:marRight w:val="0"/>
          <w:marTop w:val="0"/>
          <w:marBottom w:val="0"/>
          <w:divBdr>
            <w:top w:val="none" w:sz="0" w:space="0" w:color="auto"/>
            <w:left w:val="none" w:sz="0" w:space="0" w:color="auto"/>
            <w:bottom w:val="none" w:sz="0" w:space="0" w:color="auto"/>
            <w:right w:val="none" w:sz="0" w:space="0" w:color="auto"/>
          </w:divBdr>
        </w:div>
        <w:div w:id="2069378574">
          <w:marLeft w:val="0"/>
          <w:marRight w:val="0"/>
          <w:marTop w:val="0"/>
          <w:marBottom w:val="0"/>
          <w:divBdr>
            <w:top w:val="none" w:sz="0" w:space="0" w:color="auto"/>
            <w:left w:val="none" w:sz="0" w:space="0" w:color="auto"/>
            <w:bottom w:val="none" w:sz="0" w:space="0" w:color="auto"/>
            <w:right w:val="none" w:sz="0" w:space="0" w:color="auto"/>
          </w:divBdr>
        </w:div>
        <w:div w:id="1466119291">
          <w:marLeft w:val="0"/>
          <w:marRight w:val="0"/>
          <w:marTop w:val="0"/>
          <w:marBottom w:val="0"/>
          <w:divBdr>
            <w:top w:val="none" w:sz="0" w:space="0" w:color="auto"/>
            <w:left w:val="none" w:sz="0" w:space="0" w:color="auto"/>
            <w:bottom w:val="none" w:sz="0" w:space="0" w:color="auto"/>
            <w:right w:val="none" w:sz="0" w:space="0" w:color="auto"/>
          </w:divBdr>
        </w:div>
        <w:div w:id="1876117626">
          <w:marLeft w:val="0"/>
          <w:marRight w:val="0"/>
          <w:marTop w:val="0"/>
          <w:marBottom w:val="0"/>
          <w:divBdr>
            <w:top w:val="none" w:sz="0" w:space="0" w:color="auto"/>
            <w:left w:val="none" w:sz="0" w:space="0" w:color="auto"/>
            <w:bottom w:val="none" w:sz="0" w:space="0" w:color="auto"/>
            <w:right w:val="none" w:sz="0" w:space="0" w:color="auto"/>
          </w:divBdr>
        </w:div>
        <w:div w:id="362051373">
          <w:marLeft w:val="0"/>
          <w:marRight w:val="0"/>
          <w:marTop w:val="0"/>
          <w:marBottom w:val="0"/>
          <w:divBdr>
            <w:top w:val="none" w:sz="0" w:space="0" w:color="auto"/>
            <w:left w:val="none" w:sz="0" w:space="0" w:color="auto"/>
            <w:bottom w:val="none" w:sz="0" w:space="0" w:color="auto"/>
            <w:right w:val="none" w:sz="0" w:space="0" w:color="auto"/>
          </w:divBdr>
        </w:div>
        <w:div w:id="654994395">
          <w:marLeft w:val="0"/>
          <w:marRight w:val="0"/>
          <w:marTop w:val="0"/>
          <w:marBottom w:val="0"/>
          <w:divBdr>
            <w:top w:val="none" w:sz="0" w:space="0" w:color="auto"/>
            <w:left w:val="none" w:sz="0" w:space="0" w:color="auto"/>
            <w:bottom w:val="none" w:sz="0" w:space="0" w:color="auto"/>
            <w:right w:val="none" w:sz="0" w:space="0" w:color="auto"/>
          </w:divBdr>
        </w:div>
        <w:div w:id="1716394998">
          <w:marLeft w:val="0"/>
          <w:marRight w:val="0"/>
          <w:marTop w:val="0"/>
          <w:marBottom w:val="0"/>
          <w:divBdr>
            <w:top w:val="none" w:sz="0" w:space="0" w:color="auto"/>
            <w:left w:val="none" w:sz="0" w:space="0" w:color="auto"/>
            <w:bottom w:val="none" w:sz="0" w:space="0" w:color="auto"/>
            <w:right w:val="none" w:sz="0" w:space="0" w:color="auto"/>
          </w:divBdr>
        </w:div>
      </w:divsChild>
    </w:div>
    <w:div w:id="952128352">
      <w:bodyDiv w:val="1"/>
      <w:marLeft w:val="0"/>
      <w:marRight w:val="0"/>
      <w:marTop w:val="0"/>
      <w:marBottom w:val="0"/>
      <w:divBdr>
        <w:top w:val="none" w:sz="0" w:space="0" w:color="auto"/>
        <w:left w:val="none" w:sz="0" w:space="0" w:color="auto"/>
        <w:bottom w:val="none" w:sz="0" w:space="0" w:color="auto"/>
        <w:right w:val="none" w:sz="0" w:space="0" w:color="auto"/>
      </w:divBdr>
      <w:divsChild>
        <w:div w:id="410659412">
          <w:marLeft w:val="0"/>
          <w:marRight w:val="0"/>
          <w:marTop w:val="0"/>
          <w:marBottom w:val="0"/>
          <w:divBdr>
            <w:top w:val="none" w:sz="0" w:space="0" w:color="auto"/>
            <w:left w:val="none" w:sz="0" w:space="0" w:color="auto"/>
            <w:bottom w:val="none" w:sz="0" w:space="0" w:color="auto"/>
            <w:right w:val="none" w:sz="0" w:space="0" w:color="auto"/>
          </w:divBdr>
        </w:div>
        <w:div w:id="1685084075">
          <w:marLeft w:val="0"/>
          <w:marRight w:val="0"/>
          <w:marTop w:val="0"/>
          <w:marBottom w:val="0"/>
          <w:divBdr>
            <w:top w:val="none" w:sz="0" w:space="0" w:color="auto"/>
            <w:left w:val="none" w:sz="0" w:space="0" w:color="auto"/>
            <w:bottom w:val="none" w:sz="0" w:space="0" w:color="auto"/>
            <w:right w:val="none" w:sz="0" w:space="0" w:color="auto"/>
          </w:divBdr>
        </w:div>
        <w:div w:id="1739210670">
          <w:marLeft w:val="0"/>
          <w:marRight w:val="0"/>
          <w:marTop w:val="0"/>
          <w:marBottom w:val="0"/>
          <w:divBdr>
            <w:top w:val="none" w:sz="0" w:space="0" w:color="auto"/>
            <w:left w:val="none" w:sz="0" w:space="0" w:color="auto"/>
            <w:bottom w:val="none" w:sz="0" w:space="0" w:color="auto"/>
            <w:right w:val="none" w:sz="0" w:space="0" w:color="auto"/>
          </w:divBdr>
        </w:div>
        <w:div w:id="278148690">
          <w:marLeft w:val="0"/>
          <w:marRight w:val="0"/>
          <w:marTop w:val="0"/>
          <w:marBottom w:val="0"/>
          <w:divBdr>
            <w:top w:val="none" w:sz="0" w:space="0" w:color="auto"/>
            <w:left w:val="none" w:sz="0" w:space="0" w:color="auto"/>
            <w:bottom w:val="none" w:sz="0" w:space="0" w:color="auto"/>
            <w:right w:val="none" w:sz="0" w:space="0" w:color="auto"/>
          </w:divBdr>
        </w:div>
        <w:div w:id="262996801">
          <w:marLeft w:val="0"/>
          <w:marRight w:val="0"/>
          <w:marTop w:val="0"/>
          <w:marBottom w:val="0"/>
          <w:divBdr>
            <w:top w:val="none" w:sz="0" w:space="0" w:color="auto"/>
            <w:left w:val="none" w:sz="0" w:space="0" w:color="auto"/>
            <w:bottom w:val="none" w:sz="0" w:space="0" w:color="auto"/>
            <w:right w:val="none" w:sz="0" w:space="0" w:color="auto"/>
          </w:divBdr>
        </w:div>
        <w:div w:id="1465583175">
          <w:marLeft w:val="0"/>
          <w:marRight w:val="0"/>
          <w:marTop w:val="0"/>
          <w:marBottom w:val="0"/>
          <w:divBdr>
            <w:top w:val="none" w:sz="0" w:space="0" w:color="auto"/>
            <w:left w:val="none" w:sz="0" w:space="0" w:color="auto"/>
            <w:bottom w:val="none" w:sz="0" w:space="0" w:color="auto"/>
            <w:right w:val="none" w:sz="0" w:space="0" w:color="auto"/>
          </w:divBdr>
        </w:div>
        <w:div w:id="1793593486">
          <w:marLeft w:val="0"/>
          <w:marRight w:val="0"/>
          <w:marTop w:val="0"/>
          <w:marBottom w:val="0"/>
          <w:divBdr>
            <w:top w:val="none" w:sz="0" w:space="0" w:color="auto"/>
            <w:left w:val="none" w:sz="0" w:space="0" w:color="auto"/>
            <w:bottom w:val="none" w:sz="0" w:space="0" w:color="auto"/>
            <w:right w:val="none" w:sz="0" w:space="0" w:color="auto"/>
          </w:divBdr>
        </w:div>
        <w:div w:id="500050170">
          <w:marLeft w:val="0"/>
          <w:marRight w:val="0"/>
          <w:marTop w:val="0"/>
          <w:marBottom w:val="0"/>
          <w:divBdr>
            <w:top w:val="none" w:sz="0" w:space="0" w:color="auto"/>
            <w:left w:val="none" w:sz="0" w:space="0" w:color="auto"/>
            <w:bottom w:val="none" w:sz="0" w:space="0" w:color="auto"/>
            <w:right w:val="none" w:sz="0" w:space="0" w:color="auto"/>
          </w:divBdr>
        </w:div>
        <w:div w:id="519121725">
          <w:marLeft w:val="0"/>
          <w:marRight w:val="0"/>
          <w:marTop w:val="0"/>
          <w:marBottom w:val="0"/>
          <w:divBdr>
            <w:top w:val="none" w:sz="0" w:space="0" w:color="auto"/>
            <w:left w:val="none" w:sz="0" w:space="0" w:color="auto"/>
            <w:bottom w:val="none" w:sz="0" w:space="0" w:color="auto"/>
            <w:right w:val="none" w:sz="0" w:space="0" w:color="auto"/>
          </w:divBdr>
        </w:div>
        <w:div w:id="1549949967">
          <w:marLeft w:val="0"/>
          <w:marRight w:val="0"/>
          <w:marTop w:val="0"/>
          <w:marBottom w:val="0"/>
          <w:divBdr>
            <w:top w:val="none" w:sz="0" w:space="0" w:color="auto"/>
            <w:left w:val="none" w:sz="0" w:space="0" w:color="auto"/>
            <w:bottom w:val="none" w:sz="0" w:space="0" w:color="auto"/>
            <w:right w:val="none" w:sz="0" w:space="0" w:color="auto"/>
          </w:divBdr>
        </w:div>
        <w:div w:id="1630471651">
          <w:marLeft w:val="0"/>
          <w:marRight w:val="0"/>
          <w:marTop w:val="0"/>
          <w:marBottom w:val="0"/>
          <w:divBdr>
            <w:top w:val="none" w:sz="0" w:space="0" w:color="auto"/>
            <w:left w:val="none" w:sz="0" w:space="0" w:color="auto"/>
            <w:bottom w:val="none" w:sz="0" w:space="0" w:color="auto"/>
            <w:right w:val="none" w:sz="0" w:space="0" w:color="auto"/>
          </w:divBdr>
        </w:div>
        <w:div w:id="1581909255">
          <w:marLeft w:val="0"/>
          <w:marRight w:val="0"/>
          <w:marTop w:val="0"/>
          <w:marBottom w:val="0"/>
          <w:divBdr>
            <w:top w:val="none" w:sz="0" w:space="0" w:color="auto"/>
            <w:left w:val="none" w:sz="0" w:space="0" w:color="auto"/>
            <w:bottom w:val="none" w:sz="0" w:space="0" w:color="auto"/>
            <w:right w:val="none" w:sz="0" w:space="0" w:color="auto"/>
          </w:divBdr>
        </w:div>
        <w:div w:id="1751735206">
          <w:marLeft w:val="0"/>
          <w:marRight w:val="0"/>
          <w:marTop w:val="0"/>
          <w:marBottom w:val="0"/>
          <w:divBdr>
            <w:top w:val="none" w:sz="0" w:space="0" w:color="auto"/>
            <w:left w:val="none" w:sz="0" w:space="0" w:color="auto"/>
            <w:bottom w:val="none" w:sz="0" w:space="0" w:color="auto"/>
            <w:right w:val="none" w:sz="0" w:space="0" w:color="auto"/>
          </w:divBdr>
        </w:div>
        <w:div w:id="136185143">
          <w:marLeft w:val="0"/>
          <w:marRight w:val="0"/>
          <w:marTop w:val="0"/>
          <w:marBottom w:val="0"/>
          <w:divBdr>
            <w:top w:val="none" w:sz="0" w:space="0" w:color="auto"/>
            <w:left w:val="none" w:sz="0" w:space="0" w:color="auto"/>
            <w:bottom w:val="none" w:sz="0" w:space="0" w:color="auto"/>
            <w:right w:val="none" w:sz="0" w:space="0" w:color="auto"/>
          </w:divBdr>
        </w:div>
        <w:div w:id="358505275">
          <w:marLeft w:val="0"/>
          <w:marRight w:val="0"/>
          <w:marTop w:val="0"/>
          <w:marBottom w:val="0"/>
          <w:divBdr>
            <w:top w:val="none" w:sz="0" w:space="0" w:color="auto"/>
            <w:left w:val="none" w:sz="0" w:space="0" w:color="auto"/>
            <w:bottom w:val="none" w:sz="0" w:space="0" w:color="auto"/>
            <w:right w:val="none" w:sz="0" w:space="0" w:color="auto"/>
          </w:divBdr>
        </w:div>
        <w:div w:id="328485278">
          <w:marLeft w:val="0"/>
          <w:marRight w:val="0"/>
          <w:marTop w:val="0"/>
          <w:marBottom w:val="0"/>
          <w:divBdr>
            <w:top w:val="none" w:sz="0" w:space="0" w:color="auto"/>
            <w:left w:val="none" w:sz="0" w:space="0" w:color="auto"/>
            <w:bottom w:val="none" w:sz="0" w:space="0" w:color="auto"/>
            <w:right w:val="none" w:sz="0" w:space="0" w:color="auto"/>
          </w:divBdr>
        </w:div>
        <w:div w:id="1390572748">
          <w:marLeft w:val="0"/>
          <w:marRight w:val="0"/>
          <w:marTop w:val="0"/>
          <w:marBottom w:val="0"/>
          <w:divBdr>
            <w:top w:val="none" w:sz="0" w:space="0" w:color="auto"/>
            <w:left w:val="none" w:sz="0" w:space="0" w:color="auto"/>
            <w:bottom w:val="none" w:sz="0" w:space="0" w:color="auto"/>
            <w:right w:val="none" w:sz="0" w:space="0" w:color="auto"/>
          </w:divBdr>
        </w:div>
        <w:div w:id="1856963479">
          <w:marLeft w:val="0"/>
          <w:marRight w:val="0"/>
          <w:marTop w:val="0"/>
          <w:marBottom w:val="0"/>
          <w:divBdr>
            <w:top w:val="none" w:sz="0" w:space="0" w:color="auto"/>
            <w:left w:val="none" w:sz="0" w:space="0" w:color="auto"/>
            <w:bottom w:val="none" w:sz="0" w:space="0" w:color="auto"/>
            <w:right w:val="none" w:sz="0" w:space="0" w:color="auto"/>
          </w:divBdr>
        </w:div>
        <w:div w:id="1376540240">
          <w:marLeft w:val="0"/>
          <w:marRight w:val="0"/>
          <w:marTop w:val="0"/>
          <w:marBottom w:val="0"/>
          <w:divBdr>
            <w:top w:val="none" w:sz="0" w:space="0" w:color="auto"/>
            <w:left w:val="none" w:sz="0" w:space="0" w:color="auto"/>
            <w:bottom w:val="none" w:sz="0" w:space="0" w:color="auto"/>
            <w:right w:val="none" w:sz="0" w:space="0" w:color="auto"/>
          </w:divBdr>
        </w:div>
        <w:div w:id="1876848672">
          <w:marLeft w:val="0"/>
          <w:marRight w:val="0"/>
          <w:marTop w:val="0"/>
          <w:marBottom w:val="0"/>
          <w:divBdr>
            <w:top w:val="none" w:sz="0" w:space="0" w:color="auto"/>
            <w:left w:val="none" w:sz="0" w:space="0" w:color="auto"/>
            <w:bottom w:val="none" w:sz="0" w:space="0" w:color="auto"/>
            <w:right w:val="none" w:sz="0" w:space="0" w:color="auto"/>
          </w:divBdr>
        </w:div>
        <w:div w:id="452597694">
          <w:marLeft w:val="0"/>
          <w:marRight w:val="0"/>
          <w:marTop w:val="0"/>
          <w:marBottom w:val="0"/>
          <w:divBdr>
            <w:top w:val="none" w:sz="0" w:space="0" w:color="auto"/>
            <w:left w:val="none" w:sz="0" w:space="0" w:color="auto"/>
            <w:bottom w:val="none" w:sz="0" w:space="0" w:color="auto"/>
            <w:right w:val="none" w:sz="0" w:space="0" w:color="auto"/>
          </w:divBdr>
        </w:div>
        <w:div w:id="1797991163">
          <w:marLeft w:val="0"/>
          <w:marRight w:val="0"/>
          <w:marTop w:val="0"/>
          <w:marBottom w:val="0"/>
          <w:divBdr>
            <w:top w:val="none" w:sz="0" w:space="0" w:color="auto"/>
            <w:left w:val="none" w:sz="0" w:space="0" w:color="auto"/>
            <w:bottom w:val="none" w:sz="0" w:space="0" w:color="auto"/>
            <w:right w:val="none" w:sz="0" w:space="0" w:color="auto"/>
          </w:divBdr>
        </w:div>
        <w:div w:id="1654870275">
          <w:marLeft w:val="0"/>
          <w:marRight w:val="0"/>
          <w:marTop w:val="0"/>
          <w:marBottom w:val="0"/>
          <w:divBdr>
            <w:top w:val="none" w:sz="0" w:space="0" w:color="auto"/>
            <w:left w:val="none" w:sz="0" w:space="0" w:color="auto"/>
            <w:bottom w:val="none" w:sz="0" w:space="0" w:color="auto"/>
            <w:right w:val="none" w:sz="0" w:space="0" w:color="auto"/>
          </w:divBdr>
        </w:div>
        <w:div w:id="238562837">
          <w:marLeft w:val="0"/>
          <w:marRight w:val="0"/>
          <w:marTop w:val="0"/>
          <w:marBottom w:val="0"/>
          <w:divBdr>
            <w:top w:val="none" w:sz="0" w:space="0" w:color="auto"/>
            <w:left w:val="none" w:sz="0" w:space="0" w:color="auto"/>
            <w:bottom w:val="none" w:sz="0" w:space="0" w:color="auto"/>
            <w:right w:val="none" w:sz="0" w:space="0" w:color="auto"/>
          </w:divBdr>
        </w:div>
        <w:div w:id="1824392593">
          <w:marLeft w:val="0"/>
          <w:marRight w:val="0"/>
          <w:marTop w:val="0"/>
          <w:marBottom w:val="0"/>
          <w:divBdr>
            <w:top w:val="none" w:sz="0" w:space="0" w:color="auto"/>
            <w:left w:val="none" w:sz="0" w:space="0" w:color="auto"/>
            <w:bottom w:val="none" w:sz="0" w:space="0" w:color="auto"/>
            <w:right w:val="none" w:sz="0" w:space="0" w:color="auto"/>
          </w:divBdr>
        </w:div>
        <w:div w:id="577860473">
          <w:marLeft w:val="0"/>
          <w:marRight w:val="0"/>
          <w:marTop w:val="0"/>
          <w:marBottom w:val="0"/>
          <w:divBdr>
            <w:top w:val="none" w:sz="0" w:space="0" w:color="auto"/>
            <w:left w:val="none" w:sz="0" w:space="0" w:color="auto"/>
            <w:bottom w:val="none" w:sz="0" w:space="0" w:color="auto"/>
            <w:right w:val="none" w:sz="0" w:space="0" w:color="auto"/>
          </w:divBdr>
        </w:div>
        <w:div w:id="606617794">
          <w:marLeft w:val="0"/>
          <w:marRight w:val="0"/>
          <w:marTop w:val="0"/>
          <w:marBottom w:val="0"/>
          <w:divBdr>
            <w:top w:val="none" w:sz="0" w:space="0" w:color="auto"/>
            <w:left w:val="none" w:sz="0" w:space="0" w:color="auto"/>
            <w:bottom w:val="none" w:sz="0" w:space="0" w:color="auto"/>
            <w:right w:val="none" w:sz="0" w:space="0" w:color="auto"/>
          </w:divBdr>
        </w:div>
        <w:div w:id="1875460317">
          <w:marLeft w:val="0"/>
          <w:marRight w:val="0"/>
          <w:marTop w:val="0"/>
          <w:marBottom w:val="0"/>
          <w:divBdr>
            <w:top w:val="none" w:sz="0" w:space="0" w:color="auto"/>
            <w:left w:val="none" w:sz="0" w:space="0" w:color="auto"/>
            <w:bottom w:val="none" w:sz="0" w:space="0" w:color="auto"/>
            <w:right w:val="none" w:sz="0" w:space="0" w:color="auto"/>
          </w:divBdr>
        </w:div>
        <w:div w:id="2056461848">
          <w:marLeft w:val="0"/>
          <w:marRight w:val="0"/>
          <w:marTop w:val="0"/>
          <w:marBottom w:val="0"/>
          <w:divBdr>
            <w:top w:val="none" w:sz="0" w:space="0" w:color="auto"/>
            <w:left w:val="none" w:sz="0" w:space="0" w:color="auto"/>
            <w:bottom w:val="none" w:sz="0" w:space="0" w:color="auto"/>
            <w:right w:val="none" w:sz="0" w:space="0" w:color="auto"/>
          </w:divBdr>
        </w:div>
        <w:div w:id="174197794">
          <w:marLeft w:val="0"/>
          <w:marRight w:val="0"/>
          <w:marTop w:val="0"/>
          <w:marBottom w:val="0"/>
          <w:divBdr>
            <w:top w:val="none" w:sz="0" w:space="0" w:color="auto"/>
            <w:left w:val="none" w:sz="0" w:space="0" w:color="auto"/>
            <w:bottom w:val="none" w:sz="0" w:space="0" w:color="auto"/>
            <w:right w:val="none" w:sz="0" w:space="0" w:color="auto"/>
          </w:divBdr>
        </w:div>
        <w:div w:id="2014674607">
          <w:marLeft w:val="0"/>
          <w:marRight w:val="0"/>
          <w:marTop w:val="0"/>
          <w:marBottom w:val="0"/>
          <w:divBdr>
            <w:top w:val="none" w:sz="0" w:space="0" w:color="auto"/>
            <w:left w:val="none" w:sz="0" w:space="0" w:color="auto"/>
            <w:bottom w:val="none" w:sz="0" w:space="0" w:color="auto"/>
            <w:right w:val="none" w:sz="0" w:space="0" w:color="auto"/>
          </w:divBdr>
        </w:div>
        <w:div w:id="668751926">
          <w:marLeft w:val="0"/>
          <w:marRight w:val="0"/>
          <w:marTop w:val="0"/>
          <w:marBottom w:val="0"/>
          <w:divBdr>
            <w:top w:val="none" w:sz="0" w:space="0" w:color="auto"/>
            <w:left w:val="none" w:sz="0" w:space="0" w:color="auto"/>
            <w:bottom w:val="none" w:sz="0" w:space="0" w:color="auto"/>
            <w:right w:val="none" w:sz="0" w:space="0" w:color="auto"/>
          </w:divBdr>
        </w:div>
        <w:div w:id="561720754">
          <w:marLeft w:val="0"/>
          <w:marRight w:val="0"/>
          <w:marTop w:val="0"/>
          <w:marBottom w:val="0"/>
          <w:divBdr>
            <w:top w:val="none" w:sz="0" w:space="0" w:color="auto"/>
            <w:left w:val="none" w:sz="0" w:space="0" w:color="auto"/>
            <w:bottom w:val="none" w:sz="0" w:space="0" w:color="auto"/>
            <w:right w:val="none" w:sz="0" w:space="0" w:color="auto"/>
          </w:divBdr>
        </w:div>
        <w:div w:id="243804573">
          <w:marLeft w:val="0"/>
          <w:marRight w:val="0"/>
          <w:marTop w:val="0"/>
          <w:marBottom w:val="0"/>
          <w:divBdr>
            <w:top w:val="none" w:sz="0" w:space="0" w:color="auto"/>
            <w:left w:val="none" w:sz="0" w:space="0" w:color="auto"/>
            <w:bottom w:val="none" w:sz="0" w:space="0" w:color="auto"/>
            <w:right w:val="none" w:sz="0" w:space="0" w:color="auto"/>
          </w:divBdr>
        </w:div>
        <w:div w:id="89401499">
          <w:marLeft w:val="0"/>
          <w:marRight w:val="0"/>
          <w:marTop w:val="0"/>
          <w:marBottom w:val="0"/>
          <w:divBdr>
            <w:top w:val="none" w:sz="0" w:space="0" w:color="auto"/>
            <w:left w:val="none" w:sz="0" w:space="0" w:color="auto"/>
            <w:bottom w:val="none" w:sz="0" w:space="0" w:color="auto"/>
            <w:right w:val="none" w:sz="0" w:space="0" w:color="auto"/>
          </w:divBdr>
        </w:div>
        <w:div w:id="1710643387">
          <w:marLeft w:val="0"/>
          <w:marRight w:val="0"/>
          <w:marTop w:val="0"/>
          <w:marBottom w:val="0"/>
          <w:divBdr>
            <w:top w:val="none" w:sz="0" w:space="0" w:color="auto"/>
            <w:left w:val="none" w:sz="0" w:space="0" w:color="auto"/>
            <w:bottom w:val="none" w:sz="0" w:space="0" w:color="auto"/>
            <w:right w:val="none" w:sz="0" w:space="0" w:color="auto"/>
          </w:divBdr>
        </w:div>
        <w:div w:id="559169808">
          <w:marLeft w:val="0"/>
          <w:marRight w:val="0"/>
          <w:marTop w:val="0"/>
          <w:marBottom w:val="0"/>
          <w:divBdr>
            <w:top w:val="none" w:sz="0" w:space="0" w:color="auto"/>
            <w:left w:val="none" w:sz="0" w:space="0" w:color="auto"/>
            <w:bottom w:val="none" w:sz="0" w:space="0" w:color="auto"/>
            <w:right w:val="none" w:sz="0" w:space="0" w:color="auto"/>
          </w:divBdr>
        </w:div>
        <w:div w:id="616644654">
          <w:marLeft w:val="0"/>
          <w:marRight w:val="0"/>
          <w:marTop w:val="0"/>
          <w:marBottom w:val="0"/>
          <w:divBdr>
            <w:top w:val="none" w:sz="0" w:space="0" w:color="auto"/>
            <w:left w:val="none" w:sz="0" w:space="0" w:color="auto"/>
            <w:bottom w:val="none" w:sz="0" w:space="0" w:color="auto"/>
            <w:right w:val="none" w:sz="0" w:space="0" w:color="auto"/>
          </w:divBdr>
        </w:div>
        <w:div w:id="1177036294">
          <w:marLeft w:val="0"/>
          <w:marRight w:val="0"/>
          <w:marTop w:val="0"/>
          <w:marBottom w:val="0"/>
          <w:divBdr>
            <w:top w:val="none" w:sz="0" w:space="0" w:color="auto"/>
            <w:left w:val="none" w:sz="0" w:space="0" w:color="auto"/>
            <w:bottom w:val="none" w:sz="0" w:space="0" w:color="auto"/>
            <w:right w:val="none" w:sz="0" w:space="0" w:color="auto"/>
          </w:divBdr>
        </w:div>
      </w:divsChild>
    </w:div>
    <w:div w:id="1486361955">
      <w:bodyDiv w:val="1"/>
      <w:marLeft w:val="0"/>
      <w:marRight w:val="0"/>
      <w:marTop w:val="0"/>
      <w:marBottom w:val="0"/>
      <w:divBdr>
        <w:top w:val="none" w:sz="0" w:space="0" w:color="auto"/>
        <w:left w:val="none" w:sz="0" w:space="0" w:color="auto"/>
        <w:bottom w:val="none" w:sz="0" w:space="0" w:color="auto"/>
        <w:right w:val="none" w:sz="0" w:space="0" w:color="auto"/>
      </w:divBdr>
      <w:divsChild>
        <w:div w:id="971130906">
          <w:marLeft w:val="0"/>
          <w:marRight w:val="0"/>
          <w:marTop w:val="0"/>
          <w:marBottom w:val="0"/>
          <w:divBdr>
            <w:top w:val="none" w:sz="0" w:space="0" w:color="auto"/>
            <w:left w:val="none" w:sz="0" w:space="0" w:color="auto"/>
            <w:bottom w:val="none" w:sz="0" w:space="0" w:color="auto"/>
            <w:right w:val="none" w:sz="0" w:space="0" w:color="auto"/>
          </w:divBdr>
        </w:div>
        <w:div w:id="823619597">
          <w:marLeft w:val="0"/>
          <w:marRight w:val="0"/>
          <w:marTop w:val="0"/>
          <w:marBottom w:val="0"/>
          <w:divBdr>
            <w:top w:val="none" w:sz="0" w:space="0" w:color="auto"/>
            <w:left w:val="none" w:sz="0" w:space="0" w:color="auto"/>
            <w:bottom w:val="none" w:sz="0" w:space="0" w:color="auto"/>
            <w:right w:val="none" w:sz="0" w:space="0" w:color="auto"/>
          </w:divBdr>
        </w:div>
      </w:divsChild>
    </w:div>
    <w:div w:id="1505587219">
      <w:bodyDiv w:val="1"/>
      <w:marLeft w:val="0"/>
      <w:marRight w:val="0"/>
      <w:marTop w:val="0"/>
      <w:marBottom w:val="0"/>
      <w:divBdr>
        <w:top w:val="none" w:sz="0" w:space="0" w:color="auto"/>
        <w:left w:val="none" w:sz="0" w:space="0" w:color="auto"/>
        <w:bottom w:val="none" w:sz="0" w:space="0" w:color="auto"/>
        <w:right w:val="none" w:sz="0" w:space="0" w:color="auto"/>
      </w:divBdr>
      <w:divsChild>
        <w:div w:id="922688452">
          <w:marLeft w:val="0"/>
          <w:marRight w:val="0"/>
          <w:marTop w:val="0"/>
          <w:marBottom w:val="0"/>
          <w:divBdr>
            <w:top w:val="none" w:sz="0" w:space="0" w:color="auto"/>
            <w:left w:val="none" w:sz="0" w:space="0" w:color="auto"/>
            <w:bottom w:val="none" w:sz="0" w:space="0" w:color="auto"/>
            <w:right w:val="none" w:sz="0" w:space="0" w:color="auto"/>
          </w:divBdr>
        </w:div>
        <w:div w:id="1166283195">
          <w:marLeft w:val="0"/>
          <w:marRight w:val="0"/>
          <w:marTop w:val="0"/>
          <w:marBottom w:val="0"/>
          <w:divBdr>
            <w:top w:val="none" w:sz="0" w:space="0" w:color="auto"/>
            <w:left w:val="none" w:sz="0" w:space="0" w:color="auto"/>
            <w:bottom w:val="none" w:sz="0" w:space="0" w:color="auto"/>
            <w:right w:val="none" w:sz="0" w:space="0" w:color="auto"/>
          </w:divBdr>
        </w:div>
        <w:div w:id="859780141">
          <w:marLeft w:val="0"/>
          <w:marRight w:val="0"/>
          <w:marTop w:val="0"/>
          <w:marBottom w:val="0"/>
          <w:divBdr>
            <w:top w:val="none" w:sz="0" w:space="0" w:color="auto"/>
            <w:left w:val="none" w:sz="0" w:space="0" w:color="auto"/>
            <w:bottom w:val="none" w:sz="0" w:space="0" w:color="auto"/>
            <w:right w:val="none" w:sz="0" w:space="0" w:color="auto"/>
          </w:divBdr>
        </w:div>
        <w:div w:id="743987871">
          <w:marLeft w:val="0"/>
          <w:marRight w:val="0"/>
          <w:marTop w:val="0"/>
          <w:marBottom w:val="0"/>
          <w:divBdr>
            <w:top w:val="none" w:sz="0" w:space="0" w:color="auto"/>
            <w:left w:val="none" w:sz="0" w:space="0" w:color="auto"/>
            <w:bottom w:val="none" w:sz="0" w:space="0" w:color="auto"/>
            <w:right w:val="none" w:sz="0" w:space="0" w:color="auto"/>
          </w:divBdr>
        </w:div>
        <w:div w:id="664089263">
          <w:marLeft w:val="0"/>
          <w:marRight w:val="0"/>
          <w:marTop w:val="0"/>
          <w:marBottom w:val="0"/>
          <w:divBdr>
            <w:top w:val="none" w:sz="0" w:space="0" w:color="auto"/>
            <w:left w:val="none" w:sz="0" w:space="0" w:color="auto"/>
            <w:bottom w:val="none" w:sz="0" w:space="0" w:color="auto"/>
            <w:right w:val="none" w:sz="0" w:space="0" w:color="auto"/>
          </w:divBdr>
        </w:div>
        <w:div w:id="2034576525">
          <w:marLeft w:val="0"/>
          <w:marRight w:val="0"/>
          <w:marTop w:val="0"/>
          <w:marBottom w:val="0"/>
          <w:divBdr>
            <w:top w:val="none" w:sz="0" w:space="0" w:color="auto"/>
            <w:left w:val="none" w:sz="0" w:space="0" w:color="auto"/>
            <w:bottom w:val="none" w:sz="0" w:space="0" w:color="auto"/>
            <w:right w:val="none" w:sz="0" w:space="0" w:color="auto"/>
          </w:divBdr>
        </w:div>
        <w:div w:id="994646197">
          <w:marLeft w:val="0"/>
          <w:marRight w:val="0"/>
          <w:marTop w:val="0"/>
          <w:marBottom w:val="0"/>
          <w:divBdr>
            <w:top w:val="none" w:sz="0" w:space="0" w:color="auto"/>
            <w:left w:val="none" w:sz="0" w:space="0" w:color="auto"/>
            <w:bottom w:val="none" w:sz="0" w:space="0" w:color="auto"/>
            <w:right w:val="none" w:sz="0" w:space="0" w:color="auto"/>
          </w:divBdr>
        </w:div>
        <w:div w:id="1613704530">
          <w:marLeft w:val="0"/>
          <w:marRight w:val="0"/>
          <w:marTop w:val="0"/>
          <w:marBottom w:val="0"/>
          <w:divBdr>
            <w:top w:val="none" w:sz="0" w:space="0" w:color="auto"/>
            <w:left w:val="none" w:sz="0" w:space="0" w:color="auto"/>
            <w:bottom w:val="none" w:sz="0" w:space="0" w:color="auto"/>
            <w:right w:val="none" w:sz="0" w:space="0" w:color="auto"/>
          </w:divBdr>
        </w:div>
        <w:div w:id="663699854">
          <w:marLeft w:val="0"/>
          <w:marRight w:val="0"/>
          <w:marTop w:val="0"/>
          <w:marBottom w:val="0"/>
          <w:divBdr>
            <w:top w:val="none" w:sz="0" w:space="0" w:color="auto"/>
            <w:left w:val="none" w:sz="0" w:space="0" w:color="auto"/>
            <w:bottom w:val="none" w:sz="0" w:space="0" w:color="auto"/>
            <w:right w:val="none" w:sz="0" w:space="0" w:color="auto"/>
          </w:divBdr>
        </w:div>
        <w:div w:id="1871259160">
          <w:marLeft w:val="0"/>
          <w:marRight w:val="0"/>
          <w:marTop w:val="0"/>
          <w:marBottom w:val="0"/>
          <w:divBdr>
            <w:top w:val="none" w:sz="0" w:space="0" w:color="auto"/>
            <w:left w:val="none" w:sz="0" w:space="0" w:color="auto"/>
            <w:bottom w:val="none" w:sz="0" w:space="0" w:color="auto"/>
            <w:right w:val="none" w:sz="0" w:space="0" w:color="auto"/>
          </w:divBdr>
        </w:div>
        <w:div w:id="186523976">
          <w:marLeft w:val="0"/>
          <w:marRight w:val="0"/>
          <w:marTop w:val="0"/>
          <w:marBottom w:val="0"/>
          <w:divBdr>
            <w:top w:val="none" w:sz="0" w:space="0" w:color="auto"/>
            <w:left w:val="none" w:sz="0" w:space="0" w:color="auto"/>
            <w:bottom w:val="none" w:sz="0" w:space="0" w:color="auto"/>
            <w:right w:val="none" w:sz="0" w:space="0" w:color="auto"/>
          </w:divBdr>
        </w:div>
        <w:div w:id="1603368894">
          <w:marLeft w:val="0"/>
          <w:marRight w:val="0"/>
          <w:marTop w:val="0"/>
          <w:marBottom w:val="0"/>
          <w:divBdr>
            <w:top w:val="none" w:sz="0" w:space="0" w:color="auto"/>
            <w:left w:val="none" w:sz="0" w:space="0" w:color="auto"/>
            <w:bottom w:val="none" w:sz="0" w:space="0" w:color="auto"/>
            <w:right w:val="none" w:sz="0" w:space="0" w:color="auto"/>
          </w:divBdr>
        </w:div>
        <w:div w:id="1802961266">
          <w:marLeft w:val="0"/>
          <w:marRight w:val="0"/>
          <w:marTop w:val="0"/>
          <w:marBottom w:val="0"/>
          <w:divBdr>
            <w:top w:val="none" w:sz="0" w:space="0" w:color="auto"/>
            <w:left w:val="none" w:sz="0" w:space="0" w:color="auto"/>
            <w:bottom w:val="none" w:sz="0" w:space="0" w:color="auto"/>
            <w:right w:val="none" w:sz="0" w:space="0" w:color="auto"/>
          </w:divBdr>
        </w:div>
        <w:div w:id="1937208006">
          <w:marLeft w:val="0"/>
          <w:marRight w:val="0"/>
          <w:marTop w:val="0"/>
          <w:marBottom w:val="0"/>
          <w:divBdr>
            <w:top w:val="none" w:sz="0" w:space="0" w:color="auto"/>
            <w:left w:val="none" w:sz="0" w:space="0" w:color="auto"/>
            <w:bottom w:val="none" w:sz="0" w:space="0" w:color="auto"/>
            <w:right w:val="none" w:sz="0" w:space="0" w:color="auto"/>
          </w:divBdr>
        </w:div>
        <w:div w:id="1247181933">
          <w:marLeft w:val="0"/>
          <w:marRight w:val="0"/>
          <w:marTop w:val="0"/>
          <w:marBottom w:val="0"/>
          <w:divBdr>
            <w:top w:val="none" w:sz="0" w:space="0" w:color="auto"/>
            <w:left w:val="none" w:sz="0" w:space="0" w:color="auto"/>
            <w:bottom w:val="none" w:sz="0" w:space="0" w:color="auto"/>
            <w:right w:val="none" w:sz="0" w:space="0" w:color="auto"/>
          </w:divBdr>
        </w:div>
        <w:div w:id="530535717">
          <w:marLeft w:val="0"/>
          <w:marRight w:val="0"/>
          <w:marTop w:val="0"/>
          <w:marBottom w:val="0"/>
          <w:divBdr>
            <w:top w:val="none" w:sz="0" w:space="0" w:color="auto"/>
            <w:left w:val="none" w:sz="0" w:space="0" w:color="auto"/>
            <w:bottom w:val="none" w:sz="0" w:space="0" w:color="auto"/>
            <w:right w:val="none" w:sz="0" w:space="0" w:color="auto"/>
          </w:divBdr>
        </w:div>
        <w:div w:id="326979213">
          <w:marLeft w:val="0"/>
          <w:marRight w:val="0"/>
          <w:marTop w:val="0"/>
          <w:marBottom w:val="0"/>
          <w:divBdr>
            <w:top w:val="none" w:sz="0" w:space="0" w:color="auto"/>
            <w:left w:val="none" w:sz="0" w:space="0" w:color="auto"/>
            <w:bottom w:val="none" w:sz="0" w:space="0" w:color="auto"/>
            <w:right w:val="none" w:sz="0" w:space="0" w:color="auto"/>
          </w:divBdr>
        </w:div>
        <w:div w:id="266273364">
          <w:marLeft w:val="0"/>
          <w:marRight w:val="0"/>
          <w:marTop w:val="0"/>
          <w:marBottom w:val="0"/>
          <w:divBdr>
            <w:top w:val="none" w:sz="0" w:space="0" w:color="auto"/>
            <w:left w:val="none" w:sz="0" w:space="0" w:color="auto"/>
            <w:bottom w:val="none" w:sz="0" w:space="0" w:color="auto"/>
            <w:right w:val="none" w:sz="0" w:space="0" w:color="auto"/>
          </w:divBdr>
        </w:div>
        <w:div w:id="1198540985">
          <w:marLeft w:val="0"/>
          <w:marRight w:val="0"/>
          <w:marTop w:val="0"/>
          <w:marBottom w:val="0"/>
          <w:divBdr>
            <w:top w:val="none" w:sz="0" w:space="0" w:color="auto"/>
            <w:left w:val="none" w:sz="0" w:space="0" w:color="auto"/>
            <w:bottom w:val="none" w:sz="0" w:space="0" w:color="auto"/>
            <w:right w:val="none" w:sz="0" w:space="0" w:color="auto"/>
          </w:divBdr>
        </w:div>
        <w:div w:id="129976794">
          <w:marLeft w:val="0"/>
          <w:marRight w:val="0"/>
          <w:marTop w:val="0"/>
          <w:marBottom w:val="0"/>
          <w:divBdr>
            <w:top w:val="none" w:sz="0" w:space="0" w:color="auto"/>
            <w:left w:val="none" w:sz="0" w:space="0" w:color="auto"/>
            <w:bottom w:val="none" w:sz="0" w:space="0" w:color="auto"/>
            <w:right w:val="none" w:sz="0" w:space="0" w:color="auto"/>
          </w:divBdr>
        </w:div>
        <w:div w:id="1109275042">
          <w:marLeft w:val="0"/>
          <w:marRight w:val="0"/>
          <w:marTop w:val="0"/>
          <w:marBottom w:val="0"/>
          <w:divBdr>
            <w:top w:val="none" w:sz="0" w:space="0" w:color="auto"/>
            <w:left w:val="none" w:sz="0" w:space="0" w:color="auto"/>
            <w:bottom w:val="none" w:sz="0" w:space="0" w:color="auto"/>
            <w:right w:val="none" w:sz="0" w:space="0" w:color="auto"/>
          </w:divBdr>
        </w:div>
        <w:div w:id="901646475">
          <w:marLeft w:val="0"/>
          <w:marRight w:val="0"/>
          <w:marTop w:val="0"/>
          <w:marBottom w:val="0"/>
          <w:divBdr>
            <w:top w:val="none" w:sz="0" w:space="0" w:color="auto"/>
            <w:left w:val="none" w:sz="0" w:space="0" w:color="auto"/>
            <w:bottom w:val="none" w:sz="0" w:space="0" w:color="auto"/>
            <w:right w:val="none" w:sz="0" w:space="0" w:color="auto"/>
          </w:divBdr>
        </w:div>
        <w:div w:id="876357508">
          <w:marLeft w:val="0"/>
          <w:marRight w:val="0"/>
          <w:marTop w:val="0"/>
          <w:marBottom w:val="0"/>
          <w:divBdr>
            <w:top w:val="none" w:sz="0" w:space="0" w:color="auto"/>
            <w:left w:val="none" w:sz="0" w:space="0" w:color="auto"/>
            <w:bottom w:val="none" w:sz="0" w:space="0" w:color="auto"/>
            <w:right w:val="none" w:sz="0" w:space="0" w:color="auto"/>
          </w:divBdr>
        </w:div>
        <w:div w:id="2022514020">
          <w:marLeft w:val="0"/>
          <w:marRight w:val="0"/>
          <w:marTop w:val="0"/>
          <w:marBottom w:val="0"/>
          <w:divBdr>
            <w:top w:val="none" w:sz="0" w:space="0" w:color="auto"/>
            <w:left w:val="none" w:sz="0" w:space="0" w:color="auto"/>
            <w:bottom w:val="none" w:sz="0" w:space="0" w:color="auto"/>
            <w:right w:val="none" w:sz="0" w:space="0" w:color="auto"/>
          </w:divBdr>
        </w:div>
        <w:div w:id="536505081">
          <w:marLeft w:val="0"/>
          <w:marRight w:val="0"/>
          <w:marTop w:val="0"/>
          <w:marBottom w:val="0"/>
          <w:divBdr>
            <w:top w:val="none" w:sz="0" w:space="0" w:color="auto"/>
            <w:left w:val="none" w:sz="0" w:space="0" w:color="auto"/>
            <w:bottom w:val="none" w:sz="0" w:space="0" w:color="auto"/>
            <w:right w:val="none" w:sz="0" w:space="0" w:color="auto"/>
          </w:divBdr>
        </w:div>
        <w:div w:id="2092004660">
          <w:marLeft w:val="0"/>
          <w:marRight w:val="0"/>
          <w:marTop w:val="0"/>
          <w:marBottom w:val="0"/>
          <w:divBdr>
            <w:top w:val="none" w:sz="0" w:space="0" w:color="auto"/>
            <w:left w:val="none" w:sz="0" w:space="0" w:color="auto"/>
            <w:bottom w:val="none" w:sz="0" w:space="0" w:color="auto"/>
            <w:right w:val="none" w:sz="0" w:space="0" w:color="auto"/>
          </w:divBdr>
        </w:div>
        <w:div w:id="1847135454">
          <w:marLeft w:val="0"/>
          <w:marRight w:val="0"/>
          <w:marTop w:val="0"/>
          <w:marBottom w:val="0"/>
          <w:divBdr>
            <w:top w:val="none" w:sz="0" w:space="0" w:color="auto"/>
            <w:left w:val="none" w:sz="0" w:space="0" w:color="auto"/>
            <w:bottom w:val="none" w:sz="0" w:space="0" w:color="auto"/>
            <w:right w:val="none" w:sz="0" w:space="0" w:color="auto"/>
          </w:divBdr>
        </w:div>
        <w:div w:id="748845895">
          <w:marLeft w:val="0"/>
          <w:marRight w:val="0"/>
          <w:marTop w:val="0"/>
          <w:marBottom w:val="0"/>
          <w:divBdr>
            <w:top w:val="none" w:sz="0" w:space="0" w:color="auto"/>
            <w:left w:val="none" w:sz="0" w:space="0" w:color="auto"/>
            <w:bottom w:val="none" w:sz="0" w:space="0" w:color="auto"/>
            <w:right w:val="none" w:sz="0" w:space="0" w:color="auto"/>
          </w:divBdr>
        </w:div>
        <w:div w:id="1974865471">
          <w:marLeft w:val="0"/>
          <w:marRight w:val="0"/>
          <w:marTop w:val="0"/>
          <w:marBottom w:val="0"/>
          <w:divBdr>
            <w:top w:val="none" w:sz="0" w:space="0" w:color="auto"/>
            <w:left w:val="none" w:sz="0" w:space="0" w:color="auto"/>
            <w:bottom w:val="none" w:sz="0" w:space="0" w:color="auto"/>
            <w:right w:val="none" w:sz="0" w:space="0" w:color="auto"/>
          </w:divBdr>
        </w:div>
        <w:div w:id="553584078">
          <w:marLeft w:val="0"/>
          <w:marRight w:val="0"/>
          <w:marTop w:val="0"/>
          <w:marBottom w:val="0"/>
          <w:divBdr>
            <w:top w:val="none" w:sz="0" w:space="0" w:color="auto"/>
            <w:left w:val="none" w:sz="0" w:space="0" w:color="auto"/>
            <w:bottom w:val="none" w:sz="0" w:space="0" w:color="auto"/>
            <w:right w:val="none" w:sz="0" w:space="0" w:color="auto"/>
          </w:divBdr>
        </w:div>
        <w:div w:id="723918166">
          <w:marLeft w:val="0"/>
          <w:marRight w:val="0"/>
          <w:marTop w:val="0"/>
          <w:marBottom w:val="0"/>
          <w:divBdr>
            <w:top w:val="none" w:sz="0" w:space="0" w:color="auto"/>
            <w:left w:val="none" w:sz="0" w:space="0" w:color="auto"/>
            <w:bottom w:val="none" w:sz="0" w:space="0" w:color="auto"/>
            <w:right w:val="none" w:sz="0" w:space="0" w:color="auto"/>
          </w:divBdr>
        </w:div>
        <w:div w:id="1850636343">
          <w:marLeft w:val="0"/>
          <w:marRight w:val="0"/>
          <w:marTop w:val="0"/>
          <w:marBottom w:val="0"/>
          <w:divBdr>
            <w:top w:val="none" w:sz="0" w:space="0" w:color="auto"/>
            <w:left w:val="none" w:sz="0" w:space="0" w:color="auto"/>
            <w:bottom w:val="none" w:sz="0" w:space="0" w:color="auto"/>
            <w:right w:val="none" w:sz="0" w:space="0" w:color="auto"/>
          </w:divBdr>
        </w:div>
        <w:div w:id="2113894266">
          <w:marLeft w:val="0"/>
          <w:marRight w:val="0"/>
          <w:marTop w:val="0"/>
          <w:marBottom w:val="0"/>
          <w:divBdr>
            <w:top w:val="none" w:sz="0" w:space="0" w:color="auto"/>
            <w:left w:val="none" w:sz="0" w:space="0" w:color="auto"/>
            <w:bottom w:val="none" w:sz="0" w:space="0" w:color="auto"/>
            <w:right w:val="none" w:sz="0" w:space="0" w:color="auto"/>
          </w:divBdr>
        </w:div>
        <w:div w:id="1024138160">
          <w:marLeft w:val="0"/>
          <w:marRight w:val="0"/>
          <w:marTop w:val="0"/>
          <w:marBottom w:val="0"/>
          <w:divBdr>
            <w:top w:val="none" w:sz="0" w:space="0" w:color="auto"/>
            <w:left w:val="none" w:sz="0" w:space="0" w:color="auto"/>
            <w:bottom w:val="none" w:sz="0" w:space="0" w:color="auto"/>
            <w:right w:val="none" w:sz="0" w:space="0" w:color="auto"/>
          </w:divBdr>
        </w:div>
        <w:div w:id="832375880">
          <w:marLeft w:val="0"/>
          <w:marRight w:val="0"/>
          <w:marTop w:val="0"/>
          <w:marBottom w:val="0"/>
          <w:divBdr>
            <w:top w:val="none" w:sz="0" w:space="0" w:color="auto"/>
            <w:left w:val="none" w:sz="0" w:space="0" w:color="auto"/>
            <w:bottom w:val="none" w:sz="0" w:space="0" w:color="auto"/>
            <w:right w:val="none" w:sz="0" w:space="0" w:color="auto"/>
          </w:divBdr>
        </w:div>
        <w:div w:id="537398108">
          <w:marLeft w:val="0"/>
          <w:marRight w:val="0"/>
          <w:marTop w:val="0"/>
          <w:marBottom w:val="0"/>
          <w:divBdr>
            <w:top w:val="none" w:sz="0" w:space="0" w:color="auto"/>
            <w:left w:val="none" w:sz="0" w:space="0" w:color="auto"/>
            <w:bottom w:val="none" w:sz="0" w:space="0" w:color="auto"/>
            <w:right w:val="none" w:sz="0" w:space="0" w:color="auto"/>
          </w:divBdr>
        </w:div>
        <w:div w:id="1374889348">
          <w:marLeft w:val="0"/>
          <w:marRight w:val="0"/>
          <w:marTop w:val="0"/>
          <w:marBottom w:val="0"/>
          <w:divBdr>
            <w:top w:val="none" w:sz="0" w:space="0" w:color="auto"/>
            <w:left w:val="none" w:sz="0" w:space="0" w:color="auto"/>
            <w:bottom w:val="none" w:sz="0" w:space="0" w:color="auto"/>
            <w:right w:val="none" w:sz="0" w:space="0" w:color="auto"/>
          </w:divBdr>
        </w:div>
        <w:div w:id="1570112636">
          <w:marLeft w:val="0"/>
          <w:marRight w:val="0"/>
          <w:marTop w:val="0"/>
          <w:marBottom w:val="0"/>
          <w:divBdr>
            <w:top w:val="none" w:sz="0" w:space="0" w:color="auto"/>
            <w:left w:val="none" w:sz="0" w:space="0" w:color="auto"/>
            <w:bottom w:val="none" w:sz="0" w:space="0" w:color="auto"/>
            <w:right w:val="none" w:sz="0" w:space="0" w:color="auto"/>
          </w:divBdr>
        </w:div>
        <w:div w:id="550464784">
          <w:marLeft w:val="0"/>
          <w:marRight w:val="0"/>
          <w:marTop w:val="0"/>
          <w:marBottom w:val="0"/>
          <w:divBdr>
            <w:top w:val="none" w:sz="0" w:space="0" w:color="auto"/>
            <w:left w:val="none" w:sz="0" w:space="0" w:color="auto"/>
            <w:bottom w:val="none" w:sz="0" w:space="0" w:color="auto"/>
            <w:right w:val="none" w:sz="0" w:space="0" w:color="auto"/>
          </w:divBdr>
        </w:div>
        <w:div w:id="761952188">
          <w:marLeft w:val="0"/>
          <w:marRight w:val="0"/>
          <w:marTop w:val="0"/>
          <w:marBottom w:val="0"/>
          <w:divBdr>
            <w:top w:val="none" w:sz="0" w:space="0" w:color="auto"/>
            <w:left w:val="none" w:sz="0" w:space="0" w:color="auto"/>
            <w:bottom w:val="none" w:sz="0" w:space="0" w:color="auto"/>
            <w:right w:val="none" w:sz="0" w:space="0" w:color="auto"/>
          </w:divBdr>
        </w:div>
        <w:div w:id="611281988">
          <w:marLeft w:val="0"/>
          <w:marRight w:val="0"/>
          <w:marTop w:val="0"/>
          <w:marBottom w:val="0"/>
          <w:divBdr>
            <w:top w:val="none" w:sz="0" w:space="0" w:color="auto"/>
            <w:left w:val="none" w:sz="0" w:space="0" w:color="auto"/>
            <w:bottom w:val="none" w:sz="0" w:space="0" w:color="auto"/>
            <w:right w:val="none" w:sz="0" w:space="0" w:color="auto"/>
          </w:divBdr>
        </w:div>
        <w:div w:id="447629053">
          <w:marLeft w:val="0"/>
          <w:marRight w:val="0"/>
          <w:marTop w:val="0"/>
          <w:marBottom w:val="0"/>
          <w:divBdr>
            <w:top w:val="none" w:sz="0" w:space="0" w:color="auto"/>
            <w:left w:val="none" w:sz="0" w:space="0" w:color="auto"/>
            <w:bottom w:val="none" w:sz="0" w:space="0" w:color="auto"/>
            <w:right w:val="none" w:sz="0" w:space="0" w:color="auto"/>
          </w:divBdr>
        </w:div>
        <w:div w:id="1960066569">
          <w:marLeft w:val="0"/>
          <w:marRight w:val="0"/>
          <w:marTop w:val="0"/>
          <w:marBottom w:val="0"/>
          <w:divBdr>
            <w:top w:val="none" w:sz="0" w:space="0" w:color="auto"/>
            <w:left w:val="none" w:sz="0" w:space="0" w:color="auto"/>
            <w:bottom w:val="none" w:sz="0" w:space="0" w:color="auto"/>
            <w:right w:val="none" w:sz="0" w:space="0" w:color="auto"/>
          </w:divBdr>
        </w:div>
        <w:div w:id="2119064263">
          <w:marLeft w:val="0"/>
          <w:marRight w:val="0"/>
          <w:marTop w:val="0"/>
          <w:marBottom w:val="0"/>
          <w:divBdr>
            <w:top w:val="none" w:sz="0" w:space="0" w:color="auto"/>
            <w:left w:val="none" w:sz="0" w:space="0" w:color="auto"/>
            <w:bottom w:val="none" w:sz="0" w:space="0" w:color="auto"/>
            <w:right w:val="none" w:sz="0" w:space="0" w:color="auto"/>
          </w:divBdr>
        </w:div>
        <w:div w:id="877012125">
          <w:marLeft w:val="0"/>
          <w:marRight w:val="0"/>
          <w:marTop w:val="0"/>
          <w:marBottom w:val="0"/>
          <w:divBdr>
            <w:top w:val="none" w:sz="0" w:space="0" w:color="auto"/>
            <w:left w:val="none" w:sz="0" w:space="0" w:color="auto"/>
            <w:bottom w:val="none" w:sz="0" w:space="0" w:color="auto"/>
            <w:right w:val="none" w:sz="0" w:space="0" w:color="auto"/>
          </w:divBdr>
        </w:div>
        <w:div w:id="536937019">
          <w:marLeft w:val="0"/>
          <w:marRight w:val="0"/>
          <w:marTop w:val="0"/>
          <w:marBottom w:val="0"/>
          <w:divBdr>
            <w:top w:val="none" w:sz="0" w:space="0" w:color="auto"/>
            <w:left w:val="none" w:sz="0" w:space="0" w:color="auto"/>
            <w:bottom w:val="none" w:sz="0" w:space="0" w:color="auto"/>
            <w:right w:val="none" w:sz="0" w:space="0" w:color="auto"/>
          </w:divBdr>
        </w:div>
        <w:div w:id="384641891">
          <w:marLeft w:val="0"/>
          <w:marRight w:val="0"/>
          <w:marTop w:val="0"/>
          <w:marBottom w:val="0"/>
          <w:divBdr>
            <w:top w:val="none" w:sz="0" w:space="0" w:color="auto"/>
            <w:left w:val="none" w:sz="0" w:space="0" w:color="auto"/>
            <w:bottom w:val="none" w:sz="0" w:space="0" w:color="auto"/>
            <w:right w:val="none" w:sz="0" w:space="0" w:color="auto"/>
          </w:divBdr>
        </w:div>
        <w:div w:id="101653646">
          <w:marLeft w:val="0"/>
          <w:marRight w:val="0"/>
          <w:marTop w:val="0"/>
          <w:marBottom w:val="0"/>
          <w:divBdr>
            <w:top w:val="none" w:sz="0" w:space="0" w:color="auto"/>
            <w:left w:val="none" w:sz="0" w:space="0" w:color="auto"/>
            <w:bottom w:val="none" w:sz="0" w:space="0" w:color="auto"/>
            <w:right w:val="none" w:sz="0" w:space="0" w:color="auto"/>
          </w:divBdr>
        </w:div>
        <w:div w:id="18820863">
          <w:marLeft w:val="0"/>
          <w:marRight w:val="0"/>
          <w:marTop w:val="0"/>
          <w:marBottom w:val="0"/>
          <w:divBdr>
            <w:top w:val="none" w:sz="0" w:space="0" w:color="auto"/>
            <w:left w:val="none" w:sz="0" w:space="0" w:color="auto"/>
            <w:bottom w:val="none" w:sz="0" w:space="0" w:color="auto"/>
            <w:right w:val="none" w:sz="0" w:space="0" w:color="auto"/>
          </w:divBdr>
        </w:div>
        <w:div w:id="55666647">
          <w:marLeft w:val="0"/>
          <w:marRight w:val="0"/>
          <w:marTop w:val="0"/>
          <w:marBottom w:val="0"/>
          <w:divBdr>
            <w:top w:val="none" w:sz="0" w:space="0" w:color="auto"/>
            <w:left w:val="none" w:sz="0" w:space="0" w:color="auto"/>
            <w:bottom w:val="none" w:sz="0" w:space="0" w:color="auto"/>
            <w:right w:val="none" w:sz="0" w:space="0" w:color="auto"/>
          </w:divBdr>
        </w:div>
        <w:div w:id="1104151676">
          <w:marLeft w:val="0"/>
          <w:marRight w:val="0"/>
          <w:marTop w:val="0"/>
          <w:marBottom w:val="0"/>
          <w:divBdr>
            <w:top w:val="none" w:sz="0" w:space="0" w:color="auto"/>
            <w:left w:val="none" w:sz="0" w:space="0" w:color="auto"/>
            <w:bottom w:val="none" w:sz="0" w:space="0" w:color="auto"/>
            <w:right w:val="none" w:sz="0" w:space="0" w:color="auto"/>
          </w:divBdr>
        </w:div>
        <w:div w:id="206374923">
          <w:marLeft w:val="0"/>
          <w:marRight w:val="0"/>
          <w:marTop w:val="0"/>
          <w:marBottom w:val="0"/>
          <w:divBdr>
            <w:top w:val="none" w:sz="0" w:space="0" w:color="auto"/>
            <w:left w:val="none" w:sz="0" w:space="0" w:color="auto"/>
            <w:bottom w:val="none" w:sz="0" w:space="0" w:color="auto"/>
            <w:right w:val="none" w:sz="0" w:space="0" w:color="auto"/>
          </w:divBdr>
        </w:div>
        <w:div w:id="325400295">
          <w:marLeft w:val="0"/>
          <w:marRight w:val="0"/>
          <w:marTop w:val="0"/>
          <w:marBottom w:val="0"/>
          <w:divBdr>
            <w:top w:val="none" w:sz="0" w:space="0" w:color="auto"/>
            <w:left w:val="none" w:sz="0" w:space="0" w:color="auto"/>
            <w:bottom w:val="none" w:sz="0" w:space="0" w:color="auto"/>
            <w:right w:val="none" w:sz="0" w:space="0" w:color="auto"/>
          </w:divBdr>
        </w:div>
        <w:div w:id="1531650419">
          <w:marLeft w:val="0"/>
          <w:marRight w:val="0"/>
          <w:marTop w:val="0"/>
          <w:marBottom w:val="0"/>
          <w:divBdr>
            <w:top w:val="none" w:sz="0" w:space="0" w:color="auto"/>
            <w:left w:val="none" w:sz="0" w:space="0" w:color="auto"/>
            <w:bottom w:val="none" w:sz="0" w:space="0" w:color="auto"/>
            <w:right w:val="none" w:sz="0" w:space="0" w:color="auto"/>
          </w:divBdr>
        </w:div>
        <w:div w:id="1531649130">
          <w:marLeft w:val="0"/>
          <w:marRight w:val="0"/>
          <w:marTop w:val="0"/>
          <w:marBottom w:val="0"/>
          <w:divBdr>
            <w:top w:val="none" w:sz="0" w:space="0" w:color="auto"/>
            <w:left w:val="none" w:sz="0" w:space="0" w:color="auto"/>
            <w:bottom w:val="none" w:sz="0" w:space="0" w:color="auto"/>
            <w:right w:val="none" w:sz="0" w:space="0" w:color="auto"/>
          </w:divBdr>
        </w:div>
        <w:div w:id="356850294">
          <w:marLeft w:val="0"/>
          <w:marRight w:val="0"/>
          <w:marTop w:val="0"/>
          <w:marBottom w:val="0"/>
          <w:divBdr>
            <w:top w:val="none" w:sz="0" w:space="0" w:color="auto"/>
            <w:left w:val="none" w:sz="0" w:space="0" w:color="auto"/>
            <w:bottom w:val="none" w:sz="0" w:space="0" w:color="auto"/>
            <w:right w:val="none" w:sz="0" w:space="0" w:color="auto"/>
          </w:divBdr>
        </w:div>
        <w:div w:id="668756443">
          <w:marLeft w:val="0"/>
          <w:marRight w:val="0"/>
          <w:marTop w:val="0"/>
          <w:marBottom w:val="0"/>
          <w:divBdr>
            <w:top w:val="none" w:sz="0" w:space="0" w:color="auto"/>
            <w:left w:val="none" w:sz="0" w:space="0" w:color="auto"/>
            <w:bottom w:val="none" w:sz="0" w:space="0" w:color="auto"/>
            <w:right w:val="none" w:sz="0" w:space="0" w:color="auto"/>
          </w:divBdr>
        </w:div>
        <w:div w:id="777719917">
          <w:marLeft w:val="0"/>
          <w:marRight w:val="0"/>
          <w:marTop w:val="0"/>
          <w:marBottom w:val="0"/>
          <w:divBdr>
            <w:top w:val="none" w:sz="0" w:space="0" w:color="auto"/>
            <w:left w:val="none" w:sz="0" w:space="0" w:color="auto"/>
            <w:bottom w:val="none" w:sz="0" w:space="0" w:color="auto"/>
            <w:right w:val="none" w:sz="0" w:space="0" w:color="auto"/>
          </w:divBdr>
        </w:div>
        <w:div w:id="836456003">
          <w:marLeft w:val="0"/>
          <w:marRight w:val="0"/>
          <w:marTop w:val="0"/>
          <w:marBottom w:val="0"/>
          <w:divBdr>
            <w:top w:val="none" w:sz="0" w:space="0" w:color="auto"/>
            <w:left w:val="none" w:sz="0" w:space="0" w:color="auto"/>
            <w:bottom w:val="none" w:sz="0" w:space="0" w:color="auto"/>
            <w:right w:val="none" w:sz="0" w:space="0" w:color="auto"/>
          </w:divBdr>
        </w:div>
        <w:div w:id="1846749254">
          <w:marLeft w:val="0"/>
          <w:marRight w:val="0"/>
          <w:marTop w:val="0"/>
          <w:marBottom w:val="0"/>
          <w:divBdr>
            <w:top w:val="none" w:sz="0" w:space="0" w:color="auto"/>
            <w:left w:val="none" w:sz="0" w:space="0" w:color="auto"/>
            <w:bottom w:val="none" w:sz="0" w:space="0" w:color="auto"/>
            <w:right w:val="none" w:sz="0" w:space="0" w:color="auto"/>
          </w:divBdr>
        </w:div>
        <w:div w:id="610623842">
          <w:marLeft w:val="0"/>
          <w:marRight w:val="0"/>
          <w:marTop w:val="0"/>
          <w:marBottom w:val="0"/>
          <w:divBdr>
            <w:top w:val="none" w:sz="0" w:space="0" w:color="auto"/>
            <w:left w:val="none" w:sz="0" w:space="0" w:color="auto"/>
            <w:bottom w:val="none" w:sz="0" w:space="0" w:color="auto"/>
            <w:right w:val="none" w:sz="0" w:space="0" w:color="auto"/>
          </w:divBdr>
        </w:div>
        <w:div w:id="425614211">
          <w:marLeft w:val="0"/>
          <w:marRight w:val="0"/>
          <w:marTop w:val="0"/>
          <w:marBottom w:val="0"/>
          <w:divBdr>
            <w:top w:val="none" w:sz="0" w:space="0" w:color="auto"/>
            <w:left w:val="none" w:sz="0" w:space="0" w:color="auto"/>
            <w:bottom w:val="none" w:sz="0" w:space="0" w:color="auto"/>
            <w:right w:val="none" w:sz="0" w:space="0" w:color="auto"/>
          </w:divBdr>
        </w:div>
        <w:div w:id="1278829946">
          <w:marLeft w:val="0"/>
          <w:marRight w:val="0"/>
          <w:marTop w:val="0"/>
          <w:marBottom w:val="0"/>
          <w:divBdr>
            <w:top w:val="none" w:sz="0" w:space="0" w:color="auto"/>
            <w:left w:val="none" w:sz="0" w:space="0" w:color="auto"/>
            <w:bottom w:val="none" w:sz="0" w:space="0" w:color="auto"/>
            <w:right w:val="none" w:sz="0" w:space="0" w:color="auto"/>
          </w:divBdr>
        </w:div>
        <w:div w:id="555777306">
          <w:marLeft w:val="0"/>
          <w:marRight w:val="0"/>
          <w:marTop w:val="0"/>
          <w:marBottom w:val="0"/>
          <w:divBdr>
            <w:top w:val="none" w:sz="0" w:space="0" w:color="auto"/>
            <w:left w:val="none" w:sz="0" w:space="0" w:color="auto"/>
            <w:bottom w:val="none" w:sz="0" w:space="0" w:color="auto"/>
            <w:right w:val="none" w:sz="0" w:space="0" w:color="auto"/>
          </w:divBdr>
        </w:div>
        <w:div w:id="1991400205">
          <w:marLeft w:val="0"/>
          <w:marRight w:val="0"/>
          <w:marTop w:val="0"/>
          <w:marBottom w:val="0"/>
          <w:divBdr>
            <w:top w:val="none" w:sz="0" w:space="0" w:color="auto"/>
            <w:left w:val="none" w:sz="0" w:space="0" w:color="auto"/>
            <w:bottom w:val="none" w:sz="0" w:space="0" w:color="auto"/>
            <w:right w:val="none" w:sz="0" w:space="0" w:color="auto"/>
          </w:divBdr>
        </w:div>
        <w:div w:id="531194146">
          <w:marLeft w:val="0"/>
          <w:marRight w:val="0"/>
          <w:marTop w:val="0"/>
          <w:marBottom w:val="0"/>
          <w:divBdr>
            <w:top w:val="none" w:sz="0" w:space="0" w:color="auto"/>
            <w:left w:val="none" w:sz="0" w:space="0" w:color="auto"/>
            <w:bottom w:val="none" w:sz="0" w:space="0" w:color="auto"/>
            <w:right w:val="none" w:sz="0" w:space="0" w:color="auto"/>
          </w:divBdr>
        </w:div>
        <w:div w:id="1857961551">
          <w:marLeft w:val="0"/>
          <w:marRight w:val="0"/>
          <w:marTop w:val="0"/>
          <w:marBottom w:val="0"/>
          <w:divBdr>
            <w:top w:val="none" w:sz="0" w:space="0" w:color="auto"/>
            <w:left w:val="none" w:sz="0" w:space="0" w:color="auto"/>
            <w:bottom w:val="none" w:sz="0" w:space="0" w:color="auto"/>
            <w:right w:val="none" w:sz="0" w:space="0" w:color="auto"/>
          </w:divBdr>
        </w:div>
        <w:div w:id="1726374712">
          <w:marLeft w:val="0"/>
          <w:marRight w:val="0"/>
          <w:marTop w:val="0"/>
          <w:marBottom w:val="0"/>
          <w:divBdr>
            <w:top w:val="none" w:sz="0" w:space="0" w:color="auto"/>
            <w:left w:val="none" w:sz="0" w:space="0" w:color="auto"/>
            <w:bottom w:val="none" w:sz="0" w:space="0" w:color="auto"/>
            <w:right w:val="none" w:sz="0" w:space="0" w:color="auto"/>
          </w:divBdr>
        </w:div>
        <w:div w:id="2024699317">
          <w:marLeft w:val="0"/>
          <w:marRight w:val="0"/>
          <w:marTop w:val="0"/>
          <w:marBottom w:val="0"/>
          <w:divBdr>
            <w:top w:val="none" w:sz="0" w:space="0" w:color="auto"/>
            <w:left w:val="none" w:sz="0" w:space="0" w:color="auto"/>
            <w:bottom w:val="none" w:sz="0" w:space="0" w:color="auto"/>
            <w:right w:val="none" w:sz="0" w:space="0" w:color="auto"/>
          </w:divBdr>
        </w:div>
        <w:div w:id="1016879970">
          <w:marLeft w:val="0"/>
          <w:marRight w:val="0"/>
          <w:marTop w:val="0"/>
          <w:marBottom w:val="0"/>
          <w:divBdr>
            <w:top w:val="none" w:sz="0" w:space="0" w:color="auto"/>
            <w:left w:val="none" w:sz="0" w:space="0" w:color="auto"/>
            <w:bottom w:val="none" w:sz="0" w:space="0" w:color="auto"/>
            <w:right w:val="none" w:sz="0" w:space="0" w:color="auto"/>
          </w:divBdr>
        </w:div>
        <w:div w:id="1615819639">
          <w:marLeft w:val="0"/>
          <w:marRight w:val="0"/>
          <w:marTop w:val="0"/>
          <w:marBottom w:val="0"/>
          <w:divBdr>
            <w:top w:val="none" w:sz="0" w:space="0" w:color="auto"/>
            <w:left w:val="none" w:sz="0" w:space="0" w:color="auto"/>
            <w:bottom w:val="none" w:sz="0" w:space="0" w:color="auto"/>
            <w:right w:val="none" w:sz="0" w:space="0" w:color="auto"/>
          </w:divBdr>
        </w:div>
        <w:div w:id="1007900228">
          <w:marLeft w:val="0"/>
          <w:marRight w:val="0"/>
          <w:marTop w:val="0"/>
          <w:marBottom w:val="0"/>
          <w:divBdr>
            <w:top w:val="none" w:sz="0" w:space="0" w:color="auto"/>
            <w:left w:val="none" w:sz="0" w:space="0" w:color="auto"/>
            <w:bottom w:val="none" w:sz="0" w:space="0" w:color="auto"/>
            <w:right w:val="none" w:sz="0" w:space="0" w:color="auto"/>
          </w:divBdr>
        </w:div>
        <w:div w:id="2110152848">
          <w:marLeft w:val="0"/>
          <w:marRight w:val="0"/>
          <w:marTop w:val="0"/>
          <w:marBottom w:val="0"/>
          <w:divBdr>
            <w:top w:val="none" w:sz="0" w:space="0" w:color="auto"/>
            <w:left w:val="none" w:sz="0" w:space="0" w:color="auto"/>
            <w:bottom w:val="none" w:sz="0" w:space="0" w:color="auto"/>
            <w:right w:val="none" w:sz="0" w:space="0" w:color="auto"/>
          </w:divBdr>
        </w:div>
        <w:div w:id="695158839">
          <w:marLeft w:val="0"/>
          <w:marRight w:val="0"/>
          <w:marTop w:val="0"/>
          <w:marBottom w:val="0"/>
          <w:divBdr>
            <w:top w:val="none" w:sz="0" w:space="0" w:color="auto"/>
            <w:left w:val="none" w:sz="0" w:space="0" w:color="auto"/>
            <w:bottom w:val="none" w:sz="0" w:space="0" w:color="auto"/>
            <w:right w:val="none" w:sz="0" w:space="0" w:color="auto"/>
          </w:divBdr>
        </w:div>
        <w:div w:id="2079588618">
          <w:marLeft w:val="0"/>
          <w:marRight w:val="0"/>
          <w:marTop w:val="0"/>
          <w:marBottom w:val="0"/>
          <w:divBdr>
            <w:top w:val="none" w:sz="0" w:space="0" w:color="auto"/>
            <w:left w:val="none" w:sz="0" w:space="0" w:color="auto"/>
            <w:bottom w:val="none" w:sz="0" w:space="0" w:color="auto"/>
            <w:right w:val="none" w:sz="0" w:space="0" w:color="auto"/>
          </w:divBdr>
        </w:div>
        <w:div w:id="1802922453">
          <w:marLeft w:val="0"/>
          <w:marRight w:val="0"/>
          <w:marTop w:val="0"/>
          <w:marBottom w:val="0"/>
          <w:divBdr>
            <w:top w:val="none" w:sz="0" w:space="0" w:color="auto"/>
            <w:left w:val="none" w:sz="0" w:space="0" w:color="auto"/>
            <w:bottom w:val="none" w:sz="0" w:space="0" w:color="auto"/>
            <w:right w:val="none" w:sz="0" w:space="0" w:color="auto"/>
          </w:divBdr>
        </w:div>
        <w:div w:id="620302860">
          <w:marLeft w:val="0"/>
          <w:marRight w:val="0"/>
          <w:marTop w:val="0"/>
          <w:marBottom w:val="0"/>
          <w:divBdr>
            <w:top w:val="none" w:sz="0" w:space="0" w:color="auto"/>
            <w:left w:val="none" w:sz="0" w:space="0" w:color="auto"/>
            <w:bottom w:val="none" w:sz="0" w:space="0" w:color="auto"/>
            <w:right w:val="none" w:sz="0" w:space="0" w:color="auto"/>
          </w:divBdr>
        </w:div>
        <w:div w:id="1805535979">
          <w:marLeft w:val="0"/>
          <w:marRight w:val="0"/>
          <w:marTop w:val="0"/>
          <w:marBottom w:val="0"/>
          <w:divBdr>
            <w:top w:val="none" w:sz="0" w:space="0" w:color="auto"/>
            <w:left w:val="none" w:sz="0" w:space="0" w:color="auto"/>
            <w:bottom w:val="none" w:sz="0" w:space="0" w:color="auto"/>
            <w:right w:val="none" w:sz="0" w:space="0" w:color="auto"/>
          </w:divBdr>
        </w:div>
        <w:div w:id="1148520114">
          <w:marLeft w:val="0"/>
          <w:marRight w:val="0"/>
          <w:marTop w:val="0"/>
          <w:marBottom w:val="0"/>
          <w:divBdr>
            <w:top w:val="none" w:sz="0" w:space="0" w:color="auto"/>
            <w:left w:val="none" w:sz="0" w:space="0" w:color="auto"/>
            <w:bottom w:val="none" w:sz="0" w:space="0" w:color="auto"/>
            <w:right w:val="none" w:sz="0" w:space="0" w:color="auto"/>
          </w:divBdr>
        </w:div>
        <w:div w:id="1834032303">
          <w:marLeft w:val="0"/>
          <w:marRight w:val="0"/>
          <w:marTop w:val="0"/>
          <w:marBottom w:val="0"/>
          <w:divBdr>
            <w:top w:val="none" w:sz="0" w:space="0" w:color="auto"/>
            <w:left w:val="none" w:sz="0" w:space="0" w:color="auto"/>
            <w:bottom w:val="none" w:sz="0" w:space="0" w:color="auto"/>
            <w:right w:val="none" w:sz="0" w:space="0" w:color="auto"/>
          </w:divBdr>
        </w:div>
        <w:div w:id="1925650101">
          <w:marLeft w:val="0"/>
          <w:marRight w:val="0"/>
          <w:marTop w:val="0"/>
          <w:marBottom w:val="0"/>
          <w:divBdr>
            <w:top w:val="none" w:sz="0" w:space="0" w:color="auto"/>
            <w:left w:val="none" w:sz="0" w:space="0" w:color="auto"/>
            <w:bottom w:val="none" w:sz="0" w:space="0" w:color="auto"/>
            <w:right w:val="none" w:sz="0" w:space="0" w:color="auto"/>
          </w:divBdr>
        </w:div>
        <w:div w:id="576865869">
          <w:marLeft w:val="0"/>
          <w:marRight w:val="0"/>
          <w:marTop w:val="0"/>
          <w:marBottom w:val="0"/>
          <w:divBdr>
            <w:top w:val="none" w:sz="0" w:space="0" w:color="auto"/>
            <w:left w:val="none" w:sz="0" w:space="0" w:color="auto"/>
            <w:bottom w:val="none" w:sz="0" w:space="0" w:color="auto"/>
            <w:right w:val="none" w:sz="0" w:space="0" w:color="auto"/>
          </w:divBdr>
        </w:div>
        <w:div w:id="198277365">
          <w:marLeft w:val="0"/>
          <w:marRight w:val="0"/>
          <w:marTop w:val="0"/>
          <w:marBottom w:val="0"/>
          <w:divBdr>
            <w:top w:val="none" w:sz="0" w:space="0" w:color="auto"/>
            <w:left w:val="none" w:sz="0" w:space="0" w:color="auto"/>
            <w:bottom w:val="none" w:sz="0" w:space="0" w:color="auto"/>
            <w:right w:val="none" w:sz="0" w:space="0" w:color="auto"/>
          </w:divBdr>
        </w:div>
        <w:div w:id="108165732">
          <w:marLeft w:val="0"/>
          <w:marRight w:val="0"/>
          <w:marTop w:val="0"/>
          <w:marBottom w:val="0"/>
          <w:divBdr>
            <w:top w:val="none" w:sz="0" w:space="0" w:color="auto"/>
            <w:left w:val="none" w:sz="0" w:space="0" w:color="auto"/>
            <w:bottom w:val="none" w:sz="0" w:space="0" w:color="auto"/>
            <w:right w:val="none" w:sz="0" w:space="0" w:color="auto"/>
          </w:divBdr>
        </w:div>
        <w:div w:id="149950319">
          <w:marLeft w:val="0"/>
          <w:marRight w:val="0"/>
          <w:marTop w:val="0"/>
          <w:marBottom w:val="0"/>
          <w:divBdr>
            <w:top w:val="none" w:sz="0" w:space="0" w:color="auto"/>
            <w:left w:val="none" w:sz="0" w:space="0" w:color="auto"/>
            <w:bottom w:val="none" w:sz="0" w:space="0" w:color="auto"/>
            <w:right w:val="none" w:sz="0" w:space="0" w:color="auto"/>
          </w:divBdr>
        </w:div>
        <w:div w:id="469707621">
          <w:marLeft w:val="0"/>
          <w:marRight w:val="0"/>
          <w:marTop w:val="0"/>
          <w:marBottom w:val="0"/>
          <w:divBdr>
            <w:top w:val="none" w:sz="0" w:space="0" w:color="auto"/>
            <w:left w:val="none" w:sz="0" w:space="0" w:color="auto"/>
            <w:bottom w:val="none" w:sz="0" w:space="0" w:color="auto"/>
            <w:right w:val="none" w:sz="0" w:space="0" w:color="auto"/>
          </w:divBdr>
        </w:div>
        <w:div w:id="1732070956">
          <w:marLeft w:val="0"/>
          <w:marRight w:val="0"/>
          <w:marTop w:val="0"/>
          <w:marBottom w:val="0"/>
          <w:divBdr>
            <w:top w:val="none" w:sz="0" w:space="0" w:color="auto"/>
            <w:left w:val="none" w:sz="0" w:space="0" w:color="auto"/>
            <w:bottom w:val="none" w:sz="0" w:space="0" w:color="auto"/>
            <w:right w:val="none" w:sz="0" w:space="0" w:color="auto"/>
          </w:divBdr>
        </w:div>
        <w:div w:id="2054841730">
          <w:marLeft w:val="0"/>
          <w:marRight w:val="0"/>
          <w:marTop w:val="0"/>
          <w:marBottom w:val="0"/>
          <w:divBdr>
            <w:top w:val="none" w:sz="0" w:space="0" w:color="auto"/>
            <w:left w:val="none" w:sz="0" w:space="0" w:color="auto"/>
            <w:bottom w:val="none" w:sz="0" w:space="0" w:color="auto"/>
            <w:right w:val="none" w:sz="0" w:space="0" w:color="auto"/>
          </w:divBdr>
        </w:div>
        <w:div w:id="1425372422">
          <w:marLeft w:val="0"/>
          <w:marRight w:val="0"/>
          <w:marTop w:val="0"/>
          <w:marBottom w:val="0"/>
          <w:divBdr>
            <w:top w:val="none" w:sz="0" w:space="0" w:color="auto"/>
            <w:left w:val="none" w:sz="0" w:space="0" w:color="auto"/>
            <w:bottom w:val="none" w:sz="0" w:space="0" w:color="auto"/>
            <w:right w:val="none" w:sz="0" w:space="0" w:color="auto"/>
          </w:divBdr>
        </w:div>
        <w:div w:id="381054355">
          <w:marLeft w:val="0"/>
          <w:marRight w:val="0"/>
          <w:marTop w:val="0"/>
          <w:marBottom w:val="0"/>
          <w:divBdr>
            <w:top w:val="none" w:sz="0" w:space="0" w:color="auto"/>
            <w:left w:val="none" w:sz="0" w:space="0" w:color="auto"/>
            <w:bottom w:val="none" w:sz="0" w:space="0" w:color="auto"/>
            <w:right w:val="none" w:sz="0" w:space="0" w:color="auto"/>
          </w:divBdr>
        </w:div>
        <w:div w:id="1043482187">
          <w:marLeft w:val="0"/>
          <w:marRight w:val="0"/>
          <w:marTop w:val="0"/>
          <w:marBottom w:val="0"/>
          <w:divBdr>
            <w:top w:val="none" w:sz="0" w:space="0" w:color="auto"/>
            <w:left w:val="none" w:sz="0" w:space="0" w:color="auto"/>
            <w:bottom w:val="none" w:sz="0" w:space="0" w:color="auto"/>
            <w:right w:val="none" w:sz="0" w:space="0" w:color="auto"/>
          </w:divBdr>
        </w:div>
        <w:div w:id="1070998721">
          <w:marLeft w:val="0"/>
          <w:marRight w:val="0"/>
          <w:marTop w:val="0"/>
          <w:marBottom w:val="0"/>
          <w:divBdr>
            <w:top w:val="none" w:sz="0" w:space="0" w:color="auto"/>
            <w:left w:val="none" w:sz="0" w:space="0" w:color="auto"/>
            <w:bottom w:val="none" w:sz="0" w:space="0" w:color="auto"/>
            <w:right w:val="none" w:sz="0" w:space="0" w:color="auto"/>
          </w:divBdr>
        </w:div>
        <w:div w:id="192545803">
          <w:marLeft w:val="0"/>
          <w:marRight w:val="0"/>
          <w:marTop w:val="0"/>
          <w:marBottom w:val="0"/>
          <w:divBdr>
            <w:top w:val="none" w:sz="0" w:space="0" w:color="auto"/>
            <w:left w:val="none" w:sz="0" w:space="0" w:color="auto"/>
            <w:bottom w:val="none" w:sz="0" w:space="0" w:color="auto"/>
            <w:right w:val="none" w:sz="0" w:space="0" w:color="auto"/>
          </w:divBdr>
        </w:div>
        <w:div w:id="613296013">
          <w:marLeft w:val="0"/>
          <w:marRight w:val="0"/>
          <w:marTop w:val="0"/>
          <w:marBottom w:val="0"/>
          <w:divBdr>
            <w:top w:val="none" w:sz="0" w:space="0" w:color="auto"/>
            <w:left w:val="none" w:sz="0" w:space="0" w:color="auto"/>
            <w:bottom w:val="none" w:sz="0" w:space="0" w:color="auto"/>
            <w:right w:val="none" w:sz="0" w:space="0" w:color="auto"/>
          </w:divBdr>
        </w:div>
        <w:div w:id="1854489571">
          <w:marLeft w:val="0"/>
          <w:marRight w:val="0"/>
          <w:marTop w:val="0"/>
          <w:marBottom w:val="0"/>
          <w:divBdr>
            <w:top w:val="none" w:sz="0" w:space="0" w:color="auto"/>
            <w:left w:val="none" w:sz="0" w:space="0" w:color="auto"/>
            <w:bottom w:val="none" w:sz="0" w:space="0" w:color="auto"/>
            <w:right w:val="none" w:sz="0" w:space="0" w:color="auto"/>
          </w:divBdr>
        </w:div>
        <w:div w:id="114369990">
          <w:marLeft w:val="0"/>
          <w:marRight w:val="0"/>
          <w:marTop w:val="0"/>
          <w:marBottom w:val="0"/>
          <w:divBdr>
            <w:top w:val="none" w:sz="0" w:space="0" w:color="auto"/>
            <w:left w:val="none" w:sz="0" w:space="0" w:color="auto"/>
            <w:bottom w:val="none" w:sz="0" w:space="0" w:color="auto"/>
            <w:right w:val="none" w:sz="0" w:space="0" w:color="auto"/>
          </w:divBdr>
        </w:div>
        <w:div w:id="648746804">
          <w:marLeft w:val="0"/>
          <w:marRight w:val="0"/>
          <w:marTop w:val="0"/>
          <w:marBottom w:val="0"/>
          <w:divBdr>
            <w:top w:val="none" w:sz="0" w:space="0" w:color="auto"/>
            <w:left w:val="none" w:sz="0" w:space="0" w:color="auto"/>
            <w:bottom w:val="none" w:sz="0" w:space="0" w:color="auto"/>
            <w:right w:val="none" w:sz="0" w:space="0" w:color="auto"/>
          </w:divBdr>
        </w:div>
        <w:div w:id="666664870">
          <w:marLeft w:val="0"/>
          <w:marRight w:val="0"/>
          <w:marTop w:val="0"/>
          <w:marBottom w:val="0"/>
          <w:divBdr>
            <w:top w:val="none" w:sz="0" w:space="0" w:color="auto"/>
            <w:left w:val="none" w:sz="0" w:space="0" w:color="auto"/>
            <w:bottom w:val="none" w:sz="0" w:space="0" w:color="auto"/>
            <w:right w:val="none" w:sz="0" w:space="0" w:color="auto"/>
          </w:divBdr>
        </w:div>
        <w:div w:id="742339094">
          <w:marLeft w:val="0"/>
          <w:marRight w:val="0"/>
          <w:marTop w:val="0"/>
          <w:marBottom w:val="0"/>
          <w:divBdr>
            <w:top w:val="none" w:sz="0" w:space="0" w:color="auto"/>
            <w:left w:val="none" w:sz="0" w:space="0" w:color="auto"/>
            <w:bottom w:val="none" w:sz="0" w:space="0" w:color="auto"/>
            <w:right w:val="none" w:sz="0" w:space="0" w:color="auto"/>
          </w:divBdr>
        </w:div>
        <w:div w:id="496724526">
          <w:marLeft w:val="0"/>
          <w:marRight w:val="0"/>
          <w:marTop w:val="0"/>
          <w:marBottom w:val="0"/>
          <w:divBdr>
            <w:top w:val="none" w:sz="0" w:space="0" w:color="auto"/>
            <w:left w:val="none" w:sz="0" w:space="0" w:color="auto"/>
            <w:bottom w:val="none" w:sz="0" w:space="0" w:color="auto"/>
            <w:right w:val="none" w:sz="0" w:space="0" w:color="auto"/>
          </w:divBdr>
        </w:div>
        <w:div w:id="451099776">
          <w:marLeft w:val="0"/>
          <w:marRight w:val="0"/>
          <w:marTop w:val="0"/>
          <w:marBottom w:val="0"/>
          <w:divBdr>
            <w:top w:val="none" w:sz="0" w:space="0" w:color="auto"/>
            <w:left w:val="none" w:sz="0" w:space="0" w:color="auto"/>
            <w:bottom w:val="none" w:sz="0" w:space="0" w:color="auto"/>
            <w:right w:val="none" w:sz="0" w:space="0" w:color="auto"/>
          </w:divBdr>
        </w:div>
        <w:div w:id="491603816">
          <w:marLeft w:val="0"/>
          <w:marRight w:val="0"/>
          <w:marTop w:val="0"/>
          <w:marBottom w:val="0"/>
          <w:divBdr>
            <w:top w:val="none" w:sz="0" w:space="0" w:color="auto"/>
            <w:left w:val="none" w:sz="0" w:space="0" w:color="auto"/>
            <w:bottom w:val="none" w:sz="0" w:space="0" w:color="auto"/>
            <w:right w:val="none" w:sz="0" w:space="0" w:color="auto"/>
          </w:divBdr>
        </w:div>
        <w:div w:id="2058965551">
          <w:marLeft w:val="0"/>
          <w:marRight w:val="0"/>
          <w:marTop w:val="0"/>
          <w:marBottom w:val="0"/>
          <w:divBdr>
            <w:top w:val="none" w:sz="0" w:space="0" w:color="auto"/>
            <w:left w:val="none" w:sz="0" w:space="0" w:color="auto"/>
            <w:bottom w:val="none" w:sz="0" w:space="0" w:color="auto"/>
            <w:right w:val="none" w:sz="0" w:space="0" w:color="auto"/>
          </w:divBdr>
        </w:div>
        <w:div w:id="19554610">
          <w:marLeft w:val="0"/>
          <w:marRight w:val="0"/>
          <w:marTop w:val="0"/>
          <w:marBottom w:val="0"/>
          <w:divBdr>
            <w:top w:val="none" w:sz="0" w:space="0" w:color="auto"/>
            <w:left w:val="none" w:sz="0" w:space="0" w:color="auto"/>
            <w:bottom w:val="none" w:sz="0" w:space="0" w:color="auto"/>
            <w:right w:val="none" w:sz="0" w:space="0" w:color="auto"/>
          </w:divBdr>
        </w:div>
        <w:div w:id="1914005948">
          <w:marLeft w:val="0"/>
          <w:marRight w:val="0"/>
          <w:marTop w:val="0"/>
          <w:marBottom w:val="0"/>
          <w:divBdr>
            <w:top w:val="none" w:sz="0" w:space="0" w:color="auto"/>
            <w:left w:val="none" w:sz="0" w:space="0" w:color="auto"/>
            <w:bottom w:val="none" w:sz="0" w:space="0" w:color="auto"/>
            <w:right w:val="none" w:sz="0" w:space="0" w:color="auto"/>
          </w:divBdr>
        </w:div>
        <w:div w:id="37240249">
          <w:marLeft w:val="0"/>
          <w:marRight w:val="0"/>
          <w:marTop w:val="0"/>
          <w:marBottom w:val="0"/>
          <w:divBdr>
            <w:top w:val="none" w:sz="0" w:space="0" w:color="auto"/>
            <w:left w:val="none" w:sz="0" w:space="0" w:color="auto"/>
            <w:bottom w:val="none" w:sz="0" w:space="0" w:color="auto"/>
            <w:right w:val="none" w:sz="0" w:space="0" w:color="auto"/>
          </w:divBdr>
        </w:div>
        <w:div w:id="1824931701">
          <w:marLeft w:val="0"/>
          <w:marRight w:val="0"/>
          <w:marTop w:val="0"/>
          <w:marBottom w:val="0"/>
          <w:divBdr>
            <w:top w:val="none" w:sz="0" w:space="0" w:color="auto"/>
            <w:left w:val="none" w:sz="0" w:space="0" w:color="auto"/>
            <w:bottom w:val="none" w:sz="0" w:space="0" w:color="auto"/>
            <w:right w:val="none" w:sz="0" w:space="0" w:color="auto"/>
          </w:divBdr>
        </w:div>
        <w:div w:id="387999832">
          <w:marLeft w:val="0"/>
          <w:marRight w:val="0"/>
          <w:marTop w:val="0"/>
          <w:marBottom w:val="0"/>
          <w:divBdr>
            <w:top w:val="none" w:sz="0" w:space="0" w:color="auto"/>
            <w:left w:val="none" w:sz="0" w:space="0" w:color="auto"/>
            <w:bottom w:val="none" w:sz="0" w:space="0" w:color="auto"/>
            <w:right w:val="none" w:sz="0" w:space="0" w:color="auto"/>
          </w:divBdr>
        </w:div>
        <w:div w:id="770202336">
          <w:marLeft w:val="0"/>
          <w:marRight w:val="0"/>
          <w:marTop w:val="0"/>
          <w:marBottom w:val="0"/>
          <w:divBdr>
            <w:top w:val="none" w:sz="0" w:space="0" w:color="auto"/>
            <w:left w:val="none" w:sz="0" w:space="0" w:color="auto"/>
            <w:bottom w:val="none" w:sz="0" w:space="0" w:color="auto"/>
            <w:right w:val="none" w:sz="0" w:space="0" w:color="auto"/>
          </w:divBdr>
        </w:div>
        <w:div w:id="1766263574">
          <w:marLeft w:val="0"/>
          <w:marRight w:val="0"/>
          <w:marTop w:val="0"/>
          <w:marBottom w:val="0"/>
          <w:divBdr>
            <w:top w:val="none" w:sz="0" w:space="0" w:color="auto"/>
            <w:left w:val="none" w:sz="0" w:space="0" w:color="auto"/>
            <w:bottom w:val="none" w:sz="0" w:space="0" w:color="auto"/>
            <w:right w:val="none" w:sz="0" w:space="0" w:color="auto"/>
          </w:divBdr>
        </w:div>
        <w:div w:id="1732800554">
          <w:marLeft w:val="0"/>
          <w:marRight w:val="0"/>
          <w:marTop w:val="0"/>
          <w:marBottom w:val="0"/>
          <w:divBdr>
            <w:top w:val="none" w:sz="0" w:space="0" w:color="auto"/>
            <w:left w:val="none" w:sz="0" w:space="0" w:color="auto"/>
            <w:bottom w:val="none" w:sz="0" w:space="0" w:color="auto"/>
            <w:right w:val="none" w:sz="0" w:space="0" w:color="auto"/>
          </w:divBdr>
        </w:div>
        <w:div w:id="879130798">
          <w:marLeft w:val="0"/>
          <w:marRight w:val="0"/>
          <w:marTop w:val="0"/>
          <w:marBottom w:val="0"/>
          <w:divBdr>
            <w:top w:val="none" w:sz="0" w:space="0" w:color="auto"/>
            <w:left w:val="none" w:sz="0" w:space="0" w:color="auto"/>
            <w:bottom w:val="none" w:sz="0" w:space="0" w:color="auto"/>
            <w:right w:val="none" w:sz="0" w:space="0" w:color="auto"/>
          </w:divBdr>
        </w:div>
        <w:div w:id="1555770777">
          <w:marLeft w:val="0"/>
          <w:marRight w:val="0"/>
          <w:marTop w:val="0"/>
          <w:marBottom w:val="0"/>
          <w:divBdr>
            <w:top w:val="none" w:sz="0" w:space="0" w:color="auto"/>
            <w:left w:val="none" w:sz="0" w:space="0" w:color="auto"/>
            <w:bottom w:val="none" w:sz="0" w:space="0" w:color="auto"/>
            <w:right w:val="none" w:sz="0" w:space="0" w:color="auto"/>
          </w:divBdr>
        </w:div>
        <w:div w:id="1538929064">
          <w:marLeft w:val="0"/>
          <w:marRight w:val="0"/>
          <w:marTop w:val="0"/>
          <w:marBottom w:val="0"/>
          <w:divBdr>
            <w:top w:val="none" w:sz="0" w:space="0" w:color="auto"/>
            <w:left w:val="none" w:sz="0" w:space="0" w:color="auto"/>
            <w:bottom w:val="none" w:sz="0" w:space="0" w:color="auto"/>
            <w:right w:val="none" w:sz="0" w:space="0" w:color="auto"/>
          </w:divBdr>
        </w:div>
        <w:div w:id="123043816">
          <w:marLeft w:val="0"/>
          <w:marRight w:val="0"/>
          <w:marTop w:val="0"/>
          <w:marBottom w:val="0"/>
          <w:divBdr>
            <w:top w:val="none" w:sz="0" w:space="0" w:color="auto"/>
            <w:left w:val="none" w:sz="0" w:space="0" w:color="auto"/>
            <w:bottom w:val="none" w:sz="0" w:space="0" w:color="auto"/>
            <w:right w:val="none" w:sz="0" w:space="0" w:color="auto"/>
          </w:divBdr>
        </w:div>
        <w:div w:id="481627365">
          <w:marLeft w:val="0"/>
          <w:marRight w:val="0"/>
          <w:marTop w:val="0"/>
          <w:marBottom w:val="0"/>
          <w:divBdr>
            <w:top w:val="none" w:sz="0" w:space="0" w:color="auto"/>
            <w:left w:val="none" w:sz="0" w:space="0" w:color="auto"/>
            <w:bottom w:val="none" w:sz="0" w:space="0" w:color="auto"/>
            <w:right w:val="none" w:sz="0" w:space="0" w:color="auto"/>
          </w:divBdr>
        </w:div>
        <w:div w:id="957445076">
          <w:marLeft w:val="0"/>
          <w:marRight w:val="0"/>
          <w:marTop w:val="0"/>
          <w:marBottom w:val="0"/>
          <w:divBdr>
            <w:top w:val="none" w:sz="0" w:space="0" w:color="auto"/>
            <w:left w:val="none" w:sz="0" w:space="0" w:color="auto"/>
            <w:bottom w:val="none" w:sz="0" w:space="0" w:color="auto"/>
            <w:right w:val="none" w:sz="0" w:space="0" w:color="auto"/>
          </w:divBdr>
        </w:div>
        <w:div w:id="763383070">
          <w:marLeft w:val="0"/>
          <w:marRight w:val="0"/>
          <w:marTop w:val="0"/>
          <w:marBottom w:val="0"/>
          <w:divBdr>
            <w:top w:val="none" w:sz="0" w:space="0" w:color="auto"/>
            <w:left w:val="none" w:sz="0" w:space="0" w:color="auto"/>
            <w:bottom w:val="none" w:sz="0" w:space="0" w:color="auto"/>
            <w:right w:val="none" w:sz="0" w:space="0" w:color="auto"/>
          </w:divBdr>
        </w:div>
        <w:div w:id="226843824">
          <w:marLeft w:val="0"/>
          <w:marRight w:val="0"/>
          <w:marTop w:val="0"/>
          <w:marBottom w:val="0"/>
          <w:divBdr>
            <w:top w:val="none" w:sz="0" w:space="0" w:color="auto"/>
            <w:left w:val="none" w:sz="0" w:space="0" w:color="auto"/>
            <w:bottom w:val="none" w:sz="0" w:space="0" w:color="auto"/>
            <w:right w:val="none" w:sz="0" w:space="0" w:color="auto"/>
          </w:divBdr>
        </w:div>
        <w:div w:id="1848249740">
          <w:marLeft w:val="0"/>
          <w:marRight w:val="0"/>
          <w:marTop w:val="0"/>
          <w:marBottom w:val="0"/>
          <w:divBdr>
            <w:top w:val="none" w:sz="0" w:space="0" w:color="auto"/>
            <w:left w:val="none" w:sz="0" w:space="0" w:color="auto"/>
            <w:bottom w:val="none" w:sz="0" w:space="0" w:color="auto"/>
            <w:right w:val="none" w:sz="0" w:space="0" w:color="auto"/>
          </w:divBdr>
        </w:div>
        <w:div w:id="757092712">
          <w:marLeft w:val="0"/>
          <w:marRight w:val="0"/>
          <w:marTop w:val="0"/>
          <w:marBottom w:val="0"/>
          <w:divBdr>
            <w:top w:val="none" w:sz="0" w:space="0" w:color="auto"/>
            <w:left w:val="none" w:sz="0" w:space="0" w:color="auto"/>
            <w:bottom w:val="none" w:sz="0" w:space="0" w:color="auto"/>
            <w:right w:val="none" w:sz="0" w:space="0" w:color="auto"/>
          </w:divBdr>
        </w:div>
        <w:div w:id="467405218">
          <w:marLeft w:val="0"/>
          <w:marRight w:val="0"/>
          <w:marTop w:val="0"/>
          <w:marBottom w:val="0"/>
          <w:divBdr>
            <w:top w:val="none" w:sz="0" w:space="0" w:color="auto"/>
            <w:left w:val="none" w:sz="0" w:space="0" w:color="auto"/>
            <w:bottom w:val="none" w:sz="0" w:space="0" w:color="auto"/>
            <w:right w:val="none" w:sz="0" w:space="0" w:color="auto"/>
          </w:divBdr>
        </w:div>
        <w:div w:id="141849023">
          <w:marLeft w:val="0"/>
          <w:marRight w:val="0"/>
          <w:marTop w:val="0"/>
          <w:marBottom w:val="0"/>
          <w:divBdr>
            <w:top w:val="none" w:sz="0" w:space="0" w:color="auto"/>
            <w:left w:val="none" w:sz="0" w:space="0" w:color="auto"/>
            <w:bottom w:val="none" w:sz="0" w:space="0" w:color="auto"/>
            <w:right w:val="none" w:sz="0" w:space="0" w:color="auto"/>
          </w:divBdr>
        </w:div>
        <w:div w:id="1637027324">
          <w:marLeft w:val="0"/>
          <w:marRight w:val="0"/>
          <w:marTop w:val="0"/>
          <w:marBottom w:val="0"/>
          <w:divBdr>
            <w:top w:val="none" w:sz="0" w:space="0" w:color="auto"/>
            <w:left w:val="none" w:sz="0" w:space="0" w:color="auto"/>
            <w:bottom w:val="none" w:sz="0" w:space="0" w:color="auto"/>
            <w:right w:val="none" w:sz="0" w:space="0" w:color="auto"/>
          </w:divBdr>
        </w:div>
        <w:div w:id="1986666646">
          <w:marLeft w:val="0"/>
          <w:marRight w:val="0"/>
          <w:marTop w:val="0"/>
          <w:marBottom w:val="0"/>
          <w:divBdr>
            <w:top w:val="none" w:sz="0" w:space="0" w:color="auto"/>
            <w:left w:val="none" w:sz="0" w:space="0" w:color="auto"/>
            <w:bottom w:val="none" w:sz="0" w:space="0" w:color="auto"/>
            <w:right w:val="none" w:sz="0" w:space="0" w:color="auto"/>
          </w:divBdr>
        </w:div>
        <w:div w:id="1035035792">
          <w:marLeft w:val="0"/>
          <w:marRight w:val="0"/>
          <w:marTop w:val="0"/>
          <w:marBottom w:val="0"/>
          <w:divBdr>
            <w:top w:val="none" w:sz="0" w:space="0" w:color="auto"/>
            <w:left w:val="none" w:sz="0" w:space="0" w:color="auto"/>
            <w:bottom w:val="none" w:sz="0" w:space="0" w:color="auto"/>
            <w:right w:val="none" w:sz="0" w:space="0" w:color="auto"/>
          </w:divBdr>
        </w:div>
        <w:div w:id="61147789">
          <w:marLeft w:val="0"/>
          <w:marRight w:val="0"/>
          <w:marTop w:val="0"/>
          <w:marBottom w:val="0"/>
          <w:divBdr>
            <w:top w:val="none" w:sz="0" w:space="0" w:color="auto"/>
            <w:left w:val="none" w:sz="0" w:space="0" w:color="auto"/>
            <w:bottom w:val="none" w:sz="0" w:space="0" w:color="auto"/>
            <w:right w:val="none" w:sz="0" w:space="0" w:color="auto"/>
          </w:divBdr>
        </w:div>
        <w:div w:id="1399088475">
          <w:marLeft w:val="0"/>
          <w:marRight w:val="0"/>
          <w:marTop w:val="0"/>
          <w:marBottom w:val="0"/>
          <w:divBdr>
            <w:top w:val="none" w:sz="0" w:space="0" w:color="auto"/>
            <w:left w:val="none" w:sz="0" w:space="0" w:color="auto"/>
            <w:bottom w:val="none" w:sz="0" w:space="0" w:color="auto"/>
            <w:right w:val="none" w:sz="0" w:space="0" w:color="auto"/>
          </w:divBdr>
        </w:div>
        <w:div w:id="1852572890">
          <w:marLeft w:val="0"/>
          <w:marRight w:val="0"/>
          <w:marTop w:val="0"/>
          <w:marBottom w:val="0"/>
          <w:divBdr>
            <w:top w:val="none" w:sz="0" w:space="0" w:color="auto"/>
            <w:left w:val="none" w:sz="0" w:space="0" w:color="auto"/>
            <w:bottom w:val="none" w:sz="0" w:space="0" w:color="auto"/>
            <w:right w:val="none" w:sz="0" w:space="0" w:color="auto"/>
          </w:divBdr>
        </w:div>
        <w:div w:id="689646841">
          <w:marLeft w:val="0"/>
          <w:marRight w:val="0"/>
          <w:marTop w:val="0"/>
          <w:marBottom w:val="0"/>
          <w:divBdr>
            <w:top w:val="none" w:sz="0" w:space="0" w:color="auto"/>
            <w:left w:val="none" w:sz="0" w:space="0" w:color="auto"/>
            <w:bottom w:val="none" w:sz="0" w:space="0" w:color="auto"/>
            <w:right w:val="none" w:sz="0" w:space="0" w:color="auto"/>
          </w:divBdr>
        </w:div>
        <w:div w:id="1601719536">
          <w:marLeft w:val="0"/>
          <w:marRight w:val="0"/>
          <w:marTop w:val="0"/>
          <w:marBottom w:val="0"/>
          <w:divBdr>
            <w:top w:val="none" w:sz="0" w:space="0" w:color="auto"/>
            <w:left w:val="none" w:sz="0" w:space="0" w:color="auto"/>
            <w:bottom w:val="none" w:sz="0" w:space="0" w:color="auto"/>
            <w:right w:val="none" w:sz="0" w:space="0" w:color="auto"/>
          </w:divBdr>
        </w:div>
        <w:div w:id="874538164">
          <w:marLeft w:val="0"/>
          <w:marRight w:val="0"/>
          <w:marTop w:val="0"/>
          <w:marBottom w:val="0"/>
          <w:divBdr>
            <w:top w:val="none" w:sz="0" w:space="0" w:color="auto"/>
            <w:left w:val="none" w:sz="0" w:space="0" w:color="auto"/>
            <w:bottom w:val="none" w:sz="0" w:space="0" w:color="auto"/>
            <w:right w:val="none" w:sz="0" w:space="0" w:color="auto"/>
          </w:divBdr>
        </w:div>
        <w:div w:id="1666518692">
          <w:marLeft w:val="0"/>
          <w:marRight w:val="0"/>
          <w:marTop w:val="0"/>
          <w:marBottom w:val="0"/>
          <w:divBdr>
            <w:top w:val="none" w:sz="0" w:space="0" w:color="auto"/>
            <w:left w:val="none" w:sz="0" w:space="0" w:color="auto"/>
            <w:bottom w:val="none" w:sz="0" w:space="0" w:color="auto"/>
            <w:right w:val="none" w:sz="0" w:space="0" w:color="auto"/>
          </w:divBdr>
        </w:div>
        <w:div w:id="892890708">
          <w:marLeft w:val="0"/>
          <w:marRight w:val="0"/>
          <w:marTop w:val="0"/>
          <w:marBottom w:val="0"/>
          <w:divBdr>
            <w:top w:val="none" w:sz="0" w:space="0" w:color="auto"/>
            <w:left w:val="none" w:sz="0" w:space="0" w:color="auto"/>
            <w:bottom w:val="none" w:sz="0" w:space="0" w:color="auto"/>
            <w:right w:val="none" w:sz="0" w:space="0" w:color="auto"/>
          </w:divBdr>
        </w:div>
        <w:div w:id="1048457704">
          <w:marLeft w:val="0"/>
          <w:marRight w:val="0"/>
          <w:marTop w:val="0"/>
          <w:marBottom w:val="0"/>
          <w:divBdr>
            <w:top w:val="none" w:sz="0" w:space="0" w:color="auto"/>
            <w:left w:val="none" w:sz="0" w:space="0" w:color="auto"/>
            <w:bottom w:val="none" w:sz="0" w:space="0" w:color="auto"/>
            <w:right w:val="none" w:sz="0" w:space="0" w:color="auto"/>
          </w:divBdr>
        </w:div>
        <w:div w:id="987244995">
          <w:marLeft w:val="0"/>
          <w:marRight w:val="0"/>
          <w:marTop w:val="0"/>
          <w:marBottom w:val="0"/>
          <w:divBdr>
            <w:top w:val="none" w:sz="0" w:space="0" w:color="auto"/>
            <w:left w:val="none" w:sz="0" w:space="0" w:color="auto"/>
            <w:bottom w:val="none" w:sz="0" w:space="0" w:color="auto"/>
            <w:right w:val="none" w:sz="0" w:space="0" w:color="auto"/>
          </w:divBdr>
        </w:div>
        <w:div w:id="989598131">
          <w:marLeft w:val="0"/>
          <w:marRight w:val="0"/>
          <w:marTop w:val="0"/>
          <w:marBottom w:val="0"/>
          <w:divBdr>
            <w:top w:val="none" w:sz="0" w:space="0" w:color="auto"/>
            <w:left w:val="none" w:sz="0" w:space="0" w:color="auto"/>
            <w:bottom w:val="none" w:sz="0" w:space="0" w:color="auto"/>
            <w:right w:val="none" w:sz="0" w:space="0" w:color="auto"/>
          </w:divBdr>
        </w:div>
        <w:div w:id="206575688">
          <w:marLeft w:val="0"/>
          <w:marRight w:val="0"/>
          <w:marTop w:val="0"/>
          <w:marBottom w:val="0"/>
          <w:divBdr>
            <w:top w:val="none" w:sz="0" w:space="0" w:color="auto"/>
            <w:left w:val="none" w:sz="0" w:space="0" w:color="auto"/>
            <w:bottom w:val="none" w:sz="0" w:space="0" w:color="auto"/>
            <w:right w:val="none" w:sz="0" w:space="0" w:color="auto"/>
          </w:divBdr>
        </w:div>
        <w:div w:id="247351226">
          <w:marLeft w:val="0"/>
          <w:marRight w:val="0"/>
          <w:marTop w:val="0"/>
          <w:marBottom w:val="0"/>
          <w:divBdr>
            <w:top w:val="none" w:sz="0" w:space="0" w:color="auto"/>
            <w:left w:val="none" w:sz="0" w:space="0" w:color="auto"/>
            <w:bottom w:val="none" w:sz="0" w:space="0" w:color="auto"/>
            <w:right w:val="none" w:sz="0" w:space="0" w:color="auto"/>
          </w:divBdr>
        </w:div>
        <w:div w:id="1016425141">
          <w:marLeft w:val="0"/>
          <w:marRight w:val="0"/>
          <w:marTop w:val="0"/>
          <w:marBottom w:val="0"/>
          <w:divBdr>
            <w:top w:val="none" w:sz="0" w:space="0" w:color="auto"/>
            <w:left w:val="none" w:sz="0" w:space="0" w:color="auto"/>
            <w:bottom w:val="none" w:sz="0" w:space="0" w:color="auto"/>
            <w:right w:val="none" w:sz="0" w:space="0" w:color="auto"/>
          </w:divBdr>
        </w:div>
        <w:div w:id="1214924875">
          <w:marLeft w:val="0"/>
          <w:marRight w:val="0"/>
          <w:marTop w:val="0"/>
          <w:marBottom w:val="0"/>
          <w:divBdr>
            <w:top w:val="none" w:sz="0" w:space="0" w:color="auto"/>
            <w:left w:val="none" w:sz="0" w:space="0" w:color="auto"/>
            <w:bottom w:val="none" w:sz="0" w:space="0" w:color="auto"/>
            <w:right w:val="none" w:sz="0" w:space="0" w:color="auto"/>
          </w:divBdr>
        </w:div>
        <w:div w:id="15934303">
          <w:marLeft w:val="0"/>
          <w:marRight w:val="0"/>
          <w:marTop w:val="0"/>
          <w:marBottom w:val="0"/>
          <w:divBdr>
            <w:top w:val="none" w:sz="0" w:space="0" w:color="auto"/>
            <w:left w:val="none" w:sz="0" w:space="0" w:color="auto"/>
            <w:bottom w:val="none" w:sz="0" w:space="0" w:color="auto"/>
            <w:right w:val="none" w:sz="0" w:space="0" w:color="auto"/>
          </w:divBdr>
        </w:div>
        <w:div w:id="2002390355">
          <w:marLeft w:val="0"/>
          <w:marRight w:val="0"/>
          <w:marTop w:val="0"/>
          <w:marBottom w:val="0"/>
          <w:divBdr>
            <w:top w:val="none" w:sz="0" w:space="0" w:color="auto"/>
            <w:left w:val="none" w:sz="0" w:space="0" w:color="auto"/>
            <w:bottom w:val="none" w:sz="0" w:space="0" w:color="auto"/>
            <w:right w:val="none" w:sz="0" w:space="0" w:color="auto"/>
          </w:divBdr>
        </w:div>
        <w:div w:id="1151602173">
          <w:marLeft w:val="0"/>
          <w:marRight w:val="0"/>
          <w:marTop w:val="0"/>
          <w:marBottom w:val="0"/>
          <w:divBdr>
            <w:top w:val="none" w:sz="0" w:space="0" w:color="auto"/>
            <w:left w:val="none" w:sz="0" w:space="0" w:color="auto"/>
            <w:bottom w:val="none" w:sz="0" w:space="0" w:color="auto"/>
            <w:right w:val="none" w:sz="0" w:space="0" w:color="auto"/>
          </w:divBdr>
        </w:div>
        <w:div w:id="782531778">
          <w:marLeft w:val="0"/>
          <w:marRight w:val="0"/>
          <w:marTop w:val="0"/>
          <w:marBottom w:val="0"/>
          <w:divBdr>
            <w:top w:val="none" w:sz="0" w:space="0" w:color="auto"/>
            <w:left w:val="none" w:sz="0" w:space="0" w:color="auto"/>
            <w:bottom w:val="none" w:sz="0" w:space="0" w:color="auto"/>
            <w:right w:val="none" w:sz="0" w:space="0" w:color="auto"/>
          </w:divBdr>
        </w:div>
        <w:div w:id="1531991772">
          <w:marLeft w:val="0"/>
          <w:marRight w:val="0"/>
          <w:marTop w:val="0"/>
          <w:marBottom w:val="0"/>
          <w:divBdr>
            <w:top w:val="none" w:sz="0" w:space="0" w:color="auto"/>
            <w:left w:val="none" w:sz="0" w:space="0" w:color="auto"/>
            <w:bottom w:val="none" w:sz="0" w:space="0" w:color="auto"/>
            <w:right w:val="none" w:sz="0" w:space="0" w:color="auto"/>
          </w:divBdr>
        </w:div>
        <w:div w:id="1410957298">
          <w:marLeft w:val="0"/>
          <w:marRight w:val="0"/>
          <w:marTop w:val="0"/>
          <w:marBottom w:val="0"/>
          <w:divBdr>
            <w:top w:val="none" w:sz="0" w:space="0" w:color="auto"/>
            <w:left w:val="none" w:sz="0" w:space="0" w:color="auto"/>
            <w:bottom w:val="none" w:sz="0" w:space="0" w:color="auto"/>
            <w:right w:val="none" w:sz="0" w:space="0" w:color="auto"/>
          </w:divBdr>
        </w:div>
        <w:div w:id="142620037">
          <w:marLeft w:val="0"/>
          <w:marRight w:val="0"/>
          <w:marTop w:val="0"/>
          <w:marBottom w:val="0"/>
          <w:divBdr>
            <w:top w:val="none" w:sz="0" w:space="0" w:color="auto"/>
            <w:left w:val="none" w:sz="0" w:space="0" w:color="auto"/>
            <w:bottom w:val="none" w:sz="0" w:space="0" w:color="auto"/>
            <w:right w:val="none" w:sz="0" w:space="0" w:color="auto"/>
          </w:divBdr>
        </w:div>
        <w:div w:id="906384788">
          <w:marLeft w:val="0"/>
          <w:marRight w:val="0"/>
          <w:marTop w:val="0"/>
          <w:marBottom w:val="0"/>
          <w:divBdr>
            <w:top w:val="none" w:sz="0" w:space="0" w:color="auto"/>
            <w:left w:val="none" w:sz="0" w:space="0" w:color="auto"/>
            <w:bottom w:val="none" w:sz="0" w:space="0" w:color="auto"/>
            <w:right w:val="none" w:sz="0" w:space="0" w:color="auto"/>
          </w:divBdr>
        </w:div>
        <w:div w:id="879393044">
          <w:marLeft w:val="0"/>
          <w:marRight w:val="0"/>
          <w:marTop w:val="0"/>
          <w:marBottom w:val="0"/>
          <w:divBdr>
            <w:top w:val="none" w:sz="0" w:space="0" w:color="auto"/>
            <w:left w:val="none" w:sz="0" w:space="0" w:color="auto"/>
            <w:bottom w:val="none" w:sz="0" w:space="0" w:color="auto"/>
            <w:right w:val="none" w:sz="0" w:space="0" w:color="auto"/>
          </w:divBdr>
        </w:div>
        <w:div w:id="774596940">
          <w:marLeft w:val="0"/>
          <w:marRight w:val="0"/>
          <w:marTop w:val="0"/>
          <w:marBottom w:val="0"/>
          <w:divBdr>
            <w:top w:val="none" w:sz="0" w:space="0" w:color="auto"/>
            <w:left w:val="none" w:sz="0" w:space="0" w:color="auto"/>
            <w:bottom w:val="none" w:sz="0" w:space="0" w:color="auto"/>
            <w:right w:val="none" w:sz="0" w:space="0" w:color="auto"/>
          </w:divBdr>
        </w:div>
        <w:div w:id="977691198">
          <w:marLeft w:val="0"/>
          <w:marRight w:val="0"/>
          <w:marTop w:val="0"/>
          <w:marBottom w:val="0"/>
          <w:divBdr>
            <w:top w:val="none" w:sz="0" w:space="0" w:color="auto"/>
            <w:left w:val="none" w:sz="0" w:space="0" w:color="auto"/>
            <w:bottom w:val="none" w:sz="0" w:space="0" w:color="auto"/>
            <w:right w:val="none" w:sz="0" w:space="0" w:color="auto"/>
          </w:divBdr>
        </w:div>
        <w:div w:id="277415588">
          <w:marLeft w:val="0"/>
          <w:marRight w:val="0"/>
          <w:marTop w:val="0"/>
          <w:marBottom w:val="0"/>
          <w:divBdr>
            <w:top w:val="none" w:sz="0" w:space="0" w:color="auto"/>
            <w:left w:val="none" w:sz="0" w:space="0" w:color="auto"/>
            <w:bottom w:val="none" w:sz="0" w:space="0" w:color="auto"/>
            <w:right w:val="none" w:sz="0" w:space="0" w:color="auto"/>
          </w:divBdr>
        </w:div>
        <w:div w:id="1119300327">
          <w:marLeft w:val="0"/>
          <w:marRight w:val="0"/>
          <w:marTop w:val="0"/>
          <w:marBottom w:val="0"/>
          <w:divBdr>
            <w:top w:val="none" w:sz="0" w:space="0" w:color="auto"/>
            <w:left w:val="none" w:sz="0" w:space="0" w:color="auto"/>
            <w:bottom w:val="none" w:sz="0" w:space="0" w:color="auto"/>
            <w:right w:val="none" w:sz="0" w:space="0" w:color="auto"/>
          </w:divBdr>
        </w:div>
        <w:div w:id="1824614652">
          <w:marLeft w:val="0"/>
          <w:marRight w:val="0"/>
          <w:marTop w:val="0"/>
          <w:marBottom w:val="0"/>
          <w:divBdr>
            <w:top w:val="none" w:sz="0" w:space="0" w:color="auto"/>
            <w:left w:val="none" w:sz="0" w:space="0" w:color="auto"/>
            <w:bottom w:val="none" w:sz="0" w:space="0" w:color="auto"/>
            <w:right w:val="none" w:sz="0" w:space="0" w:color="auto"/>
          </w:divBdr>
        </w:div>
        <w:div w:id="765462893">
          <w:marLeft w:val="0"/>
          <w:marRight w:val="0"/>
          <w:marTop w:val="0"/>
          <w:marBottom w:val="0"/>
          <w:divBdr>
            <w:top w:val="none" w:sz="0" w:space="0" w:color="auto"/>
            <w:left w:val="none" w:sz="0" w:space="0" w:color="auto"/>
            <w:bottom w:val="none" w:sz="0" w:space="0" w:color="auto"/>
            <w:right w:val="none" w:sz="0" w:space="0" w:color="auto"/>
          </w:divBdr>
        </w:div>
        <w:div w:id="463278669">
          <w:marLeft w:val="0"/>
          <w:marRight w:val="0"/>
          <w:marTop w:val="0"/>
          <w:marBottom w:val="0"/>
          <w:divBdr>
            <w:top w:val="none" w:sz="0" w:space="0" w:color="auto"/>
            <w:left w:val="none" w:sz="0" w:space="0" w:color="auto"/>
            <w:bottom w:val="none" w:sz="0" w:space="0" w:color="auto"/>
            <w:right w:val="none" w:sz="0" w:space="0" w:color="auto"/>
          </w:divBdr>
        </w:div>
        <w:div w:id="549072264">
          <w:marLeft w:val="0"/>
          <w:marRight w:val="0"/>
          <w:marTop w:val="0"/>
          <w:marBottom w:val="0"/>
          <w:divBdr>
            <w:top w:val="none" w:sz="0" w:space="0" w:color="auto"/>
            <w:left w:val="none" w:sz="0" w:space="0" w:color="auto"/>
            <w:bottom w:val="none" w:sz="0" w:space="0" w:color="auto"/>
            <w:right w:val="none" w:sz="0" w:space="0" w:color="auto"/>
          </w:divBdr>
        </w:div>
        <w:div w:id="1050767461">
          <w:marLeft w:val="0"/>
          <w:marRight w:val="0"/>
          <w:marTop w:val="0"/>
          <w:marBottom w:val="0"/>
          <w:divBdr>
            <w:top w:val="none" w:sz="0" w:space="0" w:color="auto"/>
            <w:left w:val="none" w:sz="0" w:space="0" w:color="auto"/>
            <w:bottom w:val="none" w:sz="0" w:space="0" w:color="auto"/>
            <w:right w:val="none" w:sz="0" w:space="0" w:color="auto"/>
          </w:divBdr>
        </w:div>
        <w:div w:id="2144496264">
          <w:marLeft w:val="0"/>
          <w:marRight w:val="0"/>
          <w:marTop w:val="0"/>
          <w:marBottom w:val="0"/>
          <w:divBdr>
            <w:top w:val="none" w:sz="0" w:space="0" w:color="auto"/>
            <w:left w:val="none" w:sz="0" w:space="0" w:color="auto"/>
            <w:bottom w:val="none" w:sz="0" w:space="0" w:color="auto"/>
            <w:right w:val="none" w:sz="0" w:space="0" w:color="auto"/>
          </w:divBdr>
        </w:div>
        <w:div w:id="204949271">
          <w:marLeft w:val="0"/>
          <w:marRight w:val="0"/>
          <w:marTop w:val="0"/>
          <w:marBottom w:val="0"/>
          <w:divBdr>
            <w:top w:val="none" w:sz="0" w:space="0" w:color="auto"/>
            <w:left w:val="none" w:sz="0" w:space="0" w:color="auto"/>
            <w:bottom w:val="none" w:sz="0" w:space="0" w:color="auto"/>
            <w:right w:val="none" w:sz="0" w:space="0" w:color="auto"/>
          </w:divBdr>
        </w:div>
        <w:div w:id="1383364184">
          <w:marLeft w:val="0"/>
          <w:marRight w:val="0"/>
          <w:marTop w:val="0"/>
          <w:marBottom w:val="0"/>
          <w:divBdr>
            <w:top w:val="none" w:sz="0" w:space="0" w:color="auto"/>
            <w:left w:val="none" w:sz="0" w:space="0" w:color="auto"/>
            <w:bottom w:val="none" w:sz="0" w:space="0" w:color="auto"/>
            <w:right w:val="none" w:sz="0" w:space="0" w:color="auto"/>
          </w:divBdr>
        </w:div>
        <w:div w:id="1111783940">
          <w:marLeft w:val="0"/>
          <w:marRight w:val="0"/>
          <w:marTop w:val="0"/>
          <w:marBottom w:val="0"/>
          <w:divBdr>
            <w:top w:val="none" w:sz="0" w:space="0" w:color="auto"/>
            <w:left w:val="none" w:sz="0" w:space="0" w:color="auto"/>
            <w:bottom w:val="none" w:sz="0" w:space="0" w:color="auto"/>
            <w:right w:val="none" w:sz="0" w:space="0" w:color="auto"/>
          </w:divBdr>
        </w:div>
        <w:div w:id="530068566">
          <w:marLeft w:val="0"/>
          <w:marRight w:val="0"/>
          <w:marTop w:val="0"/>
          <w:marBottom w:val="0"/>
          <w:divBdr>
            <w:top w:val="none" w:sz="0" w:space="0" w:color="auto"/>
            <w:left w:val="none" w:sz="0" w:space="0" w:color="auto"/>
            <w:bottom w:val="none" w:sz="0" w:space="0" w:color="auto"/>
            <w:right w:val="none" w:sz="0" w:space="0" w:color="auto"/>
          </w:divBdr>
        </w:div>
        <w:div w:id="1322613774">
          <w:marLeft w:val="0"/>
          <w:marRight w:val="0"/>
          <w:marTop w:val="0"/>
          <w:marBottom w:val="0"/>
          <w:divBdr>
            <w:top w:val="none" w:sz="0" w:space="0" w:color="auto"/>
            <w:left w:val="none" w:sz="0" w:space="0" w:color="auto"/>
            <w:bottom w:val="none" w:sz="0" w:space="0" w:color="auto"/>
            <w:right w:val="none" w:sz="0" w:space="0" w:color="auto"/>
          </w:divBdr>
        </w:div>
        <w:div w:id="1219972849">
          <w:marLeft w:val="0"/>
          <w:marRight w:val="0"/>
          <w:marTop w:val="0"/>
          <w:marBottom w:val="0"/>
          <w:divBdr>
            <w:top w:val="none" w:sz="0" w:space="0" w:color="auto"/>
            <w:left w:val="none" w:sz="0" w:space="0" w:color="auto"/>
            <w:bottom w:val="none" w:sz="0" w:space="0" w:color="auto"/>
            <w:right w:val="none" w:sz="0" w:space="0" w:color="auto"/>
          </w:divBdr>
        </w:div>
        <w:div w:id="109202897">
          <w:marLeft w:val="0"/>
          <w:marRight w:val="0"/>
          <w:marTop w:val="0"/>
          <w:marBottom w:val="0"/>
          <w:divBdr>
            <w:top w:val="none" w:sz="0" w:space="0" w:color="auto"/>
            <w:left w:val="none" w:sz="0" w:space="0" w:color="auto"/>
            <w:bottom w:val="none" w:sz="0" w:space="0" w:color="auto"/>
            <w:right w:val="none" w:sz="0" w:space="0" w:color="auto"/>
          </w:divBdr>
        </w:div>
        <w:div w:id="1756513249">
          <w:marLeft w:val="0"/>
          <w:marRight w:val="0"/>
          <w:marTop w:val="0"/>
          <w:marBottom w:val="0"/>
          <w:divBdr>
            <w:top w:val="none" w:sz="0" w:space="0" w:color="auto"/>
            <w:left w:val="none" w:sz="0" w:space="0" w:color="auto"/>
            <w:bottom w:val="none" w:sz="0" w:space="0" w:color="auto"/>
            <w:right w:val="none" w:sz="0" w:space="0" w:color="auto"/>
          </w:divBdr>
        </w:div>
        <w:div w:id="925185889">
          <w:marLeft w:val="0"/>
          <w:marRight w:val="0"/>
          <w:marTop w:val="0"/>
          <w:marBottom w:val="0"/>
          <w:divBdr>
            <w:top w:val="none" w:sz="0" w:space="0" w:color="auto"/>
            <w:left w:val="none" w:sz="0" w:space="0" w:color="auto"/>
            <w:bottom w:val="none" w:sz="0" w:space="0" w:color="auto"/>
            <w:right w:val="none" w:sz="0" w:space="0" w:color="auto"/>
          </w:divBdr>
        </w:div>
        <w:div w:id="251552182">
          <w:marLeft w:val="0"/>
          <w:marRight w:val="0"/>
          <w:marTop w:val="0"/>
          <w:marBottom w:val="0"/>
          <w:divBdr>
            <w:top w:val="none" w:sz="0" w:space="0" w:color="auto"/>
            <w:left w:val="none" w:sz="0" w:space="0" w:color="auto"/>
            <w:bottom w:val="none" w:sz="0" w:space="0" w:color="auto"/>
            <w:right w:val="none" w:sz="0" w:space="0" w:color="auto"/>
          </w:divBdr>
        </w:div>
        <w:div w:id="430974596">
          <w:marLeft w:val="0"/>
          <w:marRight w:val="0"/>
          <w:marTop w:val="0"/>
          <w:marBottom w:val="0"/>
          <w:divBdr>
            <w:top w:val="none" w:sz="0" w:space="0" w:color="auto"/>
            <w:left w:val="none" w:sz="0" w:space="0" w:color="auto"/>
            <w:bottom w:val="none" w:sz="0" w:space="0" w:color="auto"/>
            <w:right w:val="none" w:sz="0" w:space="0" w:color="auto"/>
          </w:divBdr>
        </w:div>
        <w:div w:id="784153763">
          <w:marLeft w:val="0"/>
          <w:marRight w:val="0"/>
          <w:marTop w:val="0"/>
          <w:marBottom w:val="0"/>
          <w:divBdr>
            <w:top w:val="none" w:sz="0" w:space="0" w:color="auto"/>
            <w:left w:val="none" w:sz="0" w:space="0" w:color="auto"/>
            <w:bottom w:val="none" w:sz="0" w:space="0" w:color="auto"/>
            <w:right w:val="none" w:sz="0" w:space="0" w:color="auto"/>
          </w:divBdr>
        </w:div>
        <w:div w:id="1377437998">
          <w:marLeft w:val="0"/>
          <w:marRight w:val="0"/>
          <w:marTop w:val="0"/>
          <w:marBottom w:val="0"/>
          <w:divBdr>
            <w:top w:val="none" w:sz="0" w:space="0" w:color="auto"/>
            <w:left w:val="none" w:sz="0" w:space="0" w:color="auto"/>
            <w:bottom w:val="none" w:sz="0" w:space="0" w:color="auto"/>
            <w:right w:val="none" w:sz="0" w:space="0" w:color="auto"/>
          </w:divBdr>
        </w:div>
        <w:div w:id="586764904">
          <w:marLeft w:val="0"/>
          <w:marRight w:val="0"/>
          <w:marTop w:val="0"/>
          <w:marBottom w:val="0"/>
          <w:divBdr>
            <w:top w:val="none" w:sz="0" w:space="0" w:color="auto"/>
            <w:left w:val="none" w:sz="0" w:space="0" w:color="auto"/>
            <w:bottom w:val="none" w:sz="0" w:space="0" w:color="auto"/>
            <w:right w:val="none" w:sz="0" w:space="0" w:color="auto"/>
          </w:divBdr>
        </w:div>
        <w:div w:id="1910773530">
          <w:marLeft w:val="0"/>
          <w:marRight w:val="0"/>
          <w:marTop w:val="0"/>
          <w:marBottom w:val="0"/>
          <w:divBdr>
            <w:top w:val="none" w:sz="0" w:space="0" w:color="auto"/>
            <w:left w:val="none" w:sz="0" w:space="0" w:color="auto"/>
            <w:bottom w:val="none" w:sz="0" w:space="0" w:color="auto"/>
            <w:right w:val="none" w:sz="0" w:space="0" w:color="auto"/>
          </w:divBdr>
        </w:div>
        <w:div w:id="1516841949">
          <w:marLeft w:val="0"/>
          <w:marRight w:val="0"/>
          <w:marTop w:val="0"/>
          <w:marBottom w:val="0"/>
          <w:divBdr>
            <w:top w:val="none" w:sz="0" w:space="0" w:color="auto"/>
            <w:left w:val="none" w:sz="0" w:space="0" w:color="auto"/>
            <w:bottom w:val="none" w:sz="0" w:space="0" w:color="auto"/>
            <w:right w:val="none" w:sz="0" w:space="0" w:color="auto"/>
          </w:divBdr>
        </w:div>
        <w:div w:id="1565526426">
          <w:marLeft w:val="0"/>
          <w:marRight w:val="0"/>
          <w:marTop w:val="0"/>
          <w:marBottom w:val="0"/>
          <w:divBdr>
            <w:top w:val="none" w:sz="0" w:space="0" w:color="auto"/>
            <w:left w:val="none" w:sz="0" w:space="0" w:color="auto"/>
            <w:bottom w:val="none" w:sz="0" w:space="0" w:color="auto"/>
            <w:right w:val="none" w:sz="0" w:space="0" w:color="auto"/>
          </w:divBdr>
        </w:div>
        <w:div w:id="1864440363">
          <w:marLeft w:val="0"/>
          <w:marRight w:val="0"/>
          <w:marTop w:val="0"/>
          <w:marBottom w:val="0"/>
          <w:divBdr>
            <w:top w:val="none" w:sz="0" w:space="0" w:color="auto"/>
            <w:left w:val="none" w:sz="0" w:space="0" w:color="auto"/>
            <w:bottom w:val="none" w:sz="0" w:space="0" w:color="auto"/>
            <w:right w:val="none" w:sz="0" w:space="0" w:color="auto"/>
          </w:divBdr>
        </w:div>
        <w:div w:id="1698970091">
          <w:marLeft w:val="0"/>
          <w:marRight w:val="0"/>
          <w:marTop w:val="0"/>
          <w:marBottom w:val="0"/>
          <w:divBdr>
            <w:top w:val="none" w:sz="0" w:space="0" w:color="auto"/>
            <w:left w:val="none" w:sz="0" w:space="0" w:color="auto"/>
            <w:bottom w:val="none" w:sz="0" w:space="0" w:color="auto"/>
            <w:right w:val="none" w:sz="0" w:space="0" w:color="auto"/>
          </w:divBdr>
        </w:div>
        <w:div w:id="275451575">
          <w:marLeft w:val="0"/>
          <w:marRight w:val="0"/>
          <w:marTop w:val="0"/>
          <w:marBottom w:val="0"/>
          <w:divBdr>
            <w:top w:val="none" w:sz="0" w:space="0" w:color="auto"/>
            <w:left w:val="none" w:sz="0" w:space="0" w:color="auto"/>
            <w:bottom w:val="none" w:sz="0" w:space="0" w:color="auto"/>
            <w:right w:val="none" w:sz="0" w:space="0" w:color="auto"/>
          </w:divBdr>
        </w:div>
        <w:div w:id="296106109">
          <w:marLeft w:val="0"/>
          <w:marRight w:val="0"/>
          <w:marTop w:val="0"/>
          <w:marBottom w:val="0"/>
          <w:divBdr>
            <w:top w:val="none" w:sz="0" w:space="0" w:color="auto"/>
            <w:left w:val="none" w:sz="0" w:space="0" w:color="auto"/>
            <w:bottom w:val="none" w:sz="0" w:space="0" w:color="auto"/>
            <w:right w:val="none" w:sz="0" w:space="0" w:color="auto"/>
          </w:divBdr>
        </w:div>
        <w:div w:id="1014190769">
          <w:marLeft w:val="0"/>
          <w:marRight w:val="0"/>
          <w:marTop w:val="0"/>
          <w:marBottom w:val="0"/>
          <w:divBdr>
            <w:top w:val="none" w:sz="0" w:space="0" w:color="auto"/>
            <w:left w:val="none" w:sz="0" w:space="0" w:color="auto"/>
            <w:bottom w:val="none" w:sz="0" w:space="0" w:color="auto"/>
            <w:right w:val="none" w:sz="0" w:space="0" w:color="auto"/>
          </w:divBdr>
        </w:div>
        <w:div w:id="2071420486">
          <w:marLeft w:val="0"/>
          <w:marRight w:val="0"/>
          <w:marTop w:val="0"/>
          <w:marBottom w:val="0"/>
          <w:divBdr>
            <w:top w:val="none" w:sz="0" w:space="0" w:color="auto"/>
            <w:left w:val="none" w:sz="0" w:space="0" w:color="auto"/>
            <w:bottom w:val="none" w:sz="0" w:space="0" w:color="auto"/>
            <w:right w:val="none" w:sz="0" w:space="0" w:color="auto"/>
          </w:divBdr>
        </w:div>
        <w:div w:id="1400907253">
          <w:marLeft w:val="0"/>
          <w:marRight w:val="0"/>
          <w:marTop w:val="0"/>
          <w:marBottom w:val="0"/>
          <w:divBdr>
            <w:top w:val="none" w:sz="0" w:space="0" w:color="auto"/>
            <w:left w:val="none" w:sz="0" w:space="0" w:color="auto"/>
            <w:bottom w:val="none" w:sz="0" w:space="0" w:color="auto"/>
            <w:right w:val="none" w:sz="0" w:space="0" w:color="auto"/>
          </w:divBdr>
        </w:div>
        <w:div w:id="886379383">
          <w:marLeft w:val="0"/>
          <w:marRight w:val="0"/>
          <w:marTop w:val="0"/>
          <w:marBottom w:val="0"/>
          <w:divBdr>
            <w:top w:val="none" w:sz="0" w:space="0" w:color="auto"/>
            <w:left w:val="none" w:sz="0" w:space="0" w:color="auto"/>
            <w:bottom w:val="none" w:sz="0" w:space="0" w:color="auto"/>
            <w:right w:val="none" w:sz="0" w:space="0" w:color="auto"/>
          </w:divBdr>
        </w:div>
        <w:div w:id="1377782064">
          <w:marLeft w:val="0"/>
          <w:marRight w:val="0"/>
          <w:marTop w:val="0"/>
          <w:marBottom w:val="0"/>
          <w:divBdr>
            <w:top w:val="none" w:sz="0" w:space="0" w:color="auto"/>
            <w:left w:val="none" w:sz="0" w:space="0" w:color="auto"/>
            <w:bottom w:val="none" w:sz="0" w:space="0" w:color="auto"/>
            <w:right w:val="none" w:sz="0" w:space="0" w:color="auto"/>
          </w:divBdr>
        </w:div>
        <w:div w:id="1575511069">
          <w:marLeft w:val="0"/>
          <w:marRight w:val="0"/>
          <w:marTop w:val="0"/>
          <w:marBottom w:val="0"/>
          <w:divBdr>
            <w:top w:val="none" w:sz="0" w:space="0" w:color="auto"/>
            <w:left w:val="none" w:sz="0" w:space="0" w:color="auto"/>
            <w:bottom w:val="none" w:sz="0" w:space="0" w:color="auto"/>
            <w:right w:val="none" w:sz="0" w:space="0" w:color="auto"/>
          </w:divBdr>
        </w:div>
        <w:div w:id="1351644939">
          <w:marLeft w:val="0"/>
          <w:marRight w:val="0"/>
          <w:marTop w:val="0"/>
          <w:marBottom w:val="0"/>
          <w:divBdr>
            <w:top w:val="none" w:sz="0" w:space="0" w:color="auto"/>
            <w:left w:val="none" w:sz="0" w:space="0" w:color="auto"/>
            <w:bottom w:val="none" w:sz="0" w:space="0" w:color="auto"/>
            <w:right w:val="none" w:sz="0" w:space="0" w:color="auto"/>
          </w:divBdr>
        </w:div>
        <w:div w:id="429545957">
          <w:marLeft w:val="0"/>
          <w:marRight w:val="0"/>
          <w:marTop w:val="0"/>
          <w:marBottom w:val="0"/>
          <w:divBdr>
            <w:top w:val="none" w:sz="0" w:space="0" w:color="auto"/>
            <w:left w:val="none" w:sz="0" w:space="0" w:color="auto"/>
            <w:bottom w:val="none" w:sz="0" w:space="0" w:color="auto"/>
            <w:right w:val="none" w:sz="0" w:space="0" w:color="auto"/>
          </w:divBdr>
        </w:div>
        <w:div w:id="1414622133">
          <w:marLeft w:val="0"/>
          <w:marRight w:val="0"/>
          <w:marTop w:val="0"/>
          <w:marBottom w:val="0"/>
          <w:divBdr>
            <w:top w:val="none" w:sz="0" w:space="0" w:color="auto"/>
            <w:left w:val="none" w:sz="0" w:space="0" w:color="auto"/>
            <w:bottom w:val="none" w:sz="0" w:space="0" w:color="auto"/>
            <w:right w:val="none" w:sz="0" w:space="0" w:color="auto"/>
          </w:divBdr>
        </w:div>
        <w:div w:id="817572830">
          <w:marLeft w:val="0"/>
          <w:marRight w:val="0"/>
          <w:marTop w:val="0"/>
          <w:marBottom w:val="0"/>
          <w:divBdr>
            <w:top w:val="none" w:sz="0" w:space="0" w:color="auto"/>
            <w:left w:val="none" w:sz="0" w:space="0" w:color="auto"/>
            <w:bottom w:val="none" w:sz="0" w:space="0" w:color="auto"/>
            <w:right w:val="none" w:sz="0" w:space="0" w:color="auto"/>
          </w:divBdr>
        </w:div>
        <w:div w:id="82726387">
          <w:marLeft w:val="0"/>
          <w:marRight w:val="0"/>
          <w:marTop w:val="0"/>
          <w:marBottom w:val="0"/>
          <w:divBdr>
            <w:top w:val="none" w:sz="0" w:space="0" w:color="auto"/>
            <w:left w:val="none" w:sz="0" w:space="0" w:color="auto"/>
            <w:bottom w:val="none" w:sz="0" w:space="0" w:color="auto"/>
            <w:right w:val="none" w:sz="0" w:space="0" w:color="auto"/>
          </w:divBdr>
        </w:div>
        <w:div w:id="2026594348">
          <w:marLeft w:val="0"/>
          <w:marRight w:val="0"/>
          <w:marTop w:val="0"/>
          <w:marBottom w:val="0"/>
          <w:divBdr>
            <w:top w:val="none" w:sz="0" w:space="0" w:color="auto"/>
            <w:left w:val="none" w:sz="0" w:space="0" w:color="auto"/>
            <w:bottom w:val="none" w:sz="0" w:space="0" w:color="auto"/>
            <w:right w:val="none" w:sz="0" w:space="0" w:color="auto"/>
          </w:divBdr>
        </w:div>
        <w:div w:id="500779576">
          <w:marLeft w:val="0"/>
          <w:marRight w:val="0"/>
          <w:marTop w:val="0"/>
          <w:marBottom w:val="0"/>
          <w:divBdr>
            <w:top w:val="none" w:sz="0" w:space="0" w:color="auto"/>
            <w:left w:val="none" w:sz="0" w:space="0" w:color="auto"/>
            <w:bottom w:val="none" w:sz="0" w:space="0" w:color="auto"/>
            <w:right w:val="none" w:sz="0" w:space="0" w:color="auto"/>
          </w:divBdr>
        </w:div>
        <w:div w:id="1671325074">
          <w:marLeft w:val="0"/>
          <w:marRight w:val="0"/>
          <w:marTop w:val="0"/>
          <w:marBottom w:val="0"/>
          <w:divBdr>
            <w:top w:val="none" w:sz="0" w:space="0" w:color="auto"/>
            <w:left w:val="none" w:sz="0" w:space="0" w:color="auto"/>
            <w:bottom w:val="none" w:sz="0" w:space="0" w:color="auto"/>
            <w:right w:val="none" w:sz="0" w:space="0" w:color="auto"/>
          </w:divBdr>
        </w:div>
        <w:div w:id="792820503">
          <w:marLeft w:val="0"/>
          <w:marRight w:val="0"/>
          <w:marTop w:val="0"/>
          <w:marBottom w:val="0"/>
          <w:divBdr>
            <w:top w:val="none" w:sz="0" w:space="0" w:color="auto"/>
            <w:left w:val="none" w:sz="0" w:space="0" w:color="auto"/>
            <w:bottom w:val="none" w:sz="0" w:space="0" w:color="auto"/>
            <w:right w:val="none" w:sz="0" w:space="0" w:color="auto"/>
          </w:divBdr>
        </w:div>
        <w:div w:id="1475099609">
          <w:marLeft w:val="0"/>
          <w:marRight w:val="0"/>
          <w:marTop w:val="0"/>
          <w:marBottom w:val="0"/>
          <w:divBdr>
            <w:top w:val="none" w:sz="0" w:space="0" w:color="auto"/>
            <w:left w:val="none" w:sz="0" w:space="0" w:color="auto"/>
            <w:bottom w:val="none" w:sz="0" w:space="0" w:color="auto"/>
            <w:right w:val="none" w:sz="0" w:space="0" w:color="auto"/>
          </w:divBdr>
        </w:div>
        <w:div w:id="24258243">
          <w:marLeft w:val="0"/>
          <w:marRight w:val="0"/>
          <w:marTop w:val="0"/>
          <w:marBottom w:val="0"/>
          <w:divBdr>
            <w:top w:val="none" w:sz="0" w:space="0" w:color="auto"/>
            <w:left w:val="none" w:sz="0" w:space="0" w:color="auto"/>
            <w:bottom w:val="none" w:sz="0" w:space="0" w:color="auto"/>
            <w:right w:val="none" w:sz="0" w:space="0" w:color="auto"/>
          </w:divBdr>
        </w:div>
        <w:div w:id="422916830">
          <w:marLeft w:val="0"/>
          <w:marRight w:val="0"/>
          <w:marTop w:val="0"/>
          <w:marBottom w:val="0"/>
          <w:divBdr>
            <w:top w:val="none" w:sz="0" w:space="0" w:color="auto"/>
            <w:left w:val="none" w:sz="0" w:space="0" w:color="auto"/>
            <w:bottom w:val="none" w:sz="0" w:space="0" w:color="auto"/>
            <w:right w:val="none" w:sz="0" w:space="0" w:color="auto"/>
          </w:divBdr>
        </w:div>
        <w:div w:id="407388526">
          <w:marLeft w:val="0"/>
          <w:marRight w:val="0"/>
          <w:marTop w:val="0"/>
          <w:marBottom w:val="0"/>
          <w:divBdr>
            <w:top w:val="none" w:sz="0" w:space="0" w:color="auto"/>
            <w:left w:val="none" w:sz="0" w:space="0" w:color="auto"/>
            <w:bottom w:val="none" w:sz="0" w:space="0" w:color="auto"/>
            <w:right w:val="none" w:sz="0" w:space="0" w:color="auto"/>
          </w:divBdr>
        </w:div>
        <w:div w:id="1052851853">
          <w:marLeft w:val="0"/>
          <w:marRight w:val="0"/>
          <w:marTop w:val="0"/>
          <w:marBottom w:val="0"/>
          <w:divBdr>
            <w:top w:val="none" w:sz="0" w:space="0" w:color="auto"/>
            <w:left w:val="none" w:sz="0" w:space="0" w:color="auto"/>
            <w:bottom w:val="none" w:sz="0" w:space="0" w:color="auto"/>
            <w:right w:val="none" w:sz="0" w:space="0" w:color="auto"/>
          </w:divBdr>
        </w:div>
        <w:div w:id="848756780">
          <w:marLeft w:val="0"/>
          <w:marRight w:val="0"/>
          <w:marTop w:val="0"/>
          <w:marBottom w:val="0"/>
          <w:divBdr>
            <w:top w:val="none" w:sz="0" w:space="0" w:color="auto"/>
            <w:left w:val="none" w:sz="0" w:space="0" w:color="auto"/>
            <w:bottom w:val="none" w:sz="0" w:space="0" w:color="auto"/>
            <w:right w:val="none" w:sz="0" w:space="0" w:color="auto"/>
          </w:divBdr>
        </w:div>
        <w:div w:id="568152053">
          <w:marLeft w:val="0"/>
          <w:marRight w:val="0"/>
          <w:marTop w:val="0"/>
          <w:marBottom w:val="0"/>
          <w:divBdr>
            <w:top w:val="none" w:sz="0" w:space="0" w:color="auto"/>
            <w:left w:val="none" w:sz="0" w:space="0" w:color="auto"/>
            <w:bottom w:val="none" w:sz="0" w:space="0" w:color="auto"/>
            <w:right w:val="none" w:sz="0" w:space="0" w:color="auto"/>
          </w:divBdr>
        </w:div>
        <w:div w:id="43335750">
          <w:marLeft w:val="0"/>
          <w:marRight w:val="0"/>
          <w:marTop w:val="0"/>
          <w:marBottom w:val="0"/>
          <w:divBdr>
            <w:top w:val="none" w:sz="0" w:space="0" w:color="auto"/>
            <w:left w:val="none" w:sz="0" w:space="0" w:color="auto"/>
            <w:bottom w:val="none" w:sz="0" w:space="0" w:color="auto"/>
            <w:right w:val="none" w:sz="0" w:space="0" w:color="auto"/>
          </w:divBdr>
        </w:div>
        <w:div w:id="1406490652">
          <w:marLeft w:val="0"/>
          <w:marRight w:val="0"/>
          <w:marTop w:val="0"/>
          <w:marBottom w:val="0"/>
          <w:divBdr>
            <w:top w:val="none" w:sz="0" w:space="0" w:color="auto"/>
            <w:left w:val="none" w:sz="0" w:space="0" w:color="auto"/>
            <w:bottom w:val="none" w:sz="0" w:space="0" w:color="auto"/>
            <w:right w:val="none" w:sz="0" w:space="0" w:color="auto"/>
          </w:divBdr>
        </w:div>
        <w:div w:id="1300956632">
          <w:marLeft w:val="0"/>
          <w:marRight w:val="0"/>
          <w:marTop w:val="0"/>
          <w:marBottom w:val="0"/>
          <w:divBdr>
            <w:top w:val="none" w:sz="0" w:space="0" w:color="auto"/>
            <w:left w:val="none" w:sz="0" w:space="0" w:color="auto"/>
            <w:bottom w:val="none" w:sz="0" w:space="0" w:color="auto"/>
            <w:right w:val="none" w:sz="0" w:space="0" w:color="auto"/>
          </w:divBdr>
        </w:div>
        <w:div w:id="799543070">
          <w:marLeft w:val="0"/>
          <w:marRight w:val="0"/>
          <w:marTop w:val="0"/>
          <w:marBottom w:val="0"/>
          <w:divBdr>
            <w:top w:val="none" w:sz="0" w:space="0" w:color="auto"/>
            <w:left w:val="none" w:sz="0" w:space="0" w:color="auto"/>
            <w:bottom w:val="none" w:sz="0" w:space="0" w:color="auto"/>
            <w:right w:val="none" w:sz="0" w:space="0" w:color="auto"/>
          </w:divBdr>
        </w:div>
        <w:div w:id="260069856">
          <w:marLeft w:val="0"/>
          <w:marRight w:val="0"/>
          <w:marTop w:val="0"/>
          <w:marBottom w:val="0"/>
          <w:divBdr>
            <w:top w:val="none" w:sz="0" w:space="0" w:color="auto"/>
            <w:left w:val="none" w:sz="0" w:space="0" w:color="auto"/>
            <w:bottom w:val="none" w:sz="0" w:space="0" w:color="auto"/>
            <w:right w:val="none" w:sz="0" w:space="0" w:color="auto"/>
          </w:divBdr>
        </w:div>
        <w:div w:id="84153606">
          <w:marLeft w:val="0"/>
          <w:marRight w:val="0"/>
          <w:marTop w:val="0"/>
          <w:marBottom w:val="0"/>
          <w:divBdr>
            <w:top w:val="none" w:sz="0" w:space="0" w:color="auto"/>
            <w:left w:val="none" w:sz="0" w:space="0" w:color="auto"/>
            <w:bottom w:val="none" w:sz="0" w:space="0" w:color="auto"/>
            <w:right w:val="none" w:sz="0" w:space="0" w:color="auto"/>
          </w:divBdr>
        </w:div>
        <w:div w:id="155994035">
          <w:marLeft w:val="0"/>
          <w:marRight w:val="0"/>
          <w:marTop w:val="0"/>
          <w:marBottom w:val="0"/>
          <w:divBdr>
            <w:top w:val="none" w:sz="0" w:space="0" w:color="auto"/>
            <w:left w:val="none" w:sz="0" w:space="0" w:color="auto"/>
            <w:bottom w:val="none" w:sz="0" w:space="0" w:color="auto"/>
            <w:right w:val="none" w:sz="0" w:space="0" w:color="auto"/>
          </w:divBdr>
        </w:div>
        <w:div w:id="850948993">
          <w:marLeft w:val="0"/>
          <w:marRight w:val="0"/>
          <w:marTop w:val="0"/>
          <w:marBottom w:val="0"/>
          <w:divBdr>
            <w:top w:val="none" w:sz="0" w:space="0" w:color="auto"/>
            <w:left w:val="none" w:sz="0" w:space="0" w:color="auto"/>
            <w:bottom w:val="none" w:sz="0" w:space="0" w:color="auto"/>
            <w:right w:val="none" w:sz="0" w:space="0" w:color="auto"/>
          </w:divBdr>
        </w:div>
        <w:div w:id="1189024547">
          <w:marLeft w:val="0"/>
          <w:marRight w:val="0"/>
          <w:marTop w:val="0"/>
          <w:marBottom w:val="0"/>
          <w:divBdr>
            <w:top w:val="none" w:sz="0" w:space="0" w:color="auto"/>
            <w:left w:val="none" w:sz="0" w:space="0" w:color="auto"/>
            <w:bottom w:val="none" w:sz="0" w:space="0" w:color="auto"/>
            <w:right w:val="none" w:sz="0" w:space="0" w:color="auto"/>
          </w:divBdr>
        </w:div>
        <w:div w:id="699814880">
          <w:marLeft w:val="0"/>
          <w:marRight w:val="0"/>
          <w:marTop w:val="0"/>
          <w:marBottom w:val="0"/>
          <w:divBdr>
            <w:top w:val="none" w:sz="0" w:space="0" w:color="auto"/>
            <w:left w:val="none" w:sz="0" w:space="0" w:color="auto"/>
            <w:bottom w:val="none" w:sz="0" w:space="0" w:color="auto"/>
            <w:right w:val="none" w:sz="0" w:space="0" w:color="auto"/>
          </w:divBdr>
        </w:div>
        <w:div w:id="1686321648">
          <w:marLeft w:val="0"/>
          <w:marRight w:val="0"/>
          <w:marTop w:val="0"/>
          <w:marBottom w:val="0"/>
          <w:divBdr>
            <w:top w:val="none" w:sz="0" w:space="0" w:color="auto"/>
            <w:left w:val="none" w:sz="0" w:space="0" w:color="auto"/>
            <w:bottom w:val="none" w:sz="0" w:space="0" w:color="auto"/>
            <w:right w:val="none" w:sz="0" w:space="0" w:color="auto"/>
          </w:divBdr>
        </w:div>
        <w:div w:id="954747868">
          <w:marLeft w:val="0"/>
          <w:marRight w:val="0"/>
          <w:marTop w:val="0"/>
          <w:marBottom w:val="0"/>
          <w:divBdr>
            <w:top w:val="none" w:sz="0" w:space="0" w:color="auto"/>
            <w:left w:val="none" w:sz="0" w:space="0" w:color="auto"/>
            <w:bottom w:val="none" w:sz="0" w:space="0" w:color="auto"/>
            <w:right w:val="none" w:sz="0" w:space="0" w:color="auto"/>
          </w:divBdr>
        </w:div>
        <w:div w:id="1691293480">
          <w:marLeft w:val="0"/>
          <w:marRight w:val="0"/>
          <w:marTop w:val="0"/>
          <w:marBottom w:val="0"/>
          <w:divBdr>
            <w:top w:val="none" w:sz="0" w:space="0" w:color="auto"/>
            <w:left w:val="none" w:sz="0" w:space="0" w:color="auto"/>
            <w:bottom w:val="none" w:sz="0" w:space="0" w:color="auto"/>
            <w:right w:val="none" w:sz="0" w:space="0" w:color="auto"/>
          </w:divBdr>
        </w:div>
        <w:div w:id="2063945735">
          <w:marLeft w:val="0"/>
          <w:marRight w:val="0"/>
          <w:marTop w:val="0"/>
          <w:marBottom w:val="0"/>
          <w:divBdr>
            <w:top w:val="none" w:sz="0" w:space="0" w:color="auto"/>
            <w:left w:val="none" w:sz="0" w:space="0" w:color="auto"/>
            <w:bottom w:val="none" w:sz="0" w:space="0" w:color="auto"/>
            <w:right w:val="none" w:sz="0" w:space="0" w:color="auto"/>
          </w:divBdr>
        </w:div>
        <w:div w:id="701705551">
          <w:marLeft w:val="0"/>
          <w:marRight w:val="0"/>
          <w:marTop w:val="0"/>
          <w:marBottom w:val="0"/>
          <w:divBdr>
            <w:top w:val="none" w:sz="0" w:space="0" w:color="auto"/>
            <w:left w:val="none" w:sz="0" w:space="0" w:color="auto"/>
            <w:bottom w:val="none" w:sz="0" w:space="0" w:color="auto"/>
            <w:right w:val="none" w:sz="0" w:space="0" w:color="auto"/>
          </w:divBdr>
        </w:div>
        <w:div w:id="1472364150">
          <w:marLeft w:val="0"/>
          <w:marRight w:val="0"/>
          <w:marTop w:val="0"/>
          <w:marBottom w:val="0"/>
          <w:divBdr>
            <w:top w:val="none" w:sz="0" w:space="0" w:color="auto"/>
            <w:left w:val="none" w:sz="0" w:space="0" w:color="auto"/>
            <w:bottom w:val="none" w:sz="0" w:space="0" w:color="auto"/>
            <w:right w:val="none" w:sz="0" w:space="0" w:color="auto"/>
          </w:divBdr>
        </w:div>
        <w:div w:id="667320141">
          <w:marLeft w:val="0"/>
          <w:marRight w:val="0"/>
          <w:marTop w:val="0"/>
          <w:marBottom w:val="0"/>
          <w:divBdr>
            <w:top w:val="none" w:sz="0" w:space="0" w:color="auto"/>
            <w:left w:val="none" w:sz="0" w:space="0" w:color="auto"/>
            <w:bottom w:val="none" w:sz="0" w:space="0" w:color="auto"/>
            <w:right w:val="none" w:sz="0" w:space="0" w:color="auto"/>
          </w:divBdr>
        </w:div>
        <w:div w:id="1279410809">
          <w:marLeft w:val="0"/>
          <w:marRight w:val="0"/>
          <w:marTop w:val="0"/>
          <w:marBottom w:val="0"/>
          <w:divBdr>
            <w:top w:val="none" w:sz="0" w:space="0" w:color="auto"/>
            <w:left w:val="none" w:sz="0" w:space="0" w:color="auto"/>
            <w:bottom w:val="none" w:sz="0" w:space="0" w:color="auto"/>
            <w:right w:val="none" w:sz="0" w:space="0" w:color="auto"/>
          </w:divBdr>
        </w:div>
        <w:div w:id="751855578">
          <w:marLeft w:val="0"/>
          <w:marRight w:val="0"/>
          <w:marTop w:val="0"/>
          <w:marBottom w:val="0"/>
          <w:divBdr>
            <w:top w:val="none" w:sz="0" w:space="0" w:color="auto"/>
            <w:left w:val="none" w:sz="0" w:space="0" w:color="auto"/>
            <w:bottom w:val="none" w:sz="0" w:space="0" w:color="auto"/>
            <w:right w:val="none" w:sz="0" w:space="0" w:color="auto"/>
          </w:divBdr>
        </w:div>
        <w:div w:id="1090196655">
          <w:marLeft w:val="0"/>
          <w:marRight w:val="0"/>
          <w:marTop w:val="0"/>
          <w:marBottom w:val="0"/>
          <w:divBdr>
            <w:top w:val="none" w:sz="0" w:space="0" w:color="auto"/>
            <w:left w:val="none" w:sz="0" w:space="0" w:color="auto"/>
            <w:bottom w:val="none" w:sz="0" w:space="0" w:color="auto"/>
            <w:right w:val="none" w:sz="0" w:space="0" w:color="auto"/>
          </w:divBdr>
        </w:div>
        <w:div w:id="26224700">
          <w:marLeft w:val="0"/>
          <w:marRight w:val="0"/>
          <w:marTop w:val="0"/>
          <w:marBottom w:val="0"/>
          <w:divBdr>
            <w:top w:val="none" w:sz="0" w:space="0" w:color="auto"/>
            <w:left w:val="none" w:sz="0" w:space="0" w:color="auto"/>
            <w:bottom w:val="none" w:sz="0" w:space="0" w:color="auto"/>
            <w:right w:val="none" w:sz="0" w:space="0" w:color="auto"/>
          </w:divBdr>
        </w:div>
        <w:div w:id="396822586">
          <w:marLeft w:val="0"/>
          <w:marRight w:val="0"/>
          <w:marTop w:val="0"/>
          <w:marBottom w:val="0"/>
          <w:divBdr>
            <w:top w:val="none" w:sz="0" w:space="0" w:color="auto"/>
            <w:left w:val="none" w:sz="0" w:space="0" w:color="auto"/>
            <w:bottom w:val="none" w:sz="0" w:space="0" w:color="auto"/>
            <w:right w:val="none" w:sz="0" w:space="0" w:color="auto"/>
          </w:divBdr>
        </w:div>
        <w:div w:id="879591416">
          <w:marLeft w:val="0"/>
          <w:marRight w:val="0"/>
          <w:marTop w:val="0"/>
          <w:marBottom w:val="0"/>
          <w:divBdr>
            <w:top w:val="none" w:sz="0" w:space="0" w:color="auto"/>
            <w:left w:val="none" w:sz="0" w:space="0" w:color="auto"/>
            <w:bottom w:val="none" w:sz="0" w:space="0" w:color="auto"/>
            <w:right w:val="none" w:sz="0" w:space="0" w:color="auto"/>
          </w:divBdr>
        </w:div>
        <w:div w:id="65497205">
          <w:marLeft w:val="0"/>
          <w:marRight w:val="0"/>
          <w:marTop w:val="0"/>
          <w:marBottom w:val="0"/>
          <w:divBdr>
            <w:top w:val="none" w:sz="0" w:space="0" w:color="auto"/>
            <w:left w:val="none" w:sz="0" w:space="0" w:color="auto"/>
            <w:bottom w:val="none" w:sz="0" w:space="0" w:color="auto"/>
            <w:right w:val="none" w:sz="0" w:space="0" w:color="auto"/>
          </w:divBdr>
        </w:div>
        <w:div w:id="2142920312">
          <w:marLeft w:val="0"/>
          <w:marRight w:val="0"/>
          <w:marTop w:val="0"/>
          <w:marBottom w:val="0"/>
          <w:divBdr>
            <w:top w:val="none" w:sz="0" w:space="0" w:color="auto"/>
            <w:left w:val="none" w:sz="0" w:space="0" w:color="auto"/>
            <w:bottom w:val="none" w:sz="0" w:space="0" w:color="auto"/>
            <w:right w:val="none" w:sz="0" w:space="0" w:color="auto"/>
          </w:divBdr>
        </w:div>
        <w:div w:id="1358777489">
          <w:marLeft w:val="0"/>
          <w:marRight w:val="0"/>
          <w:marTop w:val="0"/>
          <w:marBottom w:val="0"/>
          <w:divBdr>
            <w:top w:val="none" w:sz="0" w:space="0" w:color="auto"/>
            <w:left w:val="none" w:sz="0" w:space="0" w:color="auto"/>
            <w:bottom w:val="none" w:sz="0" w:space="0" w:color="auto"/>
            <w:right w:val="none" w:sz="0" w:space="0" w:color="auto"/>
          </w:divBdr>
        </w:div>
        <w:div w:id="1668315868">
          <w:marLeft w:val="0"/>
          <w:marRight w:val="0"/>
          <w:marTop w:val="0"/>
          <w:marBottom w:val="0"/>
          <w:divBdr>
            <w:top w:val="none" w:sz="0" w:space="0" w:color="auto"/>
            <w:left w:val="none" w:sz="0" w:space="0" w:color="auto"/>
            <w:bottom w:val="none" w:sz="0" w:space="0" w:color="auto"/>
            <w:right w:val="none" w:sz="0" w:space="0" w:color="auto"/>
          </w:divBdr>
        </w:div>
        <w:div w:id="1763839919">
          <w:marLeft w:val="0"/>
          <w:marRight w:val="0"/>
          <w:marTop w:val="0"/>
          <w:marBottom w:val="0"/>
          <w:divBdr>
            <w:top w:val="none" w:sz="0" w:space="0" w:color="auto"/>
            <w:left w:val="none" w:sz="0" w:space="0" w:color="auto"/>
            <w:bottom w:val="none" w:sz="0" w:space="0" w:color="auto"/>
            <w:right w:val="none" w:sz="0" w:space="0" w:color="auto"/>
          </w:divBdr>
        </w:div>
        <w:div w:id="1163663645">
          <w:marLeft w:val="0"/>
          <w:marRight w:val="0"/>
          <w:marTop w:val="0"/>
          <w:marBottom w:val="0"/>
          <w:divBdr>
            <w:top w:val="none" w:sz="0" w:space="0" w:color="auto"/>
            <w:left w:val="none" w:sz="0" w:space="0" w:color="auto"/>
            <w:bottom w:val="none" w:sz="0" w:space="0" w:color="auto"/>
            <w:right w:val="none" w:sz="0" w:space="0" w:color="auto"/>
          </w:divBdr>
        </w:div>
        <w:div w:id="1784183979">
          <w:marLeft w:val="0"/>
          <w:marRight w:val="0"/>
          <w:marTop w:val="0"/>
          <w:marBottom w:val="0"/>
          <w:divBdr>
            <w:top w:val="none" w:sz="0" w:space="0" w:color="auto"/>
            <w:left w:val="none" w:sz="0" w:space="0" w:color="auto"/>
            <w:bottom w:val="none" w:sz="0" w:space="0" w:color="auto"/>
            <w:right w:val="none" w:sz="0" w:space="0" w:color="auto"/>
          </w:divBdr>
        </w:div>
        <w:div w:id="1193956528">
          <w:marLeft w:val="0"/>
          <w:marRight w:val="0"/>
          <w:marTop w:val="0"/>
          <w:marBottom w:val="0"/>
          <w:divBdr>
            <w:top w:val="none" w:sz="0" w:space="0" w:color="auto"/>
            <w:left w:val="none" w:sz="0" w:space="0" w:color="auto"/>
            <w:bottom w:val="none" w:sz="0" w:space="0" w:color="auto"/>
            <w:right w:val="none" w:sz="0" w:space="0" w:color="auto"/>
          </w:divBdr>
        </w:div>
        <w:div w:id="46536733">
          <w:marLeft w:val="0"/>
          <w:marRight w:val="0"/>
          <w:marTop w:val="0"/>
          <w:marBottom w:val="0"/>
          <w:divBdr>
            <w:top w:val="none" w:sz="0" w:space="0" w:color="auto"/>
            <w:left w:val="none" w:sz="0" w:space="0" w:color="auto"/>
            <w:bottom w:val="none" w:sz="0" w:space="0" w:color="auto"/>
            <w:right w:val="none" w:sz="0" w:space="0" w:color="auto"/>
          </w:divBdr>
        </w:div>
        <w:div w:id="221334999">
          <w:marLeft w:val="0"/>
          <w:marRight w:val="0"/>
          <w:marTop w:val="0"/>
          <w:marBottom w:val="0"/>
          <w:divBdr>
            <w:top w:val="none" w:sz="0" w:space="0" w:color="auto"/>
            <w:left w:val="none" w:sz="0" w:space="0" w:color="auto"/>
            <w:bottom w:val="none" w:sz="0" w:space="0" w:color="auto"/>
            <w:right w:val="none" w:sz="0" w:space="0" w:color="auto"/>
          </w:divBdr>
        </w:div>
        <w:div w:id="1289318034">
          <w:marLeft w:val="0"/>
          <w:marRight w:val="0"/>
          <w:marTop w:val="0"/>
          <w:marBottom w:val="0"/>
          <w:divBdr>
            <w:top w:val="none" w:sz="0" w:space="0" w:color="auto"/>
            <w:left w:val="none" w:sz="0" w:space="0" w:color="auto"/>
            <w:bottom w:val="none" w:sz="0" w:space="0" w:color="auto"/>
            <w:right w:val="none" w:sz="0" w:space="0" w:color="auto"/>
          </w:divBdr>
        </w:div>
        <w:div w:id="140657835">
          <w:marLeft w:val="0"/>
          <w:marRight w:val="0"/>
          <w:marTop w:val="0"/>
          <w:marBottom w:val="0"/>
          <w:divBdr>
            <w:top w:val="none" w:sz="0" w:space="0" w:color="auto"/>
            <w:left w:val="none" w:sz="0" w:space="0" w:color="auto"/>
            <w:bottom w:val="none" w:sz="0" w:space="0" w:color="auto"/>
            <w:right w:val="none" w:sz="0" w:space="0" w:color="auto"/>
          </w:divBdr>
        </w:div>
        <w:div w:id="1895579186">
          <w:marLeft w:val="0"/>
          <w:marRight w:val="0"/>
          <w:marTop w:val="0"/>
          <w:marBottom w:val="0"/>
          <w:divBdr>
            <w:top w:val="none" w:sz="0" w:space="0" w:color="auto"/>
            <w:left w:val="none" w:sz="0" w:space="0" w:color="auto"/>
            <w:bottom w:val="none" w:sz="0" w:space="0" w:color="auto"/>
            <w:right w:val="none" w:sz="0" w:space="0" w:color="auto"/>
          </w:divBdr>
        </w:div>
        <w:div w:id="674649531">
          <w:marLeft w:val="0"/>
          <w:marRight w:val="0"/>
          <w:marTop w:val="0"/>
          <w:marBottom w:val="0"/>
          <w:divBdr>
            <w:top w:val="none" w:sz="0" w:space="0" w:color="auto"/>
            <w:left w:val="none" w:sz="0" w:space="0" w:color="auto"/>
            <w:bottom w:val="none" w:sz="0" w:space="0" w:color="auto"/>
            <w:right w:val="none" w:sz="0" w:space="0" w:color="auto"/>
          </w:divBdr>
        </w:div>
        <w:div w:id="1973556892">
          <w:marLeft w:val="0"/>
          <w:marRight w:val="0"/>
          <w:marTop w:val="0"/>
          <w:marBottom w:val="0"/>
          <w:divBdr>
            <w:top w:val="none" w:sz="0" w:space="0" w:color="auto"/>
            <w:left w:val="none" w:sz="0" w:space="0" w:color="auto"/>
            <w:bottom w:val="none" w:sz="0" w:space="0" w:color="auto"/>
            <w:right w:val="none" w:sz="0" w:space="0" w:color="auto"/>
          </w:divBdr>
        </w:div>
        <w:div w:id="1967273789">
          <w:marLeft w:val="0"/>
          <w:marRight w:val="0"/>
          <w:marTop w:val="0"/>
          <w:marBottom w:val="0"/>
          <w:divBdr>
            <w:top w:val="none" w:sz="0" w:space="0" w:color="auto"/>
            <w:left w:val="none" w:sz="0" w:space="0" w:color="auto"/>
            <w:bottom w:val="none" w:sz="0" w:space="0" w:color="auto"/>
            <w:right w:val="none" w:sz="0" w:space="0" w:color="auto"/>
          </w:divBdr>
        </w:div>
        <w:div w:id="617219845">
          <w:marLeft w:val="0"/>
          <w:marRight w:val="0"/>
          <w:marTop w:val="0"/>
          <w:marBottom w:val="0"/>
          <w:divBdr>
            <w:top w:val="none" w:sz="0" w:space="0" w:color="auto"/>
            <w:left w:val="none" w:sz="0" w:space="0" w:color="auto"/>
            <w:bottom w:val="none" w:sz="0" w:space="0" w:color="auto"/>
            <w:right w:val="none" w:sz="0" w:space="0" w:color="auto"/>
          </w:divBdr>
        </w:div>
        <w:div w:id="1152335886">
          <w:marLeft w:val="0"/>
          <w:marRight w:val="0"/>
          <w:marTop w:val="0"/>
          <w:marBottom w:val="0"/>
          <w:divBdr>
            <w:top w:val="none" w:sz="0" w:space="0" w:color="auto"/>
            <w:left w:val="none" w:sz="0" w:space="0" w:color="auto"/>
            <w:bottom w:val="none" w:sz="0" w:space="0" w:color="auto"/>
            <w:right w:val="none" w:sz="0" w:space="0" w:color="auto"/>
          </w:divBdr>
        </w:div>
        <w:div w:id="2076588519">
          <w:marLeft w:val="0"/>
          <w:marRight w:val="0"/>
          <w:marTop w:val="0"/>
          <w:marBottom w:val="0"/>
          <w:divBdr>
            <w:top w:val="none" w:sz="0" w:space="0" w:color="auto"/>
            <w:left w:val="none" w:sz="0" w:space="0" w:color="auto"/>
            <w:bottom w:val="none" w:sz="0" w:space="0" w:color="auto"/>
            <w:right w:val="none" w:sz="0" w:space="0" w:color="auto"/>
          </w:divBdr>
        </w:div>
        <w:div w:id="1675111785">
          <w:marLeft w:val="0"/>
          <w:marRight w:val="0"/>
          <w:marTop w:val="0"/>
          <w:marBottom w:val="0"/>
          <w:divBdr>
            <w:top w:val="none" w:sz="0" w:space="0" w:color="auto"/>
            <w:left w:val="none" w:sz="0" w:space="0" w:color="auto"/>
            <w:bottom w:val="none" w:sz="0" w:space="0" w:color="auto"/>
            <w:right w:val="none" w:sz="0" w:space="0" w:color="auto"/>
          </w:divBdr>
        </w:div>
        <w:div w:id="585385743">
          <w:marLeft w:val="0"/>
          <w:marRight w:val="0"/>
          <w:marTop w:val="0"/>
          <w:marBottom w:val="0"/>
          <w:divBdr>
            <w:top w:val="none" w:sz="0" w:space="0" w:color="auto"/>
            <w:left w:val="none" w:sz="0" w:space="0" w:color="auto"/>
            <w:bottom w:val="none" w:sz="0" w:space="0" w:color="auto"/>
            <w:right w:val="none" w:sz="0" w:space="0" w:color="auto"/>
          </w:divBdr>
        </w:div>
        <w:div w:id="848058759">
          <w:marLeft w:val="0"/>
          <w:marRight w:val="0"/>
          <w:marTop w:val="0"/>
          <w:marBottom w:val="0"/>
          <w:divBdr>
            <w:top w:val="none" w:sz="0" w:space="0" w:color="auto"/>
            <w:left w:val="none" w:sz="0" w:space="0" w:color="auto"/>
            <w:bottom w:val="none" w:sz="0" w:space="0" w:color="auto"/>
            <w:right w:val="none" w:sz="0" w:space="0" w:color="auto"/>
          </w:divBdr>
        </w:div>
        <w:div w:id="810512919">
          <w:marLeft w:val="0"/>
          <w:marRight w:val="0"/>
          <w:marTop w:val="0"/>
          <w:marBottom w:val="0"/>
          <w:divBdr>
            <w:top w:val="none" w:sz="0" w:space="0" w:color="auto"/>
            <w:left w:val="none" w:sz="0" w:space="0" w:color="auto"/>
            <w:bottom w:val="none" w:sz="0" w:space="0" w:color="auto"/>
            <w:right w:val="none" w:sz="0" w:space="0" w:color="auto"/>
          </w:divBdr>
        </w:div>
        <w:div w:id="1954289769">
          <w:marLeft w:val="0"/>
          <w:marRight w:val="0"/>
          <w:marTop w:val="0"/>
          <w:marBottom w:val="0"/>
          <w:divBdr>
            <w:top w:val="none" w:sz="0" w:space="0" w:color="auto"/>
            <w:left w:val="none" w:sz="0" w:space="0" w:color="auto"/>
            <w:bottom w:val="none" w:sz="0" w:space="0" w:color="auto"/>
            <w:right w:val="none" w:sz="0" w:space="0" w:color="auto"/>
          </w:divBdr>
        </w:div>
        <w:div w:id="2134787814">
          <w:marLeft w:val="0"/>
          <w:marRight w:val="0"/>
          <w:marTop w:val="0"/>
          <w:marBottom w:val="0"/>
          <w:divBdr>
            <w:top w:val="none" w:sz="0" w:space="0" w:color="auto"/>
            <w:left w:val="none" w:sz="0" w:space="0" w:color="auto"/>
            <w:bottom w:val="none" w:sz="0" w:space="0" w:color="auto"/>
            <w:right w:val="none" w:sz="0" w:space="0" w:color="auto"/>
          </w:divBdr>
        </w:div>
        <w:div w:id="2011981947">
          <w:marLeft w:val="0"/>
          <w:marRight w:val="0"/>
          <w:marTop w:val="0"/>
          <w:marBottom w:val="0"/>
          <w:divBdr>
            <w:top w:val="none" w:sz="0" w:space="0" w:color="auto"/>
            <w:left w:val="none" w:sz="0" w:space="0" w:color="auto"/>
            <w:bottom w:val="none" w:sz="0" w:space="0" w:color="auto"/>
            <w:right w:val="none" w:sz="0" w:space="0" w:color="auto"/>
          </w:divBdr>
        </w:div>
        <w:div w:id="1776436111">
          <w:marLeft w:val="0"/>
          <w:marRight w:val="0"/>
          <w:marTop w:val="0"/>
          <w:marBottom w:val="0"/>
          <w:divBdr>
            <w:top w:val="none" w:sz="0" w:space="0" w:color="auto"/>
            <w:left w:val="none" w:sz="0" w:space="0" w:color="auto"/>
            <w:bottom w:val="none" w:sz="0" w:space="0" w:color="auto"/>
            <w:right w:val="none" w:sz="0" w:space="0" w:color="auto"/>
          </w:divBdr>
        </w:div>
        <w:div w:id="1499154695">
          <w:marLeft w:val="0"/>
          <w:marRight w:val="0"/>
          <w:marTop w:val="0"/>
          <w:marBottom w:val="0"/>
          <w:divBdr>
            <w:top w:val="none" w:sz="0" w:space="0" w:color="auto"/>
            <w:left w:val="none" w:sz="0" w:space="0" w:color="auto"/>
            <w:bottom w:val="none" w:sz="0" w:space="0" w:color="auto"/>
            <w:right w:val="none" w:sz="0" w:space="0" w:color="auto"/>
          </w:divBdr>
        </w:div>
        <w:div w:id="654912454">
          <w:marLeft w:val="0"/>
          <w:marRight w:val="0"/>
          <w:marTop w:val="0"/>
          <w:marBottom w:val="0"/>
          <w:divBdr>
            <w:top w:val="none" w:sz="0" w:space="0" w:color="auto"/>
            <w:left w:val="none" w:sz="0" w:space="0" w:color="auto"/>
            <w:bottom w:val="none" w:sz="0" w:space="0" w:color="auto"/>
            <w:right w:val="none" w:sz="0" w:space="0" w:color="auto"/>
          </w:divBdr>
        </w:div>
        <w:div w:id="1481801362">
          <w:marLeft w:val="0"/>
          <w:marRight w:val="0"/>
          <w:marTop w:val="0"/>
          <w:marBottom w:val="0"/>
          <w:divBdr>
            <w:top w:val="none" w:sz="0" w:space="0" w:color="auto"/>
            <w:left w:val="none" w:sz="0" w:space="0" w:color="auto"/>
            <w:bottom w:val="none" w:sz="0" w:space="0" w:color="auto"/>
            <w:right w:val="none" w:sz="0" w:space="0" w:color="auto"/>
          </w:divBdr>
        </w:div>
        <w:div w:id="1205872558">
          <w:marLeft w:val="0"/>
          <w:marRight w:val="0"/>
          <w:marTop w:val="0"/>
          <w:marBottom w:val="0"/>
          <w:divBdr>
            <w:top w:val="none" w:sz="0" w:space="0" w:color="auto"/>
            <w:left w:val="none" w:sz="0" w:space="0" w:color="auto"/>
            <w:bottom w:val="none" w:sz="0" w:space="0" w:color="auto"/>
            <w:right w:val="none" w:sz="0" w:space="0" w:color="auto"/>
          </w:divBdr>
        </w:div>
        <w:div w:id="1653948850">
          <w:marLeft w:val="0"/>
          <w:marRight w:val="0"/>
          <w:marTop w:val="0"/>
          <w:marBottom w:val="0"/>
          <w:divBdr>
            <w:top w:val="none" w:sz="0" w:space="0" w:color="auto"/>
            <w:left w:val="none" w:sz="0" w:space="0" w:color="auto"/>
            <w:bottom w:val="none" w:sz="0" w:space="0" w:color="auto"/>
            <w:right w:val="none" w:sz="0" w:space="0" w:color="auto"/>
          </w:divBdr>
        </w:div>
        <w:div w:id="1670596612">
          <w:marLeft w:val="0"/>
          <w:marRight w:val="0"/>
          <w:marTop w:val="0"/>
          <w:marBottom w:val="0"/>
          <w:divBdr>
            <w:top w:val="none" w:sz="0" w:space="0" w:color="auto"/>
            <w:left w:val="none" w:sz="0" w:space="0" w:color="auto"/>
            <w:bottom w:val="none" w:sz="0" w:space="0" w:color="auto"/>
            <w:right w:val="none" w:sz="0" w:space="0" w:color="auto"/>
          </w:divBdr>
        </w:div>
        <w:div w:id="1798791608">
          <w:marLeft w:val="0"/>
          <w:marRight w:val="0"/>
          <w:marTop w:val="0"/>
          <w:marBottom w:val="0"/>
          <w:divBdr>
            <w:top w:val="none" w:sz="0" w:space="0" w:color="auto"/>
            <w:left w:val="none" w:sz="0" w:space="0" w:color="auto"/>
            <w:bottom w:val="none" w:sz="0" w:space="0" w:color="auto"/>
            <w:right w:val="none" w:sz="0" w:space="0" w:color="auto"/>
          </w:divBdr>
        </w:div>
        <w:div w:id="1963220775">
          <w:marLeft w:val="0"/>
          <w:marRight w:val="0"/>
          <w:marTop w:val="0"/>
          <w:marBottom w:val="0"/>
          <w:divBdr>
            <w:top w:val="none" w:sz="0" w:space="0" w:color="auto"/>
            <w:left w:val="none" w:sz="0" w:space="0" w:color="auto"/>
            <w:bottom w:val="none" w:sz="0" w:space="0" w:color="auto"/>
            <w:right w:val="none" w:sz="0" w:space="0" w:color="auto"/>
          </w:divBdr>
        </w:div>
        <w:div w:id="1941639115">
          <w:marLeft w:val="0"/>
          <w:marRight w:val="0"/>
          <w:marTop w:val="0"/>
          <w:marBottom w:val="0"/>
          <w:divBdr>
            <w:top w:val="none" w:sz="0" w:space="0" w:color="auto"/>
            <w:left w:val="none" w:sz="0" w:space="0" w:color="auto"/>
            <w:bottom w:val="none" w:sz="0" w:space="0" w:color="auto"/>
            <w:right w:val="none" w:sz="0" w:space="0" w:color="auto"/>
          </w:divBdr>
        </w:div>
        <w:div w:id="1580628404">
          <w:marLeft w:val="0"/>
          <w:marRight w:val="0"/>
          <w:marTop w:val="0"/>
          <w:marBottom w:val="0"/>
          <w:divBdr>
            <w:top w:val="none" w:sz="0" w:space="0" w:color="auto"/>
            <w:left w:val="none" w:sz="0" w:space="0" w:color="auto"/>
            <w:bottom w:val="none" w:sz="0" w:space="0" w:color="auto"/>
            <w:right w:val="none" w:sz="0" w:space="0" w:color="auto"/>
          </w:divBdr>
        </w:div>
        <w:div w:id="548034886">
          <w:marLeft w:val="0"/>
          <w:marRight w:val="0"/>
          <w:marTop w:val="0"/>
          <w:marBottom w:val="0"/>
          <w:divBdr>
            <w:top w:val="none" w:sz="0" w:space="0" w:color="auto"/>
            <w:left w:val="none" w:sz="0" w:space="0" w:color="auto"/>
            <w:bottom w:val="none" w:sz="0" w:space="0" w:color="auto"/>
            <w:right w:val="none" w:sz="0" w:space="0" w:color="auto"/>
          </w:divBdr>
        </w:div>
        <w:div w:id="1952786961">
          <w:marLeft w:val="0"/>
          <w:marRight w:val="0"/>
          <w:marTop w:val="0"/>
          <w:marBottom w:val="0"/>
          <w:divBdr>
            <w:top w:val="none" w:sz="0" w:space="0" w:color="auto"/>
            <w:left w:val="none" w:sz="0" w:space="0" w:color="auto"/>
            <w:bottom w:val="none" w:sz="0" w:space="0" w:color="auto"/>
            <w:right w:val="none" w:sz="0" w:space="0" w:color="auto"/>
          </w:divBdr>
        </w:div>
        <w:div w:id="1586643038">
          <w:marLeft w:val="0"/>
          <w:marRight w:val="0"/>
          <w:marTop w:val="0"/>
          <w:marBottom w:val="0"/>
          <w:divBdr>
            <w:top w:val="none" w:sz="0" w:space="0" w:color="auto"/>
            <w:left w:val="none" w:sz="0" w:space="0" w:color="auto"/>
            <w:bottom w:val="none" w:sz="0" w:space="0" w:color="auto"/>
            <w:right w:val="none" w:sz="0" w:space="0" w:color="auto"/>
          </w:divBdr>
        </w:div>
        <w:div w:id="1748457661">
          <w:marLeft w:val="0"/>
          <w:marRight w:val="0"/>
          <w:marTop w:val="0"/>
          <w:marBottom w:val="0"/>
          <w:divBdr>
            <w:top w:val="none" w:sz="0" w:space="0" w:color="auto"/>
            <w:left w:val="none" w:sz="0" w:space="0" w:color="auto"/>
            <w:bottom w:val="none" w:sz="0" w:space="0" w:color="auto"/>
            <w:right w:val="none" w:sz="0" w:space="0" w:color="auto"/>
          </w:divBdr>
        </w:div>
        <w:div w:id="2121949481">
          <w:marLeft w:val="0"/>
          <w:marRight w:val="0"/>
          <w:marTop w:val="0"/>
          <w:marBottom w:val="0"/>
          <w:divBdr>
            <w:top w:val="none" w:sz="0" w:space="0" w:color="auto"/>
            <w:left w:val="none" w:sz="0" w:space="0" w:color="auto"/>
            <w:bottom w:val="none" w:sz="0" w:space="0" w:color="auto"/>
            <w:right w:val="none" w:sz="0" w:space="0" w:color="auto"/>
          </w:divBdr>
        </w:div>
        <w:div w:id="1962686850">
          <w:marLeft w:val="0"/>
          <w:marRight w:val="0"/>
          <w:marTop w:val="0"/>
          <w:marBottom w:val="0"/>
          <w:divBdr>
            <w:top w:val="none" w:sz="0" w:space="0" w:color="auto"/>
            <w:left w:val="none" w:sz="0" w:space="0" w:color="auto"/>
            <w:bottom w:val="none" w:sz="0" w:space="0" w:color="auto"/>
            <w:right w:val="none" w:sz="0" w:space="0" w:color="auto"/>
          </w:divBdr>
        </w:div>
        <w:div w:id="1083263894">
          <w:marLeft w:val="0"/>
          <w:marRight w:val="0"/>
          <w:marTop w:val="0"/>
          <w:marBottom w:val="0"/>
          <w:divBdr>
            <w:top w:val="none" w:sz="0" w:space="0" w:color="auto"/>
            <w:left w:val="none" w:sz="0" w:space="0" w:color="auto"/>
            <w:bottom w:val="none" w:sz="0" w:space="0" w:color="auto"/>
            <w:right w:val="none" w:sz="0" w:space="0" w:color="auto"/>
          </w:divBdr>
        </w:div>
        <w:div w:id="1655717463">
          <w:marLeft w:val="0"/>
          <w:marRight w:val="0"/>
          <w:marTop w:val="0"/>
          <w:marBottom w:val="0"/>
          <w:divBdr>
            <w:top w:val="none" w:sz="0" w:space="0" w:color="auto"/>
            <w:left w:val="none" w:sz="0" w:space="0" w:color="auto"/>
            <w:bottom w:val="none" w:sz="0" w:space="0" w:color="auto"/>
            <w:right w:val="none" w:sz="0" w:space="0" w:color="auto"/>
          </w:divBdr>
        </w:div>
        <w:div w:id="827209514">
          <w:marLeft w:val="0"/>
          <w:marRight w:val="0"/>
          <w:marTop w:val="0"/>
          <w:marBottom w:val="0"/>
          <w:divBdr>
            <w:top w:val="none" w:sz="0" w:space="0" w:color="auto"/>
            <w:left w:val="none" w:sz="0" w:space="0" w:color="auto"/>
            <w:bottom w:val="none" w:sz="0" w:space="0" w:color="auto"/>
            <w:right w:val="none" w:sz="0" w:space="0" w:color="auto"/>
          </w:divBdr>
        </w:div>
        <w:div w:id="1364937542">
          <w:marLeft w:val="0"/>
          <w:marRight w:val="0"/>
          <w:marTop w:val="0"/>
          <w:marBottom w:val="0"/>
          <w:divBdr>
            <w:top w:val="none" w:sz="0" w:space="0" w:color="auto"/>
            <w:left w:val="none" w:sz="0" w:space="0" w:color="auto"/>
            <w:bottom w:val="none" w:sz="0" w:space="0" w:color="auto"/>
            <w:right w:val="none" w:sz="0" w:space="0" w:color="auto"/>
          </w:divBdr>
        </w:div>
        <w:div w:id="1390809174">
          <w:marLeft w:val="0"/>
          <w:marRight w:val="0"/>
          <w:marTop w:val="0"/>
          <w:marBottom w:val="0"/>
          <w:divBdr>
            <w:top w:val="none" w:sz="0" w:space="0" w:color="auto"/>
            <w:left w:val="none" w:sz="0" w:space="0" w:color="auto"/>
            <w:bottom w:val="none" w:sz="0" w:space="0" w:color="auto"/>
            <w:right w:val="none" w:sz="0" w:space="0" w:color="auto"/>
          </w:divBdr>
        </w:div>
        <w:div w:id="913272023">
          <w:marLeft w:val="0"/>
          <w:marRight w:val="0"/>
          <w:marTop w:val="0"/>
          <w:marBottom w:val="0"/>
          <w:divBdr>
            <w:top w:val="none" w:sz="0" w:space="0" w:color="auto"/>
            <w:left w:val="none" w:sz="0" w:space="0" w:color="auto"/>
            <w:bottom w:val="none" w:sz="0" w:space="0" w:color="auto"/>
            <w:right w:val="none" w:sz="0" w:space="0" w:color="auto"/>
          </w:divBdr>
        </w:div>
        <w:div w:id="548033162">
          <w:marLeft w:val="0"/>
          <w:marRight w:val="0"/>
          <w:marTop w:val="0"/>
          <w:marBottom w:val="0"/>
          <w:divBdr>
            <w:top w:val="none" w:sz="0" w:space="0" w:color="auto"/>
            <w:left w:val="none" w:sz="0" w:space="0" w:color="auto"/>
            <w:bottom w:val="none" w:sz="0" w:space="0" w:color="auto"/>
            <w:right w:val="none" w:sz="0" w:space="0" w:color="auto"/>
          </w:divBdr>
        </w:div>
        <w:div w:id="556402462">
          <w:marLeft w:val="0"/>
          <w:marRight w:val="0"/>
          <w:marTop w:val="0"/>
          <w:marBottom w:val="0"/>
          <w:divBdr>
            <w:top w:val="none" w:sz="0" w:space="0" w:color="auto"/>
            <w:left w:val="none" w:sz="0" w:space="0" w:color="auto"/>
            <w:bottom w:val="none" w:sz="0" w:space="0" w:color="auto"/>
            <w:right w:val="none" w:sz="0" w:space="0" w:color="auto"/>
          </w:divBdr>
        </w:div>
        <w:div w:id="484474834">
          <w:marLeft w:val="0"/>
          <w:marRight w:val="0"/>
          <w:marTop w:val="0"/>
          <w:marBottom w:val="0"/>
          <w:divBdr>
            <w:top w:val="none" w:sz="0" w:space="0" w:color="auto"/>
            <w:left w:val="none" w:sz="0" w:space="0" w:color="auto"/>
            <w:bottom w:val="none" w:sz="0" w:space="0" w:color="auto"/>
            <w:right w:val="none" w:sz="0" w:space="0" w:color="auto"/>
          </w:divBdr>
        </w:div>
        <w:div w:id="1135415984">
          <w:marLeft w:val="0"/>
          <w:marRight w:val="0"/>
          <w:marTop w:val="0"/>
          <w:marBottom w:val="0"/>
          <w:divBdr>
            <w:top w:val="none" w:sz="0" w:space="0" w:color="auto"/>
            <w:left w:val="none" w:sz="0" w:space="0" w:color="auto"/>
            <w:bottom w:val="none" w:sz="0" w:space="0" w:color="auto"/>
            <w:right w:val="none" w:sz="0" w:space="0" w:color="auto"/>
          </w:divBdr>
        </w:div>
        <w:div w:id="1819565678">
          <w:marLeft w:val="0"/>
          <w:marRight w:val="0"/>
          <w:marTop w:val="0"/>
          <w:marBottom w:val="0"/>
          <w:divBdr>
            <w:top w:val="none" w:sz="0" w:space="0" w:color="auto"/>
            <w:left w:val="none" w:sz="0" w:space="0" w:color="auto"/>
            <w:bottom w:val="none" w:sz="0" w:space="0" w:color="auto"/>
            <w:right w:val="none" w:sz="0" w:space="0" w:color="auto"/>
          </w:divBdr>
        </w:div>
        <w:div w:id="1048722977">
          <w:marLeft w:val="0"/>
          <w:marRight w:val="0"/>
          <w:marTop w:val="0"/>
          <w:marBottom w:val="0"/>
          <w:divBdr>
            <w:top w:val="none" w:sz="0" w:space="0" w:color="auto"/>
            <w:left w:val="none" w:sz="0" w:space="0" w:color="auto"/>
            <w:bottom w:val="none" w:sz="0" w:space="0" w:color="auto"/>
            <w:right w:val="none" w:sz="0" w:space="0" w:color="auto"/>
          </w:divBdr>
        </w:div>
        <w:div w:id="180171185">
          <w:marLeft w:val="0"/>
          <w:marRight w:val="0"/>
          <w:marTop w:val="0"/>
          <w:marBottom w:val="0"/>
          <w:divBdr>
            <w:top w:val="none" w:sz="0" w:space="0" w:color="auto"/>
            <w:left w:val="none" w:sz="0" w:space="0" w:color="auto"/>
            <w:bottom w:val="none" w:sz="0" w:space="0" w:color="auto"/>
            <w:right w:val="none" w:sz="0" w:space="0" w:color="auto"/>
          </w:divBdr>
        </w:div>
        <w:div w:id="2059862605">
          <w:marLeft w:val="0"/>
          <w:marRight w:val="0"/>
          <w:marTop w:val="0"/>
          <w:marBottom w:val="0"/>
          <w:divBdr>
            <w:top w:val="none" w:sz="0" w:space="0" w:color="auto"/>
            <w:left w:val="none" w:sz="0" w:space="0" w:color="auto"/>
            <w:bottom w:val="none" w:sz="0" w:space="0" w:color="auto"/>
            <w:right w:val="none" w:sz="0" w:space="0" w:color="auto"/>
          </w:divBdr>
        </w:div>
        <w:div w:id="1246261953">
          <w:marLeft w:val="0"/>
          <w:marRight w:val="0"/>
          <w:marTop w:val="0"/>
          <w:marBottom w:val="0"/>
          <w:divBdr>
            <w:top w:val="none" w:sz="0" w:space="0" w:color="auto"/>
            <w:left w:val="none" w:sz="0" w:space="0" w:color="auto"/>
            <w:bottom w:val="none" w:sz="0" w:space="0" w:color="auto"/>
            <w:right w:val="none" w:sz="0" w:space="0" w:color="auto"/>
          </w:divBdr>
        </w:div>
        <w:div w:id="194316978">
          <w:marLeft w:val="0"/>
          <w:marRight w:val="0"/>
          <w:marTop w:val="0"/>
          <w:marBottom w:val="0"/>
          <w:divBdr>
            <w:top w:val="none" w:sz="0" w:space="0" w:color="auto"/>
            <w:left w:val="none" w:sz="0" w:space="0" w:color="auto"/>
            <w:bottom w:val="none" w:sz="0" w:space="0" w:color="auto"/>
            <w:right w:val="none" w:sz="0" w:space="0" w:color="auto"/>
          </w:divBdr>
        </w:div>
        <w:div w:id="1643928731">
          <w:marLeft w:val="0"/>
          <w:marRight w:val="0"/>
          <w:marTop w:val="0"/>
          <w:marBottom w:val="0"/>
          <w:divBdr>
            <w:top w:val="none" w:sz="0" w:space="0" w:color="auto"/>
            <w:left w:val="none" w:sz="0" w:space="0" w:color="auto"/>
            <w:bottom w:val="none" w:sz="0" w:space="0" w:color="auto"/>
            <w:right w:val="none" w:sz="0" w:space="0" w:color="auto"/>
          </w:divBdr>
        </w:div>
        <w:div w:id="1455515432">
          <w:marLeft w:val="0"/>
          <w:marRight w:val="0"/>
          <w:marTop w:val="0"/>
          <w:marBottom w:val="0"/>
          <w:divBdr>
            <w:top w:val="none" w:sz="0" w:space="0" w:color="auto"/>
            <w:left w:val="none" w:sz="0" w:space="0" w:color="auto"/>
            <w:bottom w:val="none" w:sz="0" w:space="0" w:color="auto"/>
            <w:right w:val="none" w:sz="0" w:space="0" w:color="auto"/>
          </w:divBdr>
        </w:div>
        <w:div w:id="515850256">
          <w:marLeft w:val="0"/>
          <w:marRight w:val="0"/>
          <w:marTop w:val="0"/>
          <w:marBottom w:val="0"/>
          <w:divBdr>
            <w:top w:val="none" w:sz="0" w:space="0" w:color="auto"/>
            <w:left w:val="none" w:sz="0" w:space="0" w:color="auto"/>
            <w:bottom w:val="none" w:sz="0" w:space="0" w:color="auto"/>
            <w:right w:val="none" w:sz="0" w:space="0" w:color="auto"/>
          </w:divBdr>
        </w:div>
        <w:div w:id="1151488202">
          <w:marLeft w:val="0"/>
          <w:marRight w:val="0"/>
          <w:marTop w:val="0"/>
          <w:marBottom w:val="0"/>
          <w:divBdr>
            <w:top w:val="none" w:sz="0" w:space="0" w:color="auto"/>
            <w:left w:val="none" w:sz="0" w:space="0" w:color="auto"/>
            <w:bottom w:val="none" w:sz="0" w:space="0" w:color="auto"/>
            <w:right w:val="none" w:sz="0" w:space="0" w:color="auto"/>
          </w:divBdr>
        </w:div>
        <w:div w:id="1727335563">
          <w:marLeft w:val="0"/>
          <w:marRight w:val="0"/>
          <w:marTop w:val="0"/>
          <w:marBottom w:val="0"/>
          <w:divBdr>
            <w:top w:val="none" w:sz="0" w:space="0" w:color="auto"/>
            <w:left w:val="none" w:sz="0" w:space="0" w:color="auto"/>
            <w:bottom w:val="none" w:sz="0" w:space="0" w:color="auto"/>
            <w:right w:val="none" w:sz="0" w:space="0" w:color="auto"/>
          </w:divBdr>
        </w:div>
        <w:div w:id="1268007266">
          <w:marLeft w:val="0"/>
          <w:marRight w:val="0"/>
          <w:marTop w:val="0"/>
          <w:marBottom w:val="0"/>
          <w:divBdr>
            <w:top w:val="none" w:sz="0" w:space="0" w:color="auto"/>
            <w:left w:val="none" w:sz="0" w:space="0" w:color="auto"/>
            <w:bottom w:val="none" w:sz="0" w:space="0" w:color="auto"/>
            <w:right w:val="none" w:sz="0" w:space="0" w:color="auto"/>
          </w:divBdr>
        </w:div>
        <w:div w:id="1796829522">
          <w:marLeft w:val="0"/>
          <w:marRight w:val="0"/>
          <w:marTop w:val="0"/>
          <w:marBottom w:val="0"/>
          <w:divBdr>
            <w:top w:val="none" w:sz="0" w:space="0" w:color="auto"/>
            <w:left w:val="none" w:sz="0" w:space="0" w:color="auto"/>
            <w:bottom w:val="none" w:sz="0" w:space="0" w:color="auto"/>
            <w:right w:val="none" w:sz="0" w:space="0" w:color="auto"/>
          </w:divBdr>
        </w:div>
        <w:div w:id="8266418">
          <w:marLeft w:val="0"/>
          <w:marRight w:val="0"/>
          <w:marTop w:val="0"/>
          <w:marBottom w:val="0"/>
          <w:divBdr>
            <w:top w:val="none" w:sz="0" w:space="0" w:color="auto"/>
            <w:left w:val="none" w:sz="0" w:space="0" w:color="auto"/>
            <w:bottom w:val="none" w:sz="0" w:space="0" w:color="auto"/>
            <w:right w:val="none" w:sz="0" w:space="0" w:color="auto"/>
          </w:divBdr>
        </w:div>
        <w:div w:id="534005370">
          <w:marLeft w:val="0"/>
          <w:marRight w:val="0"/>
          <w:marTop w:val="0"/>
          <w:marBottom w:val="0"/>
          <w:divBdr>
            <w:top w:val="none" w:sz="0" w:space="0" w:color="auto"/>
            <w:left w:val="none" w:sz="0" w:space="0" w:color="auto"/>
            <w:bottom w:val="none" w:sz="0" w:space="0" w:color="auto"/>
            <w:right w:val="none" w:sz="0" w:space="0" w:color="auto"/>
          </w:divBdr>
        </w:div>
        <w:div w:id="1426535244">
          <w:marLeft w:val="0"/>
          <w:marRight w:val="0"/>
          <w:marTop w:val="0"/>
          <w:marBottom w:val="0"/>
          <w:divBdr>
            <w:top w:val="none" w:sz="0" w:space="0" w:color="auto"/>
            <w:left w:val="none" w:sz="0" w:space="0" w:color="auto"/>
            <w:bottom w:val="none" w:sz="0" w:space="0" w:color="auto"/>
            <w:right w:val="none" w:sz="0" w:space="0" w:color="auto"/>
          </w:divBdr>
        </w:div>
        <w:div w:id="318466767">
          <w:marLeft w:val="0"/>
          <w:marRight w:val="0"/>
          <w:marTop w:val="0"/>
          <w:marBottom w:val="0"/>
          <w:divBdr>
            <w:top w:val="none" w:sz="0" w:space="0" w:color="auto"/>
            <w:left w:val="none" w:sz="0" w:space="0" w:color="auto"/>
            <w:bottom w:val="none" w:sz="0" w:space="0" w:color="auto"/>
            <w:right w:val="none" w:sz="0" w:space="0" w:color="auto"/>
          </w:divBdr>
        </w:div>
        <w:div w:id="506015709">
          <w:marLeft w:val="0"/>
          <w:marRight w:val="0"/>
          <w:marTop w:val="0"/>
          <w:marBottom w:val="0"/>
          <w:divBdr>
            <w:top w:val="none" w:sz="0" w:space="0" w:color="auto"/>
            <w:left w:val="none" w:sz="0" w:space="0" w:color="auto"/>
            <w:bottom w:val="none" w:sz="0" w:space="0" w:color="auto"/>
            <w:right w:val="none" w:sz="0" w:space="0" w:color="auto"/>
          </w:divBdr>
        </w:div>
        <w:div w:id="1141726206">
          <w:marLeft w:val="0"/>
          <w:marRight w:val="0"/>
          <w:marTop w:val="0"/>
          <w:marBottom w:val="0"/>
          <w:divBdr>
            <w:top w:val="none" w:sz="0" w:space="0" w:color="auto"/>
            <w:left w:val="none" w:sz="0" w:space="0" w:color="auto"/>
            <w:bottom w:val="none" w:sz="0" w:space="0" w:color="auto"/>
            <w:right w:val="none" w:sz="0" w:space="0" w:color="auto"/>
          </w:divBdr>
        </w:div>
        <w:div w:id="910502302">
          <w:marLeft w:val="0"/>
          <w:marRight w:val="0"/>
          <w:marTop w:val="0"/>
          <w:marBottom w:val="0"/>
          <w:divBdr>
            <w:top w:val="none" w:sz="0" w:space="0" w:color="auto"/>
            <w:left w:val="none" w:sz="0" w:space="0" w:color="auto"/>
            <w:bottom w:val="none" w:sz="0" w:space="0" w:color="auto"/>
            <w:right w:val="none" w:sz="0" w:space="0" w:color="auto"/>
          </w:divBdr>
        </w:div>
        <w:div w:id="391660823">
          <w:marLeft w:val="0"/>
          <w:marRight w:val="0"/>
          <w:marTop w:val="0"/>
          <w:marBottom w:val="0"/>
          <w:divBdr>
            <w:top w:val="none" w:sz="0" w:space="0" w:color="auto"/>
            <w:left w:val="none" w:sz="0" w:space="0" w:color="auto"/>
            <w:bottom w:val="none" w:sz="0" w:space="0" w:color="auto"/>
            <w:right w:val="none" w:sz="0" w:space="0" w:color="auto"/>
          </w:divBdr>
        </w:div>
        <w:div w:id="347606521">
          <w:marLeft w:val="0"/>
          <w:marRight w:val="0"/>
          <w:marTop w:val="0"/>
          <w:marBottom w:val="0"/>
          <w:divBdr>
            <w:top w:val="none" w:sz="0" w:space="0" w:color="auto"/>
            <w:left w:val="none" w:sz="0" w:space="0" w:color="auto"/>
            <w:bottom w:val="none" w:sz="0" w:space="0" w:color="auto"/>
            <w:right w:val="none" w:sz="0" w:space="0" w:color="auto"/>
          </w:divBdr>
        </w:div>
        <w:div w:id="414937956">
          <w:marLeft w:val="0"/>
          <w:marRight w:val="0"/>
          <w:marTop w:val="0"/>
          <w:marBottom w:val="0"/>
          <w:divBdr>
            <w:top w:val="none" w:sz="0" w:space="0" w:color="auto"/>
            <w:left w:val="none" w:sz="0" w:space="0" w:color="auto"/>
            <w:bottom w:val="none" w:sz="0" w:space="0" w:color="auto"/>
            <w:right w:val="none" w:sz="0" w:space="0" w:color="auto"/>
          </w:divBdr>
        </w:div>
        <w:div w:id="1535574619">
          <w:marLeft w:val="0"/>
          <w:marRight w:val="0"/>
          <w:marTop w:val="0"/>
          <w:marBottom w:val="0"/>
          <w:divBdr>
            <w:top w:val="none" w:sz="0" w:space="0" w:color="auto"/>
            <w:left w:val="none" w:sz="0" w:space="0" w:color="auto"/>
            <w:bottom w:val="none" w:sz="0" w:space="0" w:color="auto"/>
            <w:right w:val="none" w:sz="0" w:space="0" w:color="auto"/>
          </w:divBdr>
        </w:div>
        <w:div w:id="1788502647">
          <w:marLeft w:val="0"/>
          <w:marRight w:val="0"/>
          <w:marTop w:val="0"/>
          <w:marBottom w:val="0"/>
          <w:divBdr>
            <w:top w:val="none" w:sz="0" w:space="0" w:color="auto"/>
            <w:left w:val="none" w:sz="0" w:space="0" w:color="auto"/>
            <w:bottom w:val="none" w:sz="0" w:space="0" w:color="auto"/>
            <w:right w:val="none" w:sz="0" w:space="0" w:color="auto"/>
          </w:divBdr>
        </w:div>
        <w:div w:id="175047547">
          <w:marLeft w:val="0"/>
          <w:marRight w:val="0"/>
          <w:marTop w:val="0"/>
          <w:marBottom w:val="0"/>
          <w:divBdr>
            <w:top w:val="none" w:sz="0" w:space="0" w:color="auto"/>
            <w:left w:val="none" w:sz="0" w:space="0" w:color="auto"/>
            <w:bottom w:val="none" w:sz="0" w:space="0" w:color="auto"/>
            <w:right w:val="none" w:sz="0" w:space="0" w:color="auto"/>
          </w:divBdr>
        </w:div>
        <w:div w:id="18050857">
          <w:marLeft w:val="0"/>
          <w:marRight w:val="0"/>
          <w:marTop w:val="0"/>
          <w:marBottom w:val="0"/>
          <w:divBdr>
            <w:top w:val="none" w:sz="0" w:space="0" w:color="auto"/>
            <w:left w:val="none" w:sz="0" w:space="0" w:color="auto"/>
            <w:bottom w:val="none" w:sz="0" w:space="0" w:color="auto"/>
            <w:right w:val="none" w:sz="0" w:space="0" w:color="auto"/>
          </w:divBdr>
        </w:div>
        <w:div w:id="765618074">
          <w:marLeft w:val="0"/>
          <w:marRight w:val="0"/>
          <w:marTop w:val="0"/>
          <w:marBottom w:val="0"/>
          <w:divBdr>
            <w:top w:val="none" w:sz="0" w:space="0" w:color="auto"/>
            <w:left w:val="none" w:sz="0" w:space="0" w:color="auto"/>
            <w:bottom w:val="none" w:sz="0" w:space="0" w:color="auto"/>
            <w:right w:val="none" w:sz="0" w:space="0" w:color="auto"/>
          </w:divBdr>
        </w:div>
        <w:div w:id="852575310">
          <w:marLeft w:val="0"/>
          <w:marRight w:val="0"/>
          <w:marTop w:val="0"/>
          <w:marBottom w:val="0"/>
          <w:divBdr>
            <w:top w:val="none" w:sz="0" w:space="0" w:color="auto"/>
            <w:left w:val="none" w:sz="0" w:space="0" w:color="auto"/>
            <w:bottom w:val="none" w:sz="0" w:space="0" w:color="auto"/>
            <w:right w:val="none" w:sz="0" w:space="0" w:color="auto"/>
          </w:divBdr>
        </w:div>
        <w:div w:id="294912779">
          <w:marLeft w:val="0"/>
          <w:marRight w:val="0"/>
          <w:marTop w:val="0"/>
          <w:marBottom w:val="0"/>
          <w:divBdr>
            <w:top w:val="none" w:sz="0" w:space="0" w:color="auto"/>
            <w:left w:val="none" w:sz="0" w:space="0" w:color="auto"/>
            <w:bottom w:val="none" w:sz="0" w:space="0" w:color="auto"/>
            <w:right w:val="none" w:sz="0" w:space="0" w:color="auto"/>
          </w:divBdr>
        </w:div>
        <w:div w:id="1272930188">
          <w:marLeft w:val="0"/>
          <w:marRight w:val="0"/>
          <w:marTop w:val="0"/>
          <w:marBottom w:val="0"/>
          <w:divBdr>
            <w:top w:val="none" w:sz="0" w:space="0" w:color="auto"/>
            <w:left w:val="none" w:sz="0" w:space="0" w:color="auto"/>
            <w:bottom w:val="none" w:sz="0" w:space="0" w:color="auto"/>
            <w:right w:val="none" w:sz="0" w:space="0" w:color="auto"/>
          </w:divBdr>
        </w:div>
        <w:div w:id="883636797">
          <w:marLeft w:val="0"/>
          <w:marRight w:val="0"/>
          <w:marTop w:val="0"/>
          <w:marBottom w:val="0"/>
          <w:divBdr>
            <w:top w:val="none" w:sz="0" w:space="0" w:color="auto"/>
            <w:left w:val="none" w:sz="0" w:space="0" w:color="auto"/>
            <w:bottom w:val="none" w:sz="0" w:space="0" w:color="auto"/>
            <w:right w:val="none" w:sz="0" w:space="0" w:color="auto"/>
          </w:divBdr>
        </w:div>
      </w:divsChild>
    </w:div>
    <w:div w:id="1518806959">
      <w:bodyDiv w:val="1"/>
      <w:marLeft w:val="0"/>
      <w:marRight w:val="0"/>
      <w:marTop w:val="0"/>
      <w:marBottom w:val="0"/>
      <w:divBdr>
        <w:top w:val="none" w:sz="0" w:space="0" w:color="auto"/>
        <w:left w:val="none" w:sz="0" w:space="0" w:color="auto"/>
        <w:bottom w:val="none" w:sz="0" w:space="0" w:color="auto"/>
        <w:right w:val="none" w:sz="0" w:space="0" w:color="auto"/>
      </w:divBdr>
      <w:divsChild>
        <w:div w:id="1330477412">
          <w:marLeft w:val="0"/>
          <w:marRight w:val="0"/>
          <w:marTop w:val="0"/>
          <w:marBottom w:val="0"/>
          <w:divBdr>
            <w:top w:val="none" w:sz="0" w:space="0" w:color="auto"/>
            <w:left w:val="none" w:sz="0" w:space="0" w:color="auto"/>
            <w:bottom w:val="none" w:sz="0" w:space="0" w:color="auto"/>
            <w:right w:val="none" w:sz="0" w:space="0" w:color="auto"/>
          </w:divBdr>
        </w:div>
        <w:div w:id="203251662">
          <w:marLeft w:val="0"/>
          <w:marRight w:val="0"/>
          <w:marTop w:val="0"/>
          <w:marBottom w:val="0"/>
          <w:divBdr>
            <w:top w:val="none" w:sz="0" w:space="0" w:color="auto"/>
            <w:left w:val="none" w:sz="0" w:space="0" w:color="auto"/>
            <w:bottom w:val="none" w:sz="0" w:space="0" w:color="auto"/>
            <w:right w:val="none" w:sz="0" w:space="0" w:color="auto"/>
          </w:divBdr>
        </w:div>
        <w:div w:id="28796659">
          <w:marLeft w:val="0"/>
          <w:marRight w:val="0"/>
          <w:marTop w:val="0"/>
          <w:marBottom w:val="0"/>
          <w:divBdr>
            <w:top w:val="none" w:sz="0" w:space="0" w:color="auto"/>
            <w:left w:val="none" w:sz="0" w:space="0" w:color="auto"/>
            <w:bottom w:val="none" w:sz="0" w:space="0" w:color="auto"/>
            <w:right w:val="none" w:sz="0" w:space="0" w:color="auto"/>
          </w:divBdr>
        </w:div>
        <w:div w:id="838346983">
          <w:marLeft w:val="0"/>
          <w:marRight w:val="0"/>
          <w:marTop w:val="0"/>
          <w:marBottom w:val="0"/>
          <w:divBdr>
            <w:top w:val="none" w:sz="0" w:space="0" w:color="auto"/>
            <w:left w:val="none" w:sz="0" w:space="0" w:color="auto"/>
            <w:bottom w:val="none" w:sz="0" w:space="0" w:color="auto"/>
            <w:right w:val="none" w:sz="0" w:space="0" w:color="auto"/>
          </w:divBdr>
        </w:div>
        <w:div w:id="669455014">
          <w:marLeft w:val="0"/>
          <w:marRight w:val="0"/>
          <w:marTop w:val="0"/>
          <w:marBottom w:val="0"/>
          <w:divBdr>
            <w:top w:val="none" w:sz="0" w:space="0" w:color="auto"/>
            <w:left w:val="none" w:sz="0" w:space="0" w:color="auto"/>
            <w:bottom w:val="none" w:sz="0" w:space="0" w:color="auto"/>
            <w:right w:val="none" w:sz="0" w:space="0" w:color="auto"/>
          </w:divBdr>
        </w:div>
        <w:div w:id="1899171771">
          <w:marLeft w:val="0"/>
          <w:marRight w:val="0"/>
          <w:marTop w:val="0"/>
          <w:marBottom w:val="0"/>
          <w:divBdr>
            <w:top w:val="none" w:sz="0" w:space="0" w:color="auto"/>
            <w:left w:val="none" w:sz="0" w:space="0" w:color="auto"/>
            <w:bottom w:val="none" w:sz="0" w:space="0" w:color="auto"/>
            <w:right w:val="none" w:sz="0" w:space="0" w:color="auto"/>
          </w:divBdr>
        </w:div>
        <w:div w:id="159925808">
          <w:marLeft w:val="0"/>
          <w:marRight w:val="0"/>
          <w:marTop w:val="0"/>
          <w:marBottom w:val="0"/>
          <w:divBdr>
            <w:top w:val="none" w:sz="0" w:space="0" w:color="auto"/>
            <w:left w:val="none" w:sz="0" w:space="0" w:color="auto"/>
            <w:bottom w:val="none" w:sz="0" w:space="0" w:color="auto"/>
            <w:right w:val="none" w:sz="0" w:space="0" w:color="auto"/>
          </w:divBdr>
        </w:div>
        <w:div w:id="764693883">
          <w:marLeft w:val="0"/>
          <w:marRight w:val="0"/>
          <w:marTop w:val="0"/>
          <w:marBottom w:val="0"/>
          <w:divBdr>
            <w:top w:val="none" w:sz="0" w:space="0" w:color="auto"/>
            <w:left w:val="none" w:sz="0" w:space="0" w:color="auto"/>
            <w:bottom w:val="none" w:sz="0" w:space="0" w:color="auto"/>
            <w:right w:val="none" w:sz="0" w:space="0" w:color="auto"/>
          </w:divBdr>
        </w:div>
        <w:div w:id="247233273">
          <w:marLeft w:val="0"/>
          <w:marRight w:val="0"/>
          <w:marTop w:val="0"/>
          <w:marBottom w:val="0"/>
          <w:divBdr>
            <w:top w:val="none" w:sz="0" w:space="0" w:color="auto"/>
            <w:left w:val="none" w:sz="0" w:space="0" w:color="auto"/>
            <w:bottom w:val="none" w:sz="0" w:space="0" w:color="auto"/>
            <w:right w:val="none" w:sz="0" w:space="0" w:color="auto"/>
          </w:divBdr>
        </w:div>
        <w:div w:id="1046298833">
          <w:marLeft w:val="0"/>
          <w:marRight w:val="0"/>
          <w:marTop w:val="0"/>
          <w:marBottom w:val="0"/>
          <w:divBdr>
            <w:top w:val="none" w:sz="0" w:space="0" w:color="auto"/>
            <w:left w:val="none" w:sz="0" w:space="0" w:color="auto"/>
            <w:bottom w:val="none" w:sz="0" w:space="0" w:color="auto"/>
            <w:right w:val="none" w:sz="0" w:space="0" w:color="auto"/>
          </w:divBdr>
        </w:div>
        <w:div w:id="890655268">
          <w:marLeft w:val="0"/>
          <w:marRight w:val="0"/>
          <w:marTop w:val="0"/>
          <w:marBottom w:val="0"/>
          <w:divBdr>
            <w:top w:val="none" w:sz="0" w:space="0" w:color="auto"/>
            <w:left w:val="none" w:sz="0" w:space="0" w:color="auto"/>
            <w:bottom w:val="none" w:sz="0" w:space="0" w:color="auto"/>
            <w:right w:val="none" w:sz="0" w:space="0" w:color="auto"/>
          </w:divBdr>
        </w:div>
      </w:divsChild>
    </w:div>
    <w:div w:id="1526405460">
      <w:bodyDiv w:val="1"/>
      <w:marLeft w:val="0"/>
      <w:marRight w:val="0"/>
      <w:marTop w:val="0"/>
      <w:marBottom w:val="0"/>
      <w:divBdr>
        <w:top w:val="none" w:sz="0" w:space="0" w:color="auto"/>
        <w:left w:val="none" w:sz="0" w:space="0" w:color="auto"/>
        <w:bottom w:val="none" w:sz="0" w:space="0" w:color="auto"/>
        <w:right w:val="none" w:sz="0" w:space="0" w:color="auto"/>
      </w:divBdr>
      <w:divsChild>
        <w:div w:id="1214846446">
          <w:marLeft w:val="0"/>
          <w:marRight w:val="0"/>
          <w:marTop w:val="0"/>
          <w:marBottom w:val="0"/>
          <w:divBdr>
            <w:top w:val="none" w:sz="0" w:space="0" w:color="auto"/>
            <w:left w:val="none" w:sz="0" w:space="0" w:color="auto"/>
            <w:bottom w:val="none" w:sz="0" w:space="0" w:color="auto"/>
            <w:right w:val="none" w:sz="0" w:space="0" w:color="auto"/>
          </w:divBdr>
        </w:div>
        <w:div w:id="1227108587">
          <w:marLeft w:val="0"/>
          <w:marRight w:val="0"/>
          <w:marTop w:val="0"/>
          <w:marBottom w:val="0"/>
          <w:divBdr>
            <w:top w:val="none" w:sz="0" w:space="0" w:color="auto"/>
            <w:left w:val="none" w:sz="0" w:space="0" w:color="auto"/>
            <w:bottom w:val="none" w:sz="0" w:space="0" w:color="auto"/>
            <w:right w:val="none" w:sz="0" w:space="0" w:color="auto"/>
          </w:divBdr>
        </w:div>
        <w:div w:id="809639895">
          <w:marLeft w:val="0"/>
          <w:marRight w:val="0"/>
          <w:marTop w:val="0"/>
          <w:marBottom w:val="0"/>
          <w:divBdr>
            <w:top w:val="none" w:sz="0" w:space="0" w:color="auto"/>
            <w:left w:val="none" w:sz="0" w:space="0" w:color="auto"/>
            <w:bottom w:val="none" w:sz="0" w:space="0" w:color="auto"/>
            <w:right w:val="none" w:sz="0" w:space="0" w:color="auto"/>
          </w:divBdr>
        </w:div>
        <w:div w:id="481115832">
          <w:marLeft w:val="0"/>
          <w:marRight w:val="0"/>
          <w:marTop w:val="0"/>
          <w:marBottom w:val="0"/>
          <w:divBdr>
            <w:top w:val="none" w:sz="0" w:space="0" w:color="auto"/>
            <w:left w:val="none" w:sz="0" w:space="0" w:color="auto"/>
            <w:bottom w:val="none" w:sz="0" w:space="0" w:color="auto"/>
            <w:right w:val="none" w:sz="0" w:space="0" w:color="auto"/>
          </w:divBdr>
        </w:div>
        <w:div w:id="912355842">
          <w:marLeft w:val="0"/>
          <w:marRight w:val="0"/>
          <w:marTop w:val="0"/>
          <w:marBottom w:val="0"/>
          <w:divBdr>
            <w:top w:val="none" w:sz="0" w:space="0" w:color="auto"/>
            <w:left w:val="none" w:sz="0" w:space="0" w:color="auto"/>
            <w:bottom w:val="none" w:sz="0" w:space="0" w:color="auto"/>
            <w:right w:val="none" w:sz="0" w:space="0" w:color="auto"/>
          </w:divBdr>
        </w:div>
        <w:div w:id="1441413596">
          <w:marLeft w:val="0"/>
          <w:marRight w:val="0"/>
          <w:marTop w:val="0"/>
          <w:marBottom w:val="0"/>
          <w:divBdr>
            <w:top w:val="none" w:sz="0" w:space="0" w:color="auto"/>
            <w:left w:val="none" w:sz="0" w:space="0" w:color="auto"/>
            <w:bottom w:val="none" w:sz="0" w:space="0" w:color="auto"/>
            <w:right w:val="none" w:sz="0" w:space="0" w:color="auto"/>
          </w:divBdr>
        </w:div>
        <w:div w:id="1139111745">
          <w:marLeft w:val="0"/>
          <w:marRight w:val="0"/>
          <w:marTop w:val="0"/>
          <w:marBottom w:val="0"/>
          <w:divBdr>
            <w:top w:val="none" w:sz="0" w:space="0" w:color="auto"/>
            <w:left w:val="none" w:sz="0" w:space="0" w:color="auto"/>
            <w:bottom w:val="none" w:sz="0" w:space="0" w:color="auto"/>
            <w:right w:val="none" w:sz="0" w:space="0" w:color="auto"/>
          </w:divBdr>
        </w:div>
        <w:div w:id="868420715">
          <w:marLeft w:val="0"/>
          <w:marRight w:val="0"/>
          <w:marTop w:val="0"/>
          <w:marBottom w:val="0"/>
          <w:divBdr>
            <w:top w:val="none" w:sz="0" w:space="0" w:color="auto"/>
            <w:left w:val="none" w:sz="0" w:space="0" w:color="auto"/>
            <w:bottom w:val="none" w:sz="0" w:space="0" w:color="auto"/>
            <w:right w:val="none" w:sz="0" w:space="0" w:color="auto"/>
          </w:divBdr>
        </w:div>
        <w:div w:id="1667398470">
          <w:marLeft w:val="0"/>
          <w:marRight w:val="0"/>
          <w:marTop w:val="0"/>
          <w:marBottom w:val="0"/>
          <w:divBdr>
            <w:top w:val="none" w:sz="0" w:space="0" w:color="auto"/>
            <w:left w:val="none" w:sz="0" w:space="0" w:color="auto"/>
            <w:bottom w:val="none" w:sz="0" w:space="0" w:color="auto"/>
            <w:right w:val="none" w:sz="0" w:space="0" w:color="auto"/>
          </w:divBdr>
        </w:div>
        <w:div w:id="1371150176">
          <w:marLeft w:val="0"/>
          <w:marRight w:val="0"/>
          <w:marTop w:val="0"/>
          <w:marBottom w:val="0"/>
          <w:divBdr>
            <w:top w:val="none" w:sz="0" w:space="0" w:color="auto"/>
            <w:left w:val="none" w:sz="0" w:space="0" w:color="auto"/>
            <w:bottom w:val="none" w:sz="0" w:space="0" w:color="auto"/>
            <w:right w:val="none" w:sz="0" w:space="0" w:color="auto"/>
          </w:divBdr>
        </w:div>
      </w:divsChild>
    </w:div>
    <w:div w:id="1648119924">
      <w:bodyDiv w:val="1"/>
      <w:marLeft w:val="0"/>
      <w:marRight w:val="0"/>
      <w:marTop w:val="0"/>
      <w:marBottom w:val="0"/>
      <w:divBdr>
        <w:top w:val="none" w:sz="0" w:space="0" w:color="auto"/>
        <w:left w:val="none" w:sz="0" w:space="0" w:color="auto"/>
        <w:bottom w:val="none" w:sz="0" w:space="0" w:color="auto"/>
        <w:right w:val="none" w:sz="0" w:space="0" w:color="auto"/>
      </w:divBdr>
      <w:divsChild>
        <w:div w:id="116144478">
          <w:marLeft w:val="0"/>
          <w:marRight w:val="0"/>
          <w:marTop w:val="0"/>
          <w:marBottom w:val="0"/>
          <w:divBdr>
            <w:top w:val="none" w:sz="0" w:space="0" w:color="auto"/>
            <w:left w:val="none" w:sz="0" w:space="0" w:color="auto"/>
            <w:bottom w:val="none" w:sz="0" w:space="0" w:color="auto"/>
            <w:right w:val="none" w:sz="0" w:space="0" w:color="auto"/>
          </w:divBdr>
        </w:div>
        <w:div w:id="1969776215">
          <w:marLeft w:val="0"/>
          <w:marRight w:val="0"/>
          <w:marTop w:val="0"/>
          <w:marBottom w:val="0"/>
          <w:divBdr>
            <w:top w:val="none" w:sz="0" w:space="0" w:color="auto"/>
            <w:left w:val="none" w:sz="0" w:space="0" w:color="auto"/>
            <w:bottom w:val="none" w:sz="0" w:space="0" w:color="auto"/>
            <w:right w:val="none" w:sz="0" w:space="0" w:color="auto"/>
          </w:divBdr>
        </w:div>
        <w:div w:id="1220291187">
          <w:marLeft w:val="0"/>
          <w:marRight w:val="0"/>
          <w:marTop w:val="0"/>
          <w:marBottom w:val="0"/>
          <w:divBdr>
            <w:top w:val="none" w:sz="0" w:space="0" w:color="auto"/>
            <w:left w:val="none" w:sz="0" w:space="0" w:color="auto"/>
            <w:bottom w:val="none" w:sz="0" w:space="0" w:color="auto"/>
            <w:right w:val="none" w:sz="0" w:space="0" w:color="auto"/>
          </w:divBdr>
        </w:div>
        <w:div w:id="338236124">
          <w:marLeft w:val="0"/>
          <w:marRight w:val="0"/>
          <w:marTop w:val="0"/>
          <w:marBottom w:val="0"/>
          <w:divBdr>
            <w:top w:val="none" w:sz="0" w:space="0" w:color="auto"/>
            <w:left w:val="none" w:sz="0" w:space="0" w:color="auto"/>
            <w:bottom w:val="none" w:sz="0" w:space="0" w:color="auto"/>
            <w:right w:val="none" w:sz="0" w:space="0" w:color="auto"/>
          </w:divBdr>
        </w:div>
        <w:div w:id="168370053">
          <w:marLeft w:val="0"/>
          <w:marRight w:val="0"/>
          <w:marTop w:val="0"/>
          <w:marBottom w:val="0"/>
          <w:divBdr>
            <w:top w:val="none" w:sz="0" w:space="0" w:color="auto"/>
            <w:left w:val="none" w:sz="0" w:space="0" w:color="auto"/>
            <w:bottom w:val="none" w:sz="0" w:space="0" w:color="auto"/>
            <w:right w:val="none" w:sz="0" w:space="0" w:color="auto"/>
          </w:divBdr>
        </w:div>
        <w:div w:id="1007249105">
          <w:marLeft w:val="0"/>
          <w:marRight w:val="0"/>
          <w:marTop w:val="0"/>
          <w:marBottom w:val="0"/>
          <w:divBdr>
            <w:top w:val="none" w:sz="0" w:space="0" w:color="auto"/>
            <w:left w:val="none" w:sz="0" w:space="0" w:color="auto"/>
            <w:bottom w:val="none" w:sz="0" w:space="0" w:color="auto"/>
            <w:right w:val="none" w:sz="0" w:space="0" w:color="auto"/>
          </w:divBdr>
        </w:div>
        <w:div w:id="409470165">
          <w:marLeft w:val="0"/>
          <w:marRight w:val="0"/>
          <w:marTop w:val="0"/>
          <w:marBottom w:val="0"/>
          <w:divBdr>
            <w:top w:val="none" w:sz="0" w:space="0" w:color="auto"/>
            <w:left w:val="none" w:sz="0" w:space="0" w:color="auto"/>
            <w:bottom w:val="none" w:sz="0" w:space="0" w:color="auto"/>
            <w:right w:val="none" w:sz="0" w:space="0" w:color="auto"/>
          </w:divBdr>
        </w:div>
        <w:div w:id="2024627843">
          <w:marLeft w:val="0"/>
          <w:marRight w:val="0"/>
          <w:marTop w:val="0"/>
          <w:marBottom w:val="0"/>
          <w:divBdr>
            <w:top w:val="none" w:sz="0" w:space="0" w:color="auto"/>
            <w:left w:val="none" w:sz="0" w:space="0" w:color="auto"/>
            <w:bottom w:val="none" w:sz="0" w:space="0" w:color="auto"/>
            <w:right w:val="none" w:sz="0" w:space="0" w:color="auto"/>
          </w:divBdr>
        </w:div>
        <w:div w:id="1505365841">
          <w:marLeft w:val="0"/>
          <w:marRight w:val="0"/>
          <w:marTop w:val="0"/>
          <w:marBottom w:val="0"/>
          <w:divBdr>
            <w:top w:val="none" w:sz="0" w:space="0" w:color="auto"/>
            <w:left w:val="none" w:sz="0" w:space="0" w:color="auto"/>
            <w:bottom w:val="none" w:sz="0" w:space="0" w:color="auto"/>
            <w:right w:val="none" w:sz="0" w:space="0" w:color="auto"/>
          </w:divBdr>
        </w:div>
        <w:div w:id="809785112">
          <w:marLeft w:val="0"/>
          <w:marRight w:val="0"/>
          <w:marTop w:val="0"/>
          <w:marBottom w:val="0"/>
          <w:divBdr>
            <w:top w:val="none" w:sz="0" w:space="0" w:color="auto"/>
            <w:left w:val="none" w:sz="0" w:space="0" w:color="auto"/>
            <w:bottom w:val="none" w:sz="0" w:space="0" w:color="auto"/>
            <w:right w:val="none" w:sz="0" w:space="0" w:color="auto"/>
          </w:divBdr>
        </w:div>
        <w:div w:id="1122917736">
          <w:marLeft w:val="0"/>
          <w:marRight w:val="0"/>
          <w:marTop w:val="0"/>
          <w:marBottom w:val="0"/>
          <w:divBdr>
            <w:top w:val="none" w:sz="0" w:space="0" w:color="auto"/>
            <w:left w:val="none" w:sz="0" w:space="0" w:color="auto"/>
            <w:bottom w:val="none" w:sz="0" w:space="0" w:color="auto"/>
            <w:right w:val="none" w:sz="0" w:space="0" w:color="auto"/>
          </w:divBdr>
        </w:div>
        <w:div w:id="1889298816">
          <w:marLeft w:val="0"/>
          <w:marRight w:val="0"/>
          <w:marTop w:val="0"/>
          <w:marBottom w:val="0"/>
          <w:divBdr>
            <w:top w:val="none" w:sz="0" w:space="0" w:color="auto"/>
            <w:left w:val="none" w:sz="0" w:space="0" w:color="auto"/>
            <w:bottom w:val="none" w:sz="0" w:space="0" w:color="auto"/>
            <w:right w:val="none" w:sz="0" w:space="0" w:color="auto"/>
          </w:divBdr>
        </w:div>
        <w:div w:id="130944495">
          <w:marLeft w:val="0"/>
          <w:marRight w:val="0"/>
          <w:marTop w:val="0"/>
          <w:marBottom w:val="0"/>
          <w:divBdr>
            <w:top w:val="none" w:sz="0" w:space="0" w:color="auto"/>
            <w:left w:val="none" w:sz="0" w:space="0" w:color="auto"/>
            <w:bottom w:val="none" w:sz="0" w:space="0" w:color="auto"/>
            <w:right w:val="none" w:sz="0" w:space="0" w:color="auto"/>
          </w:divBdr>
        </w:div>
        <w:div w:id="69161790">
          <w:marLeft w:val="0"/>
          <w:marRight w:val="0"/>
          <w:marTop w:val="0"/>
          <w:marBottom w:val="0"/>
          <w:divBdr>
            <w:top w:val="none" w:sz="0" w:space="0" w:color="auto"/>
            <w:left w:val="none" w:sz="0" w:space="0" w:color="auto"/>
            <w:bottom w:val="none" w:sz="0" w:space="0" w:color="auto"/>
            <w:right w:val="none" w:sz="0" w:space="0" w:color="auto"/>
          </w:divBdr>
        </w:div>
        <w:div w:id="173686724">
          <w:marLeft w:val="0"/>
          <w:marRight w:val="0"/>
          <w:marTop w:val="0"/>
          <w:marBottom w:val="0"/>
          <w:divBdr>
            <w:top w:val="none" w:sz="0" w:space="0" w:color="auto"/>
            <w:left w:val="none" w:sz="0" w:space="0" w:color="auto"/>
            <w:bottom w:val="none" w:sz="0" w:space="0" w:color="auto"/>
            <w:right w:val="none" w:sz="0" w:space="0" w:color="auto"/>
          </w:divBdr>
        </w:div>
        <w:div w:id="1843356026">
          <w:marLeft w:val="0"/>
          <w:marRight w:val="0"/>
          <w:marTop w:val="0"/>
          <w:marBottom w:val="0"/>
          <w:divBdr>
            <w:top w:val="none" w:sz="0" w:space="0" w:color="auto"/>
            <w:left w:val="none" w:sz="0" w:space="0" w:color="auto"/>
            <w:bottom w:val="none" w:sz="0" w:space="0" w:color="auto"/>
            <w:right w:val="none" w:sz="0" w:space="0" w:color="auto"/>
          </w:divBdr>
        </w:div>
        <w:div w:id="537160890">
          <w:marLeft w:val="0"/>
          <w:marRight w:val="0"/>
          <w:marTop w:val="0"/>
          <w:marBottom w:val="0"/>
          <w:divBdr>
            <w:top w:val="none" w:sz="0" w:space="0" w:color="auto"/>
            <w:left w:val="none" w:sz="0" w:space="0" w:color="auto"/>
            <w:bottom w:val="none" w:sz="0" w:space="0" w:color="auto"/>
            <w:right w:val="none" w:sz="0" w:space="0" w:color="auto"/>
          </w:divBdr>
        </w:div>
        <w:div w:id="973408067">
          <w:marLeft w:val="0"/>
          <w:marRight w:val="0"/>
          <w:marTop w:val="0"/>
          <w:marBottom w:val="0"/>
          <w:divBdr>
            <w:top w:val="none" w:sz="0" w:space="0" w:color="auto"/>
            <w:left w:val="none" w:sz="0" w:space="0" w:color="auto"/>
            <w:bottom w:val="none" w:sz="0" w:space="0" w:color="auto"/>
            <w:right w:val="none" w:sz="0" w:space="0" w:color="auto"/>
          </w:divBdr>
        </w:div>
        <w:div w:id="206796773">
          <w:marLeft w:val="0"/>
          <w:marRight w:val="0"/>
          <w:marTop w:val="0"/>
          <w:marBottom w:val="0"/>
          <w:divBdr>
            <w:top w:val="none" w:sz="0" w:space="0" w:color="auto"/>
            <w:left w:val="none" w:sz="0" w:space="0" w:color="auto"/>
            <w:bottom w:val="none" w:sz="0" w:space="0" w:color="auto"/>
            <w:right w:val="none" w:sz="0" w:space="0" w:color="auto"/>
          </w:divBdr>
        </w:div>
        <w:div w:id="884609426">
          <w:marLeft w:val="0"/>
          <w:marRight w:val="0"/>
          <w:marTop w:val="0"/>
          <w:marBottom w:val="0"/>
          <w:divBdr>
            <w:top w:val="none" w:sz="0" w:space="0" w:color="auto"/>
            <w:left w:val="none" w:sz="0" w:space="0" w:color="auto"/>
            <w:bottom w:val="none" w:sz="0" w:space="0" w:color="auto"/>
            <w:right w:val="none" w:sz="0" w:space="0" w:color="auto"/>
          </w:divBdr>
        </w:div>
        <w:div w:id="245577485">
          <w:marLeft w:val="0"/>
          <w:marRight w:val="0"/>
          <w:marTop w:val="0"/>
          <w:marBottom w:val="0"/>
          <w:divBdr>
            <w:top w:val="none" w:sz="0" w:space="0" w:color="auto"/>
            <w:left w:val="none" w:sz="0" w:space="0" w:color="auto"/>
            <w:bottom w:val="none" w:sz="0" w:space="0" w:color="auto"/>
            <w:right w:val="none" w:sz="0" w:space="0" w:color="auto"/>
          </w:divBdr>
        </w:div>
        <w:div w:id="2013413401">
          <w:marLeft w:val="0"/>
          <w:marRight w:val="0"/>
          <w:marTop w:val="0"/>
          <w:marBottom w:val="0"/>
          <w:divBdr>
            <w:top w:val="none" w:sz="0" w:space="0" w:color="auto"/>
            <w:left w:val="none" w:sz="0" w:space="0" w:color="auto"/>
            <w:bottom w:val="none" w:sz="0" w:space="0" w:color="auto"/>
            <w:right w:val="none" w:sz="0" w:space="0" w:color="auto"/>
          </w:divBdr>
        </w:div>
        <w:div w:id="480851871">
          <w:marLeft w:val="0"/>
          <w:marRight w:val="0"/>
          <w:marTop w:val="0"/>
          <w:marBottom w:val="0"/>
          <w:divBdr>
            <w:top w:val="none" w:sz="0" w:space="0" w:color="auto"/>
            <w:left w:val="none" w:sz="0" w:space="0" w:color="auto"/>
            <w:bottom w:val="none" w:sz="0" w:space="0" w:color="auto"/>
            <w:right w:val="none" w:sz="0" w:space="0" w:color="auto"/>
          </w:divBdr>
        </w:div>
        <w:div w:id="1505708298">
          <w:marLeft w:val="0"/>
          <w:marRight w:val="0"/>
          <w:marTop w:val="0"/>
          <w:marBottom w:val="0"/>
          <w:divBdr>
            <w:top w:val="none" w:sz="0" w:space="0" w:color="auto"/>
            <w:left w:val="none" w:sz="0" w:space="0" w:color="auto"/>
            <w:bottom w:val="none" w:sz="0" w:space="0" w:color="auto"/>
            <w:right w:val="none" w:sz="0" w:space="0" w:color="auto"/>
          </w:divBdr>
        </w:div>
        <w:div w:id="396441119">
          <w:marLeft w:val="0"/>
          <w:marRight w:val="0"/>
          <w:marTop w:val="0"/>
          <w:marBottom w:val="0"/>
          <w:divBdr>
            <w:top w:val="none" w:sz="0" w:space="0" w:color="auto"/>
            <w:left w:val="none" w:sz="0" w:space="0" w:color="auto"/>
            <w:bottom w:val="none" w:sz="0" w:space="0" w:color="auto"/>
            <w:right w:val="none" w:sz="0" w:space="0" w:color="auto"/>
          </w:divBdr>
        </w:div>
        <w:div w:id="1385526861">
          <w:marLeft w:val="0"/>
          <w:marRight w:val="0"/>
          <w:marTop w:val="0"/>
          <w:marBottom w:val="0"/>
          <w:divBdr>
            <w:top w:val="none" w:sz="0" w:space="0" w:color="auto"/>
            <w:left w:val="none" w:sz="0" w:space="0" w:color="auto"/>
            <w:bottom w:val="none" w:sz="0" w:space="0" w:color="auto"/>
            <w:right w:val="none" w:sz="0" w:space="0" w:color="auto"/>
          </w:divBdr>
        </w:div>
        <w:div w:id="228924378">
          <w:marLeft w:val="0"/>
          <w:marRight w:val="0"/>
          <w:marTop w:val="0"/>
          <w:marBottom w:val="0"/>
          <w:divBdr>
            <w:top w:val="none" w:sz="0" w:space="0" w:color="auto"/>
            <w:left w:val="none" w:sz="0" w:space="0" w:color="auto"/>
            <w:bottom w:val="none" w:sz="0" w:space="0" w:color="auto"/>
            <w:right w:val="none" w:sz="0" w:space="0" w:color="auto"/>
          </w:divBdr>
        </w:div>
        <w:div w:id="361824505">
          <w:marLeft w:val="0"/>
          <w:marRight w:val="0"/>
          <w:marTop w:val="0"/>
          <w:marBottom w:val="0"/>
          <w:divBdr>
            <w:top w:val="none" w:sz="0" w:space="0" w:color="auto"/>
            <w:left w:val="none" w:sz="0" w:space="0" w:color="auto"/>
            <w:bottom w:val="none" w:sz="0" w:space="0" w:color="auto"/>
            <w:right w:val="none" w:sz="0" w:space="0" w:color="auto"/>
          </w:divBdr>
        </w:div>
        <w:div w:id="1639721818">
          <w:marLeft w:val="0"/>
          <w:marRight w:val="0"/>
          <w:marTop w:val="0"/>
          <w:marBottom w:val="0"/>
          <w:divBdr>
            <w:top w:val="none" w:sz="0" w:space="0" w:color="auto"/>
            <w:left w:val="none" w:sz="0" w:space="0" w:color="auto"/>
            <w:bottom w:val="none" w:sz="0" w:space="0" w:color="auto"/>
            <w:right w:val="none" w:sz="0" w:space="0" w:color="auto"/>
          </w:divBdr>
        </w:div>
        <w:div w:id="1029992978">
          <w:marLeft w:val="0"/>
          <w:marRight w:val="0"/>
          <w:marTop w:val="0"/>
          <w:marBottom w:val="0"/>
          <w:divBdr>
            <w:top w:val="none" w:sz="0" w:space="0" w:color="auto"/>
            <w:left w:val="none" w:sz="0" w:space="0" w:color="auto"/>
            <w:bottom w:val="none" w:sz="0" w:space="0" w:color="auto"/>
            <w:right w:val="none" w:sz="0" w:space="0" w:color="auto"/>
          </w:divBdr>
        </w:div>
        <w:div w:id="906309482">
          <w:marLeft w:val="0"/>
          <w:marRight w:val="0"/>
          <w:marTop w:val="0"/>
          <w:marBottom w:val="0"/>
          <w:divBdr>
            <w:top w:val="none" w:sz="0" w:space="0" w:color="auto"/>
            <w:left w:val="none" w:sz="0" w:space="0" w:color="auto"/>
            <w:bottom w:val="none" w:sz="0" w:space="0" w:color="auto"/>
            <w:right w:val="none" w:sz="0" w:space="0" w:color="auto"/>
          </w:divBdr>
        </w:div>
        <w:div w:id="444547082">
          <w:marLeft w:val="0"/>
          <w:marRight w:val="0"/>
          <w:marTop w:val="0"/>
          <w:marBottom w:val="0"/>
          <w:divBdr>
            <w:top w:val="none" w:sz="0" w:space="0" w:color="auto"/>
            <w:left w:val="none" w:sz="0" w:space="0" w:color="auto"/>
            <w:bottom w:val="none" w:sz="0" w:space="0" w:color="auto"/>
            <w:right w:val="none" w:sz="0" w:space="0" w:color="auto"/>
          </w:divBdr>
        </w:div>
        <w:div w:id="1603613773">
          <w:marLeft w:val="0"/>
          <w:marRight w:val="0"/>
          <w:marTop w:val="0"/>
          <w:marBottom w:val="0"/>
          <w:divBdr>
            <w:top w:val="none" w:sz="0" w:space="0" w:color="auto"/>
            <w:left w:val="none" w:sz="0" w:space="0" w:color="auto"/>
            <w:bottom w:val="none" w:sz="0" w:space="0" w:color="auto"/>
            <w:right w:val="none" w:sz="0" w:space="0" w:color="auto"/>
          </w:divBdr>
        </w:div>
        <w:div w:id="386220487">
          <w:marLeft w:val="0"/>
          <w:marRight w:val="0"/>
          <w:marTop w:val="0"/>
          <w:marBottom w:val="0"/>
          <w:divBdr>
            <w:top w:val="none" w:sz="0" w:space="0" w:color="auto"/>
            <w:left w:val="none" w:sz="0" w:space="0" w:color="auto"/>
            <w:bottom w:val="none" w:sz="0" w:space="0" w:color="auto"/>
            <w:right w:val="none" w:sz="0" w:space="0" w:color="auto"/>
          </w:divBdr>
        </w:div>
        <w:div w:id="2134862460">
          <w:marLeft w:val="0"/>
          <w:marRight w:val="0"/>
          <w:marTop w:val="0"/>
          <w:marBottom w:val="0"/>
          <w:divBdr>
            <w:top w:val="none" w:sz="0" w:space="0" w:color="auto"/>
            <w:left w:val="none" w:sz="0" w:space="0" w:color="auto"/>
            <w:bottom w:val="none" w:sz="0" w:space="0" w:color="auto"/>
            <w:right w:val="none" w:sz="0" w:space="0" w:color="auto"/>
          </w:divBdr>
        </w:div>
        <w:div w:id="912203697">
          <w:marLeft w:val="0"/>
          <w:marRight w:val="0"/>
          <w:marTop w:val="0"/>
          <w:marBottom w:val="0"/>
          <w:divBdr>
            <w:top w:val="none" w:sz="0" w:space="0" w:color="auto"/>
            <w:left w:val="none" w:sz="0" w:space="0" w:color="auto"/>
            <w:bottom w:val="none" w:sz="0" w:space="0" w:color="auto"/>
            <w:right w:val="none" w:sz="0" w:space="0" w:color="auto"/>
          </w:divBdr>
        </w:div>
        <w:div w:id="1508905297">
          <w:marLeft w:val="0"/>
          <w:marRight w:val="0"/>
          <w:marTop w:val="0"/>
          <w:marBottom w:val="0"/>
          <w:divBdr>
            <w:top w:val="none" w:sz="0" w:space="0" w:color="auto"/>
            <w:left w:val="none" w:sz="0" w:space="0" w:color="auto"/>
            <w:bottom w:val="none" w:sz="0" w:space="0" w:color="auto"/>
            <w:right w:val="none" w:sz="0" w:space="0" w:color="auto"/>
          </w:divBdr>
        </w:div>
        <w:div w:id="1303270307">
          <w:marLeft w:val="0"/>
          <w:marRight w:val="0"/>
          <w:marTop w:val="0"/>
          <w:marBottom w:val="0"/>
          <w:divBdr>
            <w:top w:val="none" w:sz="0" w:space="0" w:color="auto"/>
            <w:left w:val="none" w:sz="0" w:space="0" w:color="auto"/>
            <w:bottom w:val="none" w:sz="0" w:space="0" w:color="auto"/>
            <w:right w:val="none" w:sz="0" w:space="0" w:color="auto"/>
          </w:divBdr>
        </w:div>
        <w:div w:id="959384190">
          <w:marLeft w:val="0"/>
          <w:marRight w:val="0"/>
          <w:marTop w:val="0"/>
          <w:marBottom w:val="0"/>
          <w:divBdr>
            <w:top w:val="none" w:sz="0" w:space="0" w:color="auto"/>
            <w:left w:val="none" w:sz="0" w:space="0" w:color="auto"/>
            <w:bottom w:val="none" w:sz="0" w:space="0" w:color="auto"/>
            <w:right w:val="none" w:sz="0" w:space="0" w:color="auto"/>
          </w:divBdr>
        </w:div>
        <w:div w:id="310988352">
          <w:marLeft w:val="0"/>
          <w:marRight w:val="0"/>
          <w:marTop w:val="0"/>
          <w:marBottom w:val="0"/>
          <w:divBdr>
            <w:top w:val="none" w:sz="0" w:space="0" w:color="auto"/>
            <w:left w:val="none" w:sz="0" w:space="0" w:color="auto"/>
            <w:bottom w:val="none" w:sz="0" w:space="0" w:color="auto"/>
            <w:right w:val="none" w:sz="0" w:space="0" w:color="auto"/>
          </w:divBdr>
        </w:div>
        <w:div w:id="358091770">
          <w:marLeft w:val="0"/>
          <w:marRight w:val="0"/>
          <w:marTop w:val="0"/>
          <w:marBottom w:val="0"/>
          <w:divBdr>
            <w:top w:val="none" w:sz="0" w:space="0" w:color="auto"/>
            <w:left w:val="none" w:sz="0" w:space="0" w:color="auto"/>
            <w:bottom w:val="none" w:sz="0" w:space="0" w:color="auto"/>
            <w:right w:val="none" w:sz="0" w:space="0" w:color="auto"/>
          </w:divBdr>
        </w:div>
        <w:div w:id="332417514">
          <w:marLeft w:val="0"/>
          <w:marRight w:val="0"/>
          <w:marTop w:val="0"/>
          <w:marBottom w:val="0"/>
          <w:divBdr>
            <w:top w:val="none" w:sz="0" w:space="0" w:color="auto"/>
            <w:left w:val="none" w:sz="0" w:space="0" w:color="auto"/>
            <w:bottom w:val="none" w:sz="0" w:space="0" w:color="auto"/>
            <w:right w:val="none" w:sz="0" w:space="0" w:color="auto"/>
          </w:divBdr>
        </w:div>
        <w:div w:id="1090128113">
          <w:marLeft w:val="0"/>
          <w:marRight w:val="0"/>
          <w:marTop w:val="0"/>
          <w:marBottom w:val="0"/>
          <w:divBdr>
            <w:top w:val="none" w:sz="0" w:space="0" w:color="auto"/>
            <w:left w:val="none" w:sz="0" w:space="0" w:color="auto"/>
            <w:bottom w:val="none" w:sz="0" w:space="0" w:color="auto"/>
            <w:right w:val="none" w:sz="0" w:space="0" w:color="auto"/>
          </w:divBdr>
        </w:div>
        <w:div w:id="34962379">
          <w:marLeft w:val="0"/>
          <w:marRight w:val="0"/>
          <w:marTop w:val="0"/>
          <w:marBottom w:val="0"/>
          <w:divBdr>
            <w:top w:val="none" w:sz="0" w:space="0" w:color="auto"/>
            <w:left w:val="none" w:sz="0" w:space="0" w:color="auto"/>
            <w:bottom w:val="none" w:sz="0" w:space="0" w:color="auto"/>
            <w:right w:val="none" w:sz="0" w:space="0" w:color="auto"/>
          </w:divBdr>
        </w:div>
        <w:div w:id="911693808">
          <w:marLeft w:val="0"/>
          <w:marRight w:val="0"/>
          <w:marTop w:val="0"/>
          <w:marBottom w:val="0"/>
          <w:divBdr>
            <w:top w:val="none" w:sz="0" w:space="0" w:color="auto"/>
            <w:left w:val="none" w:sz="0" w:space="0" w:color="auto"/>
            <w:bottom w:val="none" w:sz="0" w:space="0" w:color="auto"/>
            <w:right w:val="none" w:sz="0" w:space="0" w:color="auto"/>
          </w:divBdr>
        </w:div>
        <w:div w:id="650793504">
          <w:marLeft w:val="0"/>
          <w:marRight w:val="0"/>
          <w:marTop w:val="0"/>
          <w:marBottom w:val="0"/>
          <w:divBdr>
            <w:top w:val="none" w:sz="0" w:space="0" w:color="auto"/>
            <w:left w:val="none" w:sz="0" w:space="0" w:color="auto"/>
            <w:bottom w:val="none" w:sz="0" w:space="0" w:color="auto"/>
            <w:right w:val="none" w:sz="0" w:space="0" w:color="auto"/>
          </w:divBdr>
        </w:div>
        <w:div w:id="1138574174">
          <w:marLeft w:val="0"/>
          <w:marRight w:val="0"/>
          <w:marTop w:val="0"/>
          <w:marBottom w:val="0"/>
          <w:divBdr>
            <w:top w:val="none" w:sz="0" w:space="0" w:color="auto"/>
            <w:left w:val="none" w:sz="0" w:space="0" w:color="auto"/>
            <w:bottom w:val="none" w:sz="0" w:space="0" w:color="auto"/>
            <w:right w:val="none" w:sz="0" w:space="0" w:color="auto"/>
          </w:divBdr>
        </w:div>
        <w:div w:id="42945332">
          <w:marLeft w:val="0"/>
          <w:marRight w:val="0"/>
          <w:marTop w:val="0"/>
          <w:marBottom w:val="0"/>
          <w:divBdr>
            <w:top w:val="none" w:sz="0" w:space="0" w:color="auto"/>
            <w:left w:val="none" w:sz="0" w:space="0" w:color="auto"/>
            <w:bottom w:val="none" w:sz="0" w:space="0" w:color="auto"/>
            <w:right w:val="none" w:sz="0" w:space="0" w:color="auto"/>
          </w:divBdr>
        </w:div>
        <w:div w:id="591472289">
          <w:marLeft w:val="0"/>
          <w:marRight w:val="0"/>
          <w:marTop w:val="0"/>
          <w:marBottom w:val="0"/>
          <w:divBdr>
            <w:top w:val="none" w:sz="0" w:space="0" w:color="auto"/>
            <w:left w:val="none" w:sz="0" w:space="0" w:color="auto"/>
            <w:bottom w:val="none" w:sz="0" w:space="0" w:color="auto"/>
            <w:right w:val="none" w:sz="0" w:space="0" w:color="auto"/>
          </w:divBdr>
        </w:div>
        <w:div w:id="1937130722">
          <w:marLeft w:val="0"/>
          <w:marRight w:val="0"/>
          <w:marTop w:val="0"/>
          <w:marBottom w:val="0"/>
          <w:divBdr>
            <w:top w:val="none" w:sz="0" w:space="0" w:color="auto"/>
            <w:left w:val="none" w:sz="0" w:space="0" w:color="auto"/>
            <w:bottom w:val="none" w:sz="0" w:space="0" w:color="auto"/>
            <w:right w:val="none" w:sz="0" w:space="0" w:color="auto"/>
          </w:divBdr>
        </w:div>
        <w:div w:id="500394377">
          <w:marLeft w:val="0"/>
          <w:marRight w:val="0"/>
          <w:marTop w:val="0"/>
          <w:marBottom w:val="0"/>
          <w:divBdr>
            <w:top w:val="none" w:sz="0" w:space="0" w:color="auto"/>
            <w:left w:val="none" w:sz="0" w:space="0" w:color="auto"/>
            <w:bottom w:val="none" w:sz="0" w:space="0" w:color="auto"/>
            <w:right w:val="none" w:sz="0" w:space="0" w:color="auto"/>
          </w:divBdr>
        </w:div>
        <w:div w:id="1315184671">
          <w:marLeft w:val="0"/>
          <w:marRight w:val="0"/>
          <w:marTop w:val="0"/>
          <w:marBottom w:val="0"/>
          <w:divBdr>
            <w:top w:val="none" w:sz="0" w:space="0" w:color="auto"/>
            <w:left w:val="none" w:sz="0" w:space="0" w:color="auto"/>
            <w:bottom w:val="none" w:sz="0" w:space="0" w:color="auto"/>
            <w:right w:val="none" w:sz="0" w:space="0" w:color="auto"/>
          </w:divBdr>
        </w:div>
        <w:div w:id="1265647469">
          <w:marLeft w:val="0"/>
          <w:marRight w:val="0"/>
          <w:marTop w:val="0"/>
          <w:marBottom w:val="0"/>
          <w:divBdr>
            <w:top w:val="none" w:sz="0" w:space="0" w:color="auto"/>
            <w:left w:val="none" w:sz="0" w:space="0" w:color="auto"/>
            <w:bottom w:val="none" w:sz="0" w:space="0" w:color="auto"/>
            <w:right w:val="none" w:sz="0" w:space="0" w:color="auto"/>
          </w:divBdr>
        </w:div>
        <w:div w:id="1429814953">
          <w:marLeft w:val="0"/>
          <w:marRight w:val="0"/>
          <w:marTop w:val="0"/>
          <w:marBottom w:val="0"/>
          <w:divBdr>
            <w:top w:val="none" w:sz="0" w:space="0" w:color="auto"/>
            <w:left w:val="none" w:sz="0" w:space="0" w:color="auto"/>
            <w:bottom w:val="none" w:sz="0" w:space="0" w:color="auto"/>
            <w:right w:val="none" w:sz="0" w:space="0" w:color="auto"/>
          </w:divBdr>
        </w:div>
        <w:div w:id="2128354824">
          <w:marLeft w:val="0"/>
          <w:marRight w:val="0"/>
          <w:marTop w:val="0"/>
          <w:marBottom w:val="0"/>
          <w:divBdr>
            <w:top w:val="none" w:sz="0" w:space="0" w:color="auto"/>
            <w:left w:val="none" w:sz="0" w:space="0" w:color="auto"/>
            <w:bottom w:val="none" w:sz="0" w:space="0" w:color="auto"/>
            <w:right w:val="none" w:sz="0" w:space="0" w:color="auto"/>
          </w:divBdr>
        </w:div>
        <w:div w:id="551426958">
          <w:marLeft w:val="0"/>
          <w:marRight w:val="0"/>
          <w:marTop w:val="0"/>
          <w:marBottom w:val="0"/>
          <w:divBdr>
            <w:top w:val="none" w:sz="0" w:space="0" w:color="auto"/>
            <w:left w:val="none" w:sz="0" w:space="0" w:color="auto"/>
            <w:bottom w:val="none" w:sz="0" w:space="0" w:color="auto"/>
            <w:right w:val="none" w:sz="0" w:space="0" w:color="auto"/>
          </w:divBdr>
        </w:div>
        <w:div w:id="381516316">
          <w:marLeft w:val="0"/>
          <w:marRight w:val="0"/>
          <w:marTop w:val="0"/>
          <w:marBottom w:val="0"/>
          <w:divBdr>
            <w:top w:val="none" w:sz="0" w:space="0" w:color="auto"/>
            <w:left w:val="none" w:sz="0" w:space="0" w:color="auto"/>
            <w:bottom w:val="none" w:sz="0" w:space="0" w:color="auto"/>
            <w:right w:val="none" w:sz="0" w:space="0" w:color="auto"/>
          </w:divBdr>
        </w:div>
        <w:div w:id="1115060478">
          <w:marLeft w:val="0"/>
          <w:marRight w:val="0"/>
          <w:marTop w:val="0"/>
          <w:marBottom w:val="0"/>
          <w:divBdr>
            <w:top w:val="none" w:sz="0" w:space="0" w:color="auto"/>
            <w:left w:val="none" w:sz="0" w:space="0" w:color="auto"/>
            <w:bottom w:val="none" w:sz="0" w:space="0" w:color="auto"/>
            <w:right w:val="none" w:sz="0" w:space="0" w:color="auto"/>
          </w:divBdr>
        </w:div>
        <w:div w:id="1465082915">
          <w:marLeft w:val="0"/>
          <w:marRight w:val="0"/>
          <w:marTop w:val="0"/>
          <w:marBottom w:val="0"/>
          <w:divBdr>
            <w:top w:val="none" w:sz="0" w:space="0" w:color="auto"/>
            <w:left w:val="none" w:sz="0" w:space="0" w:color="auto"/>
            <w:bottom w:val="none" w:sz="0" w:space="0" w:color="auto"/>
            <w:right w:val="none" w:sz="0" w:space="0" w:color="auto"/>
          </w:divBdr>
        </w:div>
        <w:div w:id="996881217">
          <w:marLeft w:val="0"/>
          <w:marRight w:val="0"/>
          <w:marTop w:val="0"/>
          <w:marBottom w:val="0"/>
          <w:divBdr>
            <w:top w:val="none" w:sz="0" w:space="0" w:color="auto"/>
            <w:left w:val="none" w:sz="0" w:space="0" w:color="auto"/>
            <w:bottom w:val="none" w:sz="0" w:space="0" w:color="auto"/>
            <w:right w:val="none" w:sz="0" w:space="0" w:color="auto"/>
          </w:divBdr>
        </w:div>
        <w:div w:id="1559627714">
          <w:marLeft w:val="0"/>
          <w:marRight w:val="0"/>
          <w:marTop w:val="0"/>
          <w:marBottom w:val="0"/>
          <w:divBdr>
            <w:top w:val="none" w:sz="0" w:space="0" w:color="auto"/>
            <w:left w:val="none" w:sz="0" w:space="0" w:color="auto"/>
            <w:bottom w:val="none" w:sz="0" w:space="0" w:color="auto"/>
            <w:right w:val="none" w:sz="0" w:space="0" w:color="auto"/>
          </w:divBdr>
        </w:div>
        <w:div w:id="489295009">
          <w:marLeft w:val="0"/>
          <w:marRight w:val="0"/>
          <w:marTop w:val="0"/>
          <w:marBottom w:val="0"/>
          <w:divBdr>
            <w:top w:val="none" w:sz="0" w:space="0" w:color="auto"/>
            <w:left w:val="none" w:sz="0" w:space="0" w:color="auto"/>
            <w:bottom w:val="none" w:sz="0" w:space="0" w:color="auto"/>
            <w:right w:val="none" w:sz="0" w:space="0" w:color="auto"/>
          </w:divBdr>
        </w:div>
        <w:div w:id="83385038">
          <w:marLeft w:val="0"/>
          <w:marRight w:val="0"/>
          <w:marTop w:val="0"/>
          <w:marBottom w:val="0"/>
          <w:divBdr>
            <w:top w:val="none" w:sz="0" w:space="0" w:color="auto"/>
            <w:left w:val="none" w:sz="0" w:space="0" w:color="auto"/>
            <w:bottom w:val="none" w:sz="0" w:space="0" w:color="auto"/>
            <w:right w:val="none" w:sz="0" w:space="0" w:color="auto"/>
          </w:divBdr>
        </w:div>
        <w:div w:id="643119006">
          <w:marLeft w:val="0"/>
          <w:marRight w:val="0"/>
          <w:marTop w:val="0"/>
          <w:marBottom w:val="0"/>
          <w:divBdr>
            <w:top w:val="none" w:sz="0" w:space="0" w:color="auto"/>
            <w:left w:val="none" w:sz="0" w:space="0" w:color="auto"/>
            <w:bottom w:val="none" w:sz="0" w:space="0" w:color="auto"/>
            <w:right w:val="none" w:sz="0" w:space="0" w:color="auto"/>
          </w:divBdr>
        </w:div>
        <w:div w:id="1329404302">
          <w:marLeft w:val="0"/>
          <w:marRight w:val="0"/>
          <w:marTop w:val="0"/>
          <w:marBottom w:val="0"/>
          <w:divBdr>
            <w:top w:val="none" w:sz="0" w:space="0" w:color="auto"/>
            <w:left w:val="none" w:sz="0" w:space="0" w:color="auto"/>
            <w:bottom w:val="none" w:sz="0" w:space="0" w:color="auto"/>
            <w:right w:val="none" w:sz="0" w:space="0" w:color="auto"/>
          </w:divBdr>
        </w:div>
        <w:div w:id="1790851894">
          <w:marLeft w:val="0"/>
          <w:marRight w:val="0"/>
          <w:marTop w:val="0"/>
          <w:marBottom w:val="0"/>
          <w:divBdr>
            <w:top w:val="none" w:sz="0" w:space="0" w:color="auto"/>
            <w:left w:val="none" w:sz="0" w:space="0" w:color="auto"/>
            <w:bottom w:val="none" w:sz="0" w:space="0" w:color="auto"/>
            <w:right w:val="none" w:sz="0" w:space="0" w:color="auto"/>
          </w:divBdr>
        </w:div>
        <w:div w:id="614756438">
          <w:marLeft w:val="0"/>
          <w:marRight w:val="0"/>
          <w:marTop w:val="0"/>
          <w:marBottom w:val="0"/>
          <w:divBdr>
            <w:top w:val="none" w:sz="0" w:space="0" w:color="auto"/>
            <w:left w:val="none" w:sz="0" w:space="0" w:color="auto"/>
            <w:bottom w:val="none" w:sz="0" w:space="0" w:color="auto"/>
            <w:right w:val="none" w:sz="0" w:space="0" w:color="auto"/>
          </w:divBdr>
        </w:div>
        <w:div w:id="1065572329">
          <w:marLeft w:val="0"/>
          <w:marRight w:val="0"/>
          <w:marTop w:val="0"/>
          <w:marBottom w:val="0"/>
          <w:divBdr>
            <w:top w:val="none" w:sz="0" w:space="0" w:color="auto"/>
            <w:left w:val="none" w:sz="0" w:space="0" w:color="auto"/>
            <w:bottom w:val="none" w:sz="0" w:space="0" w:color="auto"/>
            <w:right w:val="none" w:sz="0" w:space="0" w:color="auto"/>
          </w:divBdr>
        </w:div>
        <w:div w:id="561061571">
          <w:marLeft w:val="0"/>
          <w:marRight w:val="0"/>
          <w:marTop w:val="0"/>
          <w:marBottom w:val="0"/>
          <w:divBdr>
            <w:top w:val="none" w:sz="0" w:space="0" w:color="auto"/>
            <w:left w:val="none" w:sz="0" w:space="0" w:color="auto"/>
            <w:bottom w:val="none" w:sz="0" w:space="0" w:color="auto"/>
            <w:right w:val="none" w:sz="0" w:space="0" w:color="auto"/>
          </w:divBdr>
        </w:div>
        <w:div w:id="654799744">
          <w:marLeft w:val="0"/>
          <w:marRight w:val="0"/>
          <w:marTop w:val="0"/>
          <w:marBottom w:val="0"/>
          <w:divBdr>
            <w:top w:val="none" w:sz="0" w:space="0" w:color="auto"/>
            <w:left w:val="none" w:sz="0" w:space="0" w:color="auto"/>
            <w:bottom w:val="none" w:sz="0" w:space="0" w:color="auto"/>
            <w:right w:val="none" w:sz="0" w:space="0" w:color="auto"/>
          </w:divBdr>
        </w:div>
        <w:div w:id="495654164">
          <w:marLeft w:val="0"/>
          <w:marRight w:val="0"/>
          <w:marTop w:val="0"/>
          <w:marBottom w:val="0"/>
          <w:divBdr>
            <w:top w:val="none" w:sz="0" w:space="0" w:color="auto"/>
            <w:left w:val="none" w:sz="0" w:space="0" w:color="auto"/>
            <w:bottom w:val="none" w:sz="0" w:space="0" w:color="auto"/>
            <w:right w:val="none" w:sz="0" w:space="0" w:color="auto"/>
          </w:divBdr>
        </w:div>
        <w:div w:id="862792049">
          <w:marLeft w:val="0"/>
          <w:marRight w:val="0"/>
          <w:marTop w:val="0"/>
          <w:marBottom w:val="0"/>
          <w:divBdr>
            <w:top w:val="none" w:sz="0" w:space="0" w:color="auto"/>
            <w:left w:val="none" w:sz="0" w:space="0" w:color="auto"/>
            <w:bottom w:val="none" w:sz="0" w:space="0" w:color="auto"/>
            <w:right w:val="none" w:sz="0" w:space="0" w:color="auto"/>
          </w:divBdr>
        </w:div>
        <w:div w:id="1547446596">
          <w:marLeft w:val="0"/>
          <w:marRight w:val="0"/>
          <w:marTop w:val="0"/>
          <w:marBottom w:val="0"/>
          <w:divBdr>
            <w:top w:val="none" w:sz="0" w:space="0" w:color="auto"/>
            <w:left w:val="none" w:sz="0" w:space="0" w:color="auto"/>
            <w:bottom w:val="none" w:sz="0" w:space="0" w:color="auto"/>
            <w:right w:val="none" w:sz="0" w:space="0" w:color="auto"/>
          </w:divBdr>
        </w:div>
        <w:div w:id="757944789">
          <w:marLeft w:val="0"/>
          <w:marRight w:val="0"/>
          <w:marTop w:val="0"/>
          <w:marBottom w:val="0"/>
          <w:divBdr>
            <w:top w:val="none" w:sz="0" w:space="0" w:color="auto"/>
            <w:left w:val="none" w:sz="0" w:space="0" w:color="auto"/>
            <w:bottom w:val="none" w:sz="0" w:space="0" w:color="auto"/>
            <w:right w:val="none" w:sz="0" w:space="0" w:color="auto"/>
          </w:divBdr>
        </w:div>
        <w:div w:id="4939766">
          <w:marLeft w:val="0"/>
          <w:marRight w:val="0"/>
          <w:marTop w:val="0"/>
          <w:marBottom w:val="0"/>
          <w:divBdr>
            <w:top w:val="none" w:sz="0" w:space="0" w:color="auto"/>
            <w:left w:val="none" w:sz="0" w:space="0" w:color="auto"/>
            <w:bottom w:val="none" w:sz="0" w:space="0" w:color="auto"/>
            <w:right w:val="none" w:sz="0" w:space="0" w:color="auto"/>
          </w:divBdr>
        </w:div>
        <w:div w:id="206570848">
          <w:marLeft w:val="0"/>
          <w:marRight w:val="0"/>
          <w:marTop w:val="0"/>
          <w:marBottom w:val="0"/>
          <w:divBdr>
            <w:top w:val="none" w:sz="0" w:space="0" w:color="auto"/>
            <w:left w:val="none" w:sz="0" w:space="0" w:color="auto"/>
            <w:bottom w:val="none" w:sz="0" w:space="0" w:color="auto"/>
            <w:right w:val="none" w:sz="0" w:space="0" w:color="auto"/>
          </w:divBdr>
        </w:div>
        <w:div w:id="1058820810">
          <w:marLeft w:val="0"/>
          <w:marRight w:val="0"/>
          <w:marTop w:val="0"/>
          <w:marBottom w:val="0"/>
          <w:divBdr>
            <w:top w:val="none" w:sz="0" w:space="0" w:color="auto"/>
            <w:left w:val="none" w:sz="0" w:space="0" w:color="auto"/>
            <w:bottom w:val="none" w:sz="0" w:space="0" w:color="auto"/>
            <w:right w:val="none" w:sz="0" w:space="0" w:color="auto"/>
          </w:divBdr>
        </w:div>
        <w:div w:id="704019498">
          <w:marLeft w:val="0"/>
          <w:marRight w:val="0"/>
          <w:marTop w:val="0"/>
          <w:marBottom w:val="0"/>
          <w:divBdr>
            <w:top w:val="none" w:sz="0" w:space="0" w:color="auto"/>
            <w:left w:val="none" w:sz="0" w:space="0" w:color="auto"/>
            <w:bottom w:val="none" w:sz="0" w:space="0" w:color="auto"/>
            <w:right w:val="none" w:sz="0" w:space="0" w:color="auto"/>
          </w:divBdr>
        </w:div>
        <w:div w:id="2046440764">
          <w:marLeft w:val="0"/>
          <w:marRight w:val="0"/>
          <w:marTop w:val="0"/>
          <w:marBottom w:val="0"/>
          <w:divBdr>
            <w:top w:val="none" w:sz="0" w:space="0" w:color="auto"/>
            <w:left w:val="none" w:sz="0" w:space="0" w:color="auto"/>
            <w:bottom w:val="none" w:sz="0" w:space="0" w:color="auto"/>
            <w:right w:val="none" w:sz="0" w:space="0" w:color="auto"/>
          </w:divBdr>
        </w:div>
        <w:div w:id="1683122903">
          <w:marLeft w:val="0"/>
          <w:marRight w:val="0"/>
          <w:marTop w:val="0"/>
          <w:marBottom w:val="0"/>
          <w:divBdr>
            <w:top w:val="none" w:sz="0" w:space="0" w:color="auto"/>
            <w:left w:val="none" w:sz="0" w:space="0" w:color="auto"/>
            <w:bottom w:val="none" w:sz="0" w:space="0" w:color="auto"/>
            <w:right w:val="none" w:sz="0" w:space="0" w:color="auto"/>
          </w:divBdr>
        </w:div>
        <w:div w:id="1731031534">
          <w:marLeft w:val="0"/>
          <w:marRight w:val="0"/>
          <w:marTop w:val="0"/>
          <w:marBottom w:val="0"/>
          <w:divBdr>
            <w:top w:val="none" w:sz="0" w:space="0" w:color="auto"/>
            <w:left w:val="none" w:sz="0" w:space="0" w:color="auto"/>
            <w:bottom w:val="none" w:sz="0" w:space="0" w:color="auto"/>
            <w:right w:val="none" w:sz="0" w:space="0" w:color="auto"/>
          </w:divBdr>
        </w:div>
        <w:div w:id="1897936924">
          <w:marLeft w:val="0"/>
          <w:marRight w:val="0"/>
          <w:marTop w:val="0"/>
          <w:marBottom w:val="0"/>
          <w:divBdr>
            <w:top w:val="none" w:sz="0" w:space="0" w:color="auto"/>
            <w:left w:val="none" w:sz="0" w:space="0" w:color="auto"/>
            <w:bottom w:val="none" w:sz="0" w:space="0" w:color="auto"/>
            <w:right w:val="none" w:sz="0" w:space="0" w:color="auto"/>
          </w:divBdr>
        </w:div>
        <w:div w:id="807015288">
          <w:marLeft w:val="0"/>
          <w:marRight w:val="0"/>
          <w:marTop w:val="0"/>
          <w:marBottom w:val="0"/>
          <w:divBdr>
            <w:top w:val="none" w:sz="0" w:space="0" w:color="auto"/>
            <w:left w:val="none" w:sz="0" w:space="0" w:color="auto"/>
            <w:bottom w:val="none" w:sz="0" w:space="0" w:color="auto"/>
            <w:right w:val="none" w:sz="0" w:space="0" w:color="auto"/>
          </w:divBdr>
        </w:div>
        <w:div w:id="52193844">
          <w:marLeft w:val="0"/>
          <w:marRight w:val="0"/>
          <w:marTop w:val="0"/>
          <w:marBottom w:val="0"/>
          <w:divBdr>
            <w:top w:val="none" w:sz="0" w:space="0" w:color="auto"/>
            <w:left w:val="none" w:sz="0" w:space="0" w:color="auto"/>
            <w:bottom w:val="none" w:sz="0" w:space="0" w:color="auto"/>
            <w:right w:val="none" w:sz="0" w:space="0" w:color="auto"/>
          </w:divBdr>
        </w:div>
        <w:div w:id="2018118962">
          <w:marLeft w:val="0"/>
          <w:marRight w:val="0"/>
          <w:marTop w:val="0"/>
          <w:marBottom w:val="0"/>
          <w:divBdr>
            <w:top w:val="none" w:sz="0" w:space="0" w:color="auto"/>
            <w:left w:val="none" w:sz="0" w:space="0" w:color="auto"/>
            <w:bottom w:val="none" w:sz="0" w:space="0" w:color="auto"/>
            <w:right w:val="none" w:sz="0" w:space="0" w:color="auto"/>
          </w:divBdr>
        </w:div>
        <w:div w:id="1306079661">
          <w:marLeft w:val="0"/>
          <w:marRight w:val="0"/>
          <w:marTop w:val="0"/>
          <w:marBottom w:val="0"/>
          <w:divBdr>
            <w:top w:val="none" w:sz="0" w:space="0" w:color="auto"/>
            <w:left w:val="none" w:sz="0" w:space="0" w:color="auto"/>
            <w:bottom w:val="none" w:sz="0" w:space="0" w:color="auto"/>
            <w:right w:val="none" w:sz="0" w:space="0" w:color="auto"/>
          </w:divBdr>
        </w:div>
        <w:div w:id="1044788740">
          <w:marLeft w:val="0"/>
          <w:marRight w:val="0"/>
          <w:marTop w:val="0"/>
          <w:marBottom w:val="0"/>
          <w:divBdr>
            <w:top w:val="none" w:sz="0" w:space="0" w:color="auto"/>
            <w:left w:val="none" w:sz="0" w:space="0" w:color="auto"/>
            <w:bottom w:val="none" w:sz="0" w:space="0" w:color="auto"/>
            <w:right w:val="none" w:sz="0" w:space="0" w:color="auto"/>
          </w:divBdr>
        </w:div>
        <w:div w:id="1074547639">
          <w:marLeft w:val="0"/>
          <w:marRight w:val="0"/>
          <w:marTop w:val="0"/>
          <w:marBottom w:val="0"/>
          <w:divBdr>
            <w:top w:val="none" w:sz="0" w:space="0" w:color="auto"/>
            <w:left w:val="none" w:sz="0" w:space="0" w:color="auto"/>
            <w:bottom w:val="none" w:sz="0" w:space="0" w:color="auto"/>
            <w:right w:val="none" w:sz="0" w:space="0" w:color="auto"/>
          </w:divBdr>
        </w:div>
        <w:div w:id="1220172728">
          <w:marLeft w:val="0"/>
          <w:marRight w:val="0"/>
          <w:marTop w:val="0"/>
          <w:marBottom w:val="0"/>
          <w:divBdr>
            <w:top w:val="none" w:sz="0" w:space="0" w:color="auto"/>
            <w:left w:val="none" w:sz="0" w:space="0" w:color="auto"/>
            <w:bottom w:val="none" w:sz="0" w:space="0" w:color="auto"/>
            <w:right w:val="none" w:sz="0" w:space="0" w:color="auto"/>
          </w:divBdr>
        </w:div>
        <w:div w:id="1365669179">
          <w:marLeft w:val="0"/>
          <w:marRight w:val="0"/>
          <w:marTop w:val="0"/>
          <w:marBottom w:val="0"/>
          <w:divBdr>
            <w:top w:val="none" w:sz="0" w:space="0" w:color="auto"/>
            <w:left w:val="none" w:sz="0" w:space="0" w:color="auto"/>
            <w:bottom w:val="none" w:sz="0" w:space="0" w:color="auto"/>
            <w:right w:val="none" w:sz="0" w:space="0" w:color="auto"/>
          </w:divBdr>
        </w:div>
        <w:div w:id="104157923">
          <w:marLeft w:val="0"/>
          <w:marRight w:val="0"/>
          <w:marTop w:val="0"/>
          <w:marBottom w:val="0"/>
          <w:divBdr>
            <w:top w:val="none" w:sz="0" w:space="0" w:color="auto"/>
            <w:left w:val="none" w:sz="0" w:space="0" w:color="auto"/>
            <w:bottom w:val="none" w:sz="0" w:space="0" w:color="auto"/>
            <w:right w:val="none" w:sz="0" w:space="0" w:color="auto"/>
          </w:divBdr>
        </w:div>
        <w:div w:id="1648978094">
          <w:marLeft w:val="0"/>
          <w:marRight w:val="0"/>
          <w:marTop w:val="0"/>
          <w:marBottom w:val="0"/>
          <w:divBdr>
            <w:top w:val="none" w:sz="0" w:space="0" w:color="auto"/>
            <w:left w:val="none" w:sz="0" w:space="0" w:color="auto"/>
            <w:bottom w:val="none" w:sz="0" w:space="0" w:color="auto"/>
            <w:right w:val="none" w:sz="0" w:space="0" w:color="auto"/>
          </w:divBdr>
        </w:div>
        <w:div w:id="181476343">
          <w:marLeft w:val="0"/>
          <w:marRight w:val="0"/>
          <w:marTop w:val="0"/>
          <w:marBottom w:val="0"/>
          <w:divBdr>
            <w:top w:val="none" w:sz="0" w:space="0" w:color="auto"/>
            <w:left w:val="none" w:sz="0" w:space="0" w:color="auto"/>
            <w:bottom w:val="none" w:sz="0" w:space="0" w:color="auto"/>
            <w:right w:val="none" w:sz="0" w:space="0" w:color="auto"/>
          </w:divBdr>
        </w:div>
        <w:div w:id="1659112627">
          <w:marLeft w:val="0"/>
          <w:marRight w:val="0"/>
          <w:marTop w:val="0"/>
          <w:marBottom w:val="0"/>
          <w:divBdr>
            <w:top w:val="none" w:sz="0" w:space="0" w:color="auto"/>
            <w:left w:val="none" w:sz="0" w:space="0" w:color="auto"/>
            <w:bottom w:val="none" w:sz="0" w:space="0" w:color="auto"/>
            <w:right w:val="none" w:sz="0" w:space="0" w:color="auto"/>
          </w:divBdr>
        </w:div>
        <w:div w:id="789974398">
          <w:marLeft w:val="0"/>
          <w:marRight w:val="0"/>
          <w:marTop w:val="0"/>
          <w:marBottom w:val="0"/>
          <w:divBdr>
            <w:top w:val="none" w:sz="0" w:space="0" w:color="auto"/>
            <w:left w:val="none" w:sz="0" w:space="0" w:color="auto"/>
            <w:bottom w:val="none" w:sz="0" w:space="0" w:color="auto"/>
            <w:right w:val="none" w:sz="0" w:space="0" w:color="auto"/>
          </w:divBdr>
        </w:div>
        <w:div w:id="735977099">
          <w:marLeft w:val="0"/>
          <w:marRight w:val="0"/>
          <w:marTop w:val="0"/>
          <w:marBottom w:val="0"/>
          <w:divBdr>
            <w:top w:val="none" w:sz="0" w:space="0" w:color="auto"/>
            <w:left w:val="none" w:sz="0" w:space="0" w:color="auto"/>
            <w:bottom w:val="none" w:sz="0" w:space="0" w:color="auto"/>
            <w:right w:val="none" w:sz="0" w:space="0" w:color="auto"/>
          </w:divBdr>
        </w:div>
        <w:div w:id="1349790475">
          <w:marLeft w:val="0"/>
          <w:marRight w:val="0"/>
          <w:marTop w:val="0"/>
          <w:marBottom w:val="0"/>
          <w:divBdr>
            <w:top w:val="none" w:sz="0" w:space="0" w:color="auto"/>
            <w:left w:val="none" w:sz="0" w:space="0" w:color="auto"/>
            <w:bottom w:val="none" w:sz="0" w:space="0" w:color="auto"/>
            <w:right w:val="none" w:sz="0" w:space="0" w:color="auto"/>
          </w:divBdr>
        </w:div>
        <w:div w:id="1510170600">
          <w:marLeft w:val="0"/>
          <w:marRight w:val="0"/>
          <w:marTop w:val="0"/>
          <w:marBottom w:val="0"/>
          <w:divBdr>
            <w:top w:val="none" w:sz="0" w:space="0" w:color="auto"/>
            <w:left w:val="none" w:sz="0" w:space="0" w:color="auto"/>
            <w:bottom w:val="none" w:sz="0" w:space="0" w:color="auto"/>
            <w:right w:val="none" w:sz="0" w:space="0" w:color="auto"/>
          </w:divBdr>
        </w:div>
        <w:div w:id="1953054345">
          <w:marLeft w:val="0"/>
          <w:marRight w:val="0"/>
          <w:marTop w:val="0"/>
          <w:marBottom w:val="0"/>
          <w:divBdr>
            <w:top w:val="none" w:sz="0" w:space="0" w:color="auto"/>
            <w:left w:val="none" w:sz="0" w:space="0" w:color="auto"/>
            <w:bottom w:val="none" w:sz="0" w:space="0" w:color="auto"/>
            <w:right w:val="none" w:sz="0" w:space="0" w:color="auto"/>
          </w:divBdr>
        </w:div>
        <w:div w:id="718239974">
          <w:marLeft w:val="0"/>
          <w:marRight w:val="0"/>
          <w:marTop w:val="0"/>
          <w:marBottom w:val="0"/>
          <w:divBdr>
            <w:top w:val="none" w:sz="0" w:space="0" w:color="auto"/>
            <w:left w:val="none" w:sz="0" w:space="0" w:color="auto"/>
            <w:bottom w:val="none" w:sz="0" w:space="0" w:color="auto"/>
            <w:right w:val="none" w:sz="0" w:space="0" w:color="auto"/>
          </w:divBdr>
        </w:div>
        <w:div w:id="754861665">
          <w:marLeft w:val="0"/>
          <w:marRight w:val="0"/>
          <w:marTop w:val="0"/>
          <w:marBottom w:val="0"/>
          <w:divBdr>
            <w:top w:val="none" w:sz="0" w:space="0" w:color="auto"/>
            <w:left w:val="none" w:sz="0" w:space="0" w:color="auto"/>
            <w:bottom w:val="none" w:sz="0" w:space="0" w:color="auto"/>
            <w:right w:val="none" w:sz="0" w:space="0" w:color="auto"/>
          </w:divBdr>
        </w:div>
        <w:div w:id="553197620">
          <w:marLeft w:val="0"/>
          <w:marRight w:val="0"/>
          <w:marTop w:val="0"/>
          <w:marBottom w:val="0"/>
          <w:divBdr>
            <w:top w:val="none" w:sz="0" w:space="0" w:color="auto"/>
            <w:left w:val="none" w:sz="0" w:space="0" w:color="auto"/>
            <w:bottom w:val="none" w:sz="0" w:space="0" w:color="auto"/>
            <w:right w:val="none" w:sz="0" w:space="0" w:color="auto"/>
          </w:divBdr>
        </w:div>
        <w:div w:id="1951350603">
          <w:marLeft w:val="0"/>
          <w:marRight w:val="0"/>
          <w:marTop w:val="0"/>
          <w:marBottom w:val="0"/>
          <w:divBdr>
            <w:top w:val="none" w:sz="0" w:space="0" w:color="auto"/>
            <w:left w:val="none" w:sz="0" w:space="0" w:color="auto"/>
            <w:bottom w:val="none" w:sz="0" w:space="0" w:color="auto"/>
            <w:right w:val="none" w:sz="0" w:space="0" w:color="auto"/>
          </w:divBdr>
        </w:div>
        <w:div w:id="680552230">
          <w:marLeft w:val="0"/>
          <w:marRight w:val="0"/>
          <w:marTop w:val="0"/>
          <w:marBottom w:val="0"/>
          <w:divBdr>
            <w:top w:val="none" w:sz="0" w:space="0" w:color="auto"/>
            <w:left w:val="none" w:sz="0" w:space="0" w:color="auto"/>
            <w:bottom w:val="none" w:sz="0" w:space="0" w:color="auto"/>
            <w:right w:val="none" w:sz="0" w:space="0" w:color="auto"/>
          </w:divBdr>
        </w:div>
        <w:div w:id="1314487329">
          <w:marLeft w:val="0"/>
          <w:marRight w:val="0"/>
          <w:marTop w:val="0"/>
          <w:marBottom w:val="0"/>
          <w:divBdr>
            <w:top w:val="none" w:sz="0" w:space="0" w:color="auto"/>
            <w:left w:val="none" w:sz="0" w:space="0" w:color="auto"/>
            <w:bottom w:val="none" w:sz="0" w:space="0" w:color="auto"/>
            <w:right w:val="none" w:sz="0" w:space="0" w:color="auto"/>
          </w:divBdr>
        </w:div>
        <w:div w:id="1036976536">
          <w:marLeft w:val="0"/>
          <w:marRight w:val="0"/>
          <w:marTop w:val="0"/>
          <w:marBottom w:val="0"/>
          <w:divBdr>
            <w:top w:val="none" w:sz="0" w:space="0" w:color="auto"/>
            <w:left w:val="none" w:sz="0" w:space="0" w:color="auto"/>
            <w:bottom w:val="none" w:sz="0" w:space="0" w:color="auto"/>
            <w:right w:val="none" w:sz="0" w:space="0" w:color="auto"/>
          </w:divBdr>
        </w:div>
        <w:div w:id="440032198">
          <w:marLeft w:val="0"/>
          <w:marRight w:val="0"/>
          <w:marTop w:val="0"/>
          <w:marBottom w:val="0"/>
          <w:divBdr>
            <w:top w:val="none" w:sz="0" w:space="0" w:color="auto"/>
            <w:left w:val="none" w:sz="0" w:space="0" w:color="auto"/>
            <w:bottom w:val="none" w:sz="0" w:space="0" w:color="auto"/>
            <w:right w:val="none" w:sz="0" w:space="0" w:color="auto"/>
          </w:divBdr>
        </w:div>
        <w:div w:id="1292784795">
          <w:marLeft w:val="0"/>
          <w:marRight w:val="0"/>
          <w:marTop w:val="0"/>
          <w:marBottom w:val="0"/>
          <w:divBdr>
            <w:top w:val="none" w:sz="0" w:space="0" w:color="auto"/>
            <w:left w:val="none" w:sz="0" w:space="0" w:color="auto"/>
            <w:bottom w:val="none" w:sz="0" w:space="0" w:color="auto"/>
            <w:right w:val="none" w:sz="0" w:space="0" w:color="auto"/>
          </w:divBdr>
        </w:div>
        <w:div w:id="1289240446">
          <w:marLeft w:val="0"/>
          <w:marRight w:val="0"/>
          <w:marTop w:val="0"/>
          <w:marBottom w:val="0"/>
          <w:divBdr>
            <w:top w:val="none" w:sz="0" w:space="0" w:color="auto"/>
            <w:left w:val="none" w:sz="0" w:space="0" w:color="auto"/>
            <w:bottom w:val="none" w:sz="0" w:space="0" w:color="auto"/>
            <w:right w:val="none" w:sz="0" w:space="0" w:color="auto"/>
          </w:divBdr>
        </w:div>
        <w:div w:id="1809321307">
          <w:marLeft w:val="0"/>
          <w:marRight w:val="0"/>
          <w:marTop w:val="0"/>
          <w:marBottom w:val="0"/>
          <w:divBdr>
            <w:top w:val="none" w:sz="0" w:space="0" w:color="auto"/>
            <w:left w:val="none" w:sz="0" w:space="0" w:color="auto"/>
            <w:bottom w:val="none" w:sz="0" w:space="0" w:color="auto"/>
            <w:right w:val="none" w:sz="0" w:space="0" w:color="auto"/>
          </w:divBdr>
        </w:div>
        <w:div w:id="1739669724">
          <w:marLeft w:val="0"/>
          <w:marRight w:val="0"/>
          <w:marTop w:val="0"/>
          <w:marBottom w:val="0"/>
          <w:divBdr>
            <w:top w:val="none" w:sz="0" w:space="0" w:color="auto"/>
            <w:left w:val="none" w:sz="0" w:space="0" w:color="auto"/>
            <w:bottom w:val="none" w:sz="0" w:space="0" w:color="auto"/>
            <w:right w:val="none" w:sz="0" w:space="0" w:color="auto"/>
          </w:divBdr>
        </w:div>
        <w:div w:id="1233733578">
          <w:marLeft w:val="0"/>
          <w:marRight w:val="0"/>
          <w:marTop w:val="0"/>
          <w:marBottom w:val="0"/>
          <w:divBdr>
            <w:top w:val="none" w:sz="0" w:space="0" w:color="auto"/>
            <w:left w:val="none" w:sz="0" w:space="0" w:color="auto"/>
            <w:bottom w:val="none" w:sz="0" w:space="0" w:color="auto"/>
            <w:right w:val="none" w:sz="0" w:space="0" w:color="auto"/>
          </w:divBdr>
        </w:div>
        <w:div w:id="683166603">
          <w:marLeft w:val="0"/>
          <w:marRight w:val="0"/>
          <w:marTop w:val="0"/>
          <w:marBottom w:val="0"/>
          <w:divBdr>
            <w:top w:val="none" w:sz="0" w:space="0" w:color="auto"/>
            <w:left w:val="none" w:sz="0" w:space="0" w:color="auto"/>
            <w:bottom w:val="none" w:sz="0" w:space="0" w:color="auto"/>
            <w:right w:val="none" w:sz="0" w:space="0" w:color="auto"/>
          </w:divBdr>
        </w:div>
        <w:div w:id="591474069">
          <w:marLeft w:val="0"/>
          <w:marRight w:val="0"/>
          <w:marTop w:val="0"/>
          <w:marBottom w:val="0"/>
          <w:divBdr>
            <w:top w:val="none" w:sz="0" w:space="0" w:color="auto"/>
            <w:left w:val="none" w:sz="0" w:space="0" w:color="auto"/>
            <w:bottom w:val="none" w:sz="0" w:space="0" w:color="auto"/>
            <w:right w:val="none" w:sz="0" w:space="0" w:color="auto"/>
          </w:divBdr>
        </w:div>
        <w:div w:id="805052108">
          <w:marLeft w:val="0"/>
          <w:marRight w:val="0"/>
          <w:marTop w:val="0"/>
          <w:marBottom w:val="0"/>
          <w:divBdr>
            <w:top w:val="none" w:sz="0" w:space="0" w:color="auto"/>
            <w:left w:val="none" w:sz="0" w:space="0" w:color="auto"/>
            <w:bottom w:val="none" w:sz="0" w:space="0" w:color="auto"/>
            <w:right w:val="none" w:sz="0" w:space="0" w:color="auto"/>
          </w:divBdr>
        </w:div>
        <w:div w:id="2079091841">
          <w:marLeft w:val="0"/>
          <w:marRight w:val="0"/>
          <w:marTop w:val="0"/>
          <w:marBottom w:val="0"/>
          <w:divBdr>
            <w:top w:val="none" w:sz="0" w:space="0" w:color="auto"/>
            <w:left w:val="none" w:sz="0" w:space="0" w:color="auto"/>
            <w:bottom w:val="none" w:sz="0" w:space="0" w:color="auto"/>
            <w:right w:val="none" w:sz="0" w:space="0" w:color="auto"/>
          </w:divBdr>
        </w:div>
        <w:div w:id="876548759">
          <w:marLeft w:val="0"/>
          <w:marRight w:val="0"/>
          <w:marTop w:val="0"/>
          <w:marBottom w:val="0"/>
          <w:divBdr>
            <w:top w:val="none" w:sz="0" w:space="0" w:color="auto"/>
            <w:left w:val="none" w:sz="0" w:space="0" w:color="auto"/>
            <w:bottom w:val="none" w:sz="0" w:space="0" w:color="auto"/>
            <w:right w:val="none" w:sz="0" w:space="0" w:color="auto"/>
          </w:divBdr>
        </w:div>
        <w:div w:id="1176729998">
          <w:marLeft w:val="0"/>
          <w:marRight w:val="0"/>
          <w:marTop w:val="0"/>
          <w:marBottom w:val="0"/>
          <w:divBdr>
            <w:top w:val="none" w:sz="0" w:space="0" w:color="auto"/>
            <w:left w:val="none" w:sz="0" w:space="0" w:color="auto"/>
            <w:bottom w:val="none" w:sz="0" w:space="0" w:color="auto"/>
            <w:right w:val="none" w:sz="0" w:space="0" w:color="auto"/>
          </w:divBdr>
        </w:div>
        <w:div w:id="1575822172">
          <w:marLeft w:val="0"/>
          <w:marRight w:val="0"/>
          <w:marTop w:val="0"/>
          <w:marBottom w:val="0"/>
          <w:divBdr>
            <w:top w:val="none" w:sz="0" w:space="0" w:color="auto"/>
            <w:left w:val="none" w:sz="0" w:space="0" w:color="auto"/>
            <w:bottom w:val="none" w:sz="0" w:space="0" w:color="auto"/>
            <w:right w:val="none" w:sz="0" w:space="0" w:color="auto"/>
          </w:divBdr>
        </w:div>
        <w:div w:id="120805750">
          <w:marLeft w:val="0"/>
          <w:marRight w:val="0"/>
          <w:marTop w:val="0"/>
          <w:marBottom w:val="0"/>
          <w:divBdr>
            <w:top w:val="none" w:sz="0" w:space="0" w:color="auto"/>
            <w:left w:val="none" w:sz="0" w:space="0" w:color="auto"/>
            <w:bottom w:val="none" w:sz="0" w:space="0" w:color="auto"/>
            <w:right w:val="none" w:sz="0" w:space="0" w:color="auto"/>
          </w:divBdr>
        </w:div>
        <w:div w:id="508373906">
          <w:marLeft w:val="0"/>
          <w:marRight w:val="0"/>
          <w:marTop w:val="0"/>
          <w:marBottom w:val="0"/>
          <w:divBdr>
            <w:top w:val="none" w:sz="0" w:space="0" w:color="auto"/>
            <w:left w:val="none" w:sz="0" w:space="0" w:color="auto"/>
            <w:bottom w:val="none" w:sz="0" w:space="0" w:color="auto"/>
            <w:right w:val="none" w:sz="0" w:space="0" w:color="auto"/>
          </w:divBdr>
        </w:div>
        <w:div w:id="281234814">
          <w:marLeft w:val="0"/>
          <w:marRight w:val="0"/>
          <w:marTop w:val="0"/>
          <w:marBottom w:val="0"/>
          <w:divBdr>
            <w:top w:val="none" w:sz="0" w:space="0" w:color="auto"/>
            <w:left w:val="none" w:sz="0" w:space="0" w:color="auto"/>
            <w:bottom w:val="none" w:sz="0" w:space="0" w:color="auto"/>
            <w:right w:val="none" w:sz="0" w:space="0" w:color="auto"/>
          </w:divBdr>
        </w:div>
        <w:div w:id="1910923367">
          <w:marLeft w:val="0"/>
          <w:marRight w:val="0"/>
          <w:marTop w:val="0"/>
          <w:marBottom w:val="0"/>
          <w:divBdr>
            <w:top w:val="none" w:sz="0" w:space="0" w:color="auto"/>
            <w:left w:val="none" w:sz="0" w:space="0" w:color="auto"/>
            <w:bottom w:val="none" w:sz="0" w:space="0" w:color="auto"/>
            <w:right w:val="none" w:sz="0" w:space="0" w:color="auto"/>
          </w:divBdr>
        </w:div>
        <w:div w:id="87888894">
          <w:marLeft w:val="0"/>
          <w:marRight w:val="0"/>
          <w:marTop w:val="0"/>
          <w:marBottom w:val="0"/>
          <w:divBdr>
            <w:top w:val="none" w:sz="0" w:space="0" w:color="auto"/>
            <w:left w:val="none" w:sz="0" w:space="0" w:color="auto"/>
            <w:bottom w:val="none" w:sz="0" w:space="0" w:color="auto"/>
            <w:right w:val="none" w:sz="0" w:space="0" w:color="auto"/>
          </w:divBdr>
        </w:div>
        <w:div w:id="1937984259">
          <w:marLeft w:val="0"/>
          <w:marRight w:val="0"/>
          <w:marTop w:val="0"/>
          <w:marBottom w:val="0"/>
          <w:divBdr>
            <w:top w:val="none" w:sz="0" w:space="0" w:color="auto"/>
            <w:left w:val="none" w:sz="0" w:space="0" w:color="auto"/>
            <w:bottom w:val="none" w:sz="0" w:space="0" w:color="auto"/>
            <w:right w:val="none" w:sz="0" w:space="0" w:color="auto"/>
          </w:divBdr>
        </w:div>
        <w:div w:id="1167356781">
          <w:marLeft w:val="0"/>
          <w:marRight w:val="0"/>
          <w:marTop w:val="0"/>
          <w:marBottom w:val="0"/>
          <w:divBdr>
            <w:top w:val="none" w:sz="0" w:space="0" w:color="auto"/>
            <w:left w:val="none" w:sz="0" w:space="0" w:color="auto"/>
            <w:bottom w:val="none" w:sz="0" w:space="0" w:color="auto"/>
            <w:right w:val="none" w:sz="0" w:space="0" w:color="auto"/>
          </w:divBdr>
        </w:div>
        <w:div w:id="1247347750">
          <w:marLeft w:val="0"/>
          <w:marRight w:val="0"/>
          <w:marTop w:val="0"/>
          <w:marBottom w:val="0"/>
          <w:divBdr>
            <w:top w:val="none" w:sz="0" w:space="0" w:color="auto"/>
            <w:left w:val="none" w:sz="0" w:space="0" w:color="auto"/>
            <w:bottom w:val="none" w:sz="0" w:space="0" w:color="auto"/>
            <w:right w:val="none" w:sz="0" w:space="0" w:color="auto"/>
          </w:divBdr>
        </w:div>
        <w:div w:id="656618133">
          <w:marLeft w:val="0"/>
          <w:marRight w:val="0"/>
          <w:marTop w:val="0"/>
          <w:marBottom w:val="0"/>
          <w:divBdr>
            <w:top w:val="none" w:sz="0" w:space="0" w:color="auto"/>
            <w:left w:val="none" w:sz="0" w:space="0" w:color="auto"/>
            <w:bottom w:val="none" w:sz="0" w:space="0" w:color="auto"/>
            <w:right w:val="none" w:sz="0" w:space="0" w:color="auto"/>
          </w:divBdr>
        </w:div>
        <w:div w:id="344989282">
          <w:marLeft w:val="0"/>
          <w:marRight w:val="0"/>
          <w:marTop w:val="0"/>
          <w:marBottom w:val="0"/>
          <w:divBdr>
            <w:top w:val="none" w:sz="0" w:space="0" w:color="auto"/>
            <w:left w:val="none" w:sz="0" w:space="0" w:color="auto"/>
            <w:bottom w:val="none" w:sz="0" w:space="0" w:color="auto"/>
            <w:right w:val="none" w:sz="0" w:space="0" w:color="auto"/>
          </w:divBdr>
        </w:div>
        <w:div w:id="770468038">
          <w:marLeft w:val="0"/>
          <w:marRight w:val="0"/>
          <w:marTop w:val="0"/>
          <w:marBottom w:val="0"/>
          <w:divBdr>
            <w:top w:val="none" w:sz="0" w:space="0" w:color="auto"/>
            <w:left w:val="none" w:sz="0" w:space="0" w:color="auto"/>
            <w:bottom w:val="none" w:sz="0" w:space="0" w:color="auto"/>
            <w:right w:val="none" w:sz="0" w:space="0" w:color="auto"/>
          </w:divBdr>
        </w:div>
        <w:div w:id="202637397">
          <w:marLeft w:val="0"/>
          <w:marRight w:val="0"/>
          <w:marTop w:val="0"/>
          <w:marBottom w:val="0"/>
          <w:divBdr>
            <w:top w:val="none" w:sz="0" w:space="0" w:color="auto"/>
            <w:left w:val="none" w:sz="0" w:space="0" w:color="auto"/>
            <w:bottom w:val="none" w:sz="0" w:space="0" w:color="auto"/>
            <w:right w:val="none" w:sz="0" w:space="0" w:color="auto"/>
          </w:divBdr>
        </w:div>
        <w:div w:id="961501229">
          <w:marLeft w:val="0"/>
          <w:marRight w:val="0"/>
          <w:marTop w:val="0"/>
          <w:marBottom w:val="0"/>
          <w:divBdr>
            <w:top w:val="none" w:sz="0" w:space="0" w:color="auto"/>
            <w:left w:val="none" w:sz="0" w:space="0" w:color="auto"/>
            <w:bottom w:val="none" w:sz="0" w:space="0" w:color="auto"/>
            <w:right w:val="none" w:sz="0" w:space="0" w:color="auto"/>
          </w:divBdr>
        </w:div>
        <w:div w:id="1263537598">
          <w:marLeft w:val="0"/>
          <w:marRight w:val="0"/>
          <w:marTop w:val="0"/>
          <w:marBottom w:val="0"/>
          <w:divBdr>
            <w:top w:val="none" w:sz="0" w:space="0" w:color="auto"/>
            <w:left w:val="none" w:sz="0" w:space="0" w:color="auto"/>
            <w:bottom w:val="none" w:sz="0" w:space="0" w:color="auto"/>
            <w:right w:val="none" w:sz="0" w:space="0" w:color="auto"/>
          </w:divBdr>
        </w:div>
        <w:div w:id="894584798">
          <w:marLeft w:val="0"/>
          <w:marRight w:val="0"/>
          <w:marTop w:val="0"/>
          <w:marBottom w:val="0"/>
          <w:divBdr>
            <w:top w:val="none" w:sz="0" w:space="0" w:color="auto"/>
            <w:left w:val="none" w:sz="0" w:space="0" w:color="auto"/>
            <w:bottom w:val="none" w:sz="0" w:space="0" w:color="auto"/>
            <w:right w:val="none" w:sz="0" w:space="0" w:color="auto"/>
          </w:divBdr>
        </w:div>
        <w:div w:id="545456170">
          <w:marLeft w:val="0"/>
          <w:marRight w:val="0"/>
          <w:marTop w:val="0"/>
          <w:marBottom w:val="0"/>
          <w:divBdr>
            <w:top w:val="none" w:sz="0" w:space="0" w:color="auto"/>
            <w:left w:val="none" w:sz="0" w:space="0" w:color="auto"/>
            <w:bottom w:val="none" w:sz="0" w:space="0" w:color="auto"/>
            <w:right w:val="none" w:sz="0" w:space="0" w:color="auto"/>
          </w:divBdr>
        </w:div>
        <w:div w:id="1095708272">
          <w:marLeft w:val="0"/>
          <w:marRight w:val="0"/>
          <w:marTop w:val="0"/>
          <w:marBottom w:val="0"/>
          <w:divBdr>
            <w:top w:val="none" w:sz="0" w:space="0" w:color="auto"/>
            <w:left w:val="none" w:sz="0" w:space="0" w:color="auto"/>
            <w:bottom w:val="none" w:sz="0" w:space="0" w:color="auto"/>
            <w:right w:val="none" w:sz="0" w:space="0" w:color="auto"/>
          </w:divBdr>
        </w:div>
        <w:div w:id="554003874">
          <w:marLeft w:val="0"/>
          <w:marRight w:val="0"/>
          <w:marTop w:val="0"/>
          <w:marBottom w:val="0"/>
          <w:divBdr>
            <w:top w:val="none" w:sz="0" w:space="0" w:color="auto"/>
            <w:left w:val="none" w:sz="0" w:space="0" w:color="auto"/>
            <w:bottom w:val="none" w:sz="0" w:space="0" w:color="auto"/>
            <w:right w:val="none" w:sz="0" w:space="0" w:color="auto"/>
          </w:divBdr>
        </w:div>
        <w:div w:id="238370563">
          <w:marLeft w:val="0"/>
          <w:marRight w:val="0"/>
          <w:marTop w:val="0"/>
          <w:marBottom w:val="0"/>
          <w:divBdr>
            <w:top w:val="none" w:sz="0" w:space="0" w:color="auto"/>
            <w:left w:val="none" w:sz="0" w:space="0" w:color="auto"/>
            <w:bottom w:val="none" w:sz="0" w:space="0" w:color="auto"/>
            <w:right w:val="none" w:sz="0" w:space="0" w:color="auto"/>
          </w:divBdr>
        </w:div>
        <w:div w:id="2108846655">
          <w:marLeft w:val="0"/>
          <w:marRight w:val="0"/>
          <w:marTop w:val="0"/>
          <w:marBottom w:val="0"/>
          <w:divBdr>
            <w:top w:val="none" w:sz="0" w:space="0" w:color="auto"/>
            <w:left w:val="none" w:sz="0" w:space="0" w:color="auto"/>
            <w:bottom w:val="none" w:sz="0" w:space="0" w:color="auto"/>
            <w:right w:val="none" w:sz="0" w:space="0" w:color="auto"/>
          </w:divBdr>
        </w:div>
        <w:div w:id="1940405222">
          <w:marLeft w:val="0"/>
          <w:marRight w:val="0"/>
          <w:marTop w:val="0"/>
          <w:marBottom w:val="0"/>
          <w:divBdr>
            <w:top w:val="none" w:sz="0" w:space="0" w:color="auto"/>
            <w:left w:val="none" w:sz="0" w:space="0" w:color="auto"/>
            <w:bottom w:val="none" w:sz="0" w:space="0" w:color="auto"/>
            <w:right w:val="none" w:sz="0" w:space="0" w:color="auto"/>
          </w:divBdr>
        </w:div>
        <w:div w:id="2063747391">
          <w:marLeft w:val="0"/>
          <w:marRight w:val="0"/>
          <w:marTop w:val="0"/>
          <w:marBottom w:val="0"/>
          <w:divBdr>
            <w:top w:val="none" w:sz="0" w:space="0" w:color="auto"/>
            <w:left w:val="none" w:sz="0" w:space="0" w:color="auto"/>
            <w:bottom w:val="none" w:sz="0" w:space="0" w:color="auto"/>
            <w:right w:val="none" w:sz="0" w:space="0" w:color="auto"/>
          </w:divBdr>
        </w:div>
        <w:div w:id="154348041">
          <w:marLeft w:val="0"/>
          <w:marRight w:val="0"/>
          <w:marTop w:val="0"/>
          <w:marBottom w:val="0"/>
          <w:divBdr>
            <w:top w:val="none" w:sz="0" w:space="0" w:color="auto"/>
            <w:left w:val="none" w:sz="0" w:space="0" w:color="auto"/>
            <w:bottom w:val="none" w:sz="0" w:space="0" w:color="auto"/>
            <w:right w:val="none" w:sz="0" w:space="0" w:color="auto"/>
          </w:divBdr>
        </w:div>
        <w:div w:id="991301077">
          <w:marLeft w:val="0"/>
          <w:marRight w:val="0"/>
          <w:marTop w:val="0"/>
          <w:marBottom w:val="0"/>
          <w:divBdr>
            <w:top w:val="none" w:sz="0" w:space="0" w:color="auto"/>
            <w:left w:val="none" w:sz="0" w:space="0" w:color="auto"/>
            <w:bottom w:val="none" w:sz="0" w:space="0" w:color="auto"/>
            <w:right w:val="none" w:sz="0" w:space="0" w:color="auto"/>
          </w:divBdr>
        </w:div>
        <w:div w:id="509834767">
          <w:marLeft w:val="0"/>
          <w:marRight w:val="0"/>
          <w:marTop w:val="0"/>
          <w:marBottom w:val="0"/>
          <w:divBdr>
            <w:top w:val="none" w:sz="0" w:space="0" w:color="auto"/>
            <w:left w:val="none" w:sz="0" w:space="0" w:color="auto"/>
            <w:bottom w:val="none" w:sz="0" w:space="0" w:color="auto"/>
            <w:right w:val="none" w:sz="0" w:space="0" w:color="auto"/>
          </w:divBdr>
        </w:div>
        <w:div w:id="1533811149">
          <w:marLeft w:val="0"/>
          <w:marRight w:val="0"/>
          <w:marTop w:val="0"/>
          <w:marBottom w:val="0"/>
          <w:divBdr>
            <w:top w:val="none" w:sz="0" w:space="0" w:color="auto"/>
            <w:left w:val="none" w:sz="0" w:space="0" w:color="auto"/>
            <w:bottom w:val="none" w:sz="0" w:space="0" w:color="auto"/>
            <w:right w:val="none" w:sz="0" w:space="0" w:color="auto"/>
          </w:divBdr>
        </w:div>
        <w:div w:id="1471946480">
          <w:marLeft w:val="0"/>
          <w:marRight w:val="0"/>
          <w:marTop w:val="0"/>
          <w:marBottom w:val="0"/>
          <w:divBdr>
            <w:top w:val="none" w:sz="0" w:space="0" w:color="auto"/>
            <w:left w:val="none" w:sz="0" w:space="0" w:color="auto"/>
            <w:bottom w:val="none" w:sz="0" w:space="0" w:color="auto"/>
            <w:right w:val="none" w:sz="0" w:space="0" w:color="auto"/>
          </w:divBdr>
        </w:div>
        <w:div w:id="1753232477">
          <w:marLeft w:val="0"/>
          <w:marRight w:val="0"/>
          <w:marTop w:val="0"/>
          <w:marBottom w:val="0"/>
          <w:divBdr>
            <w:top w:val="none" w:sz="0" w:space="0" w:color="auto"/>
            <w:left w:val="none" w:sz="0" w:space="0" w:color="auto"/>
            <w:bottom w:val="none" w:sz="0" w:space="0" w:color="auto"/>
            <w:right w:val="none" w:sz="0" w:space="0" w:color="auto"/>
          </w:divBdr>
        </w:div>
        <w:div w:id="1992517881">
          <w:marLeft w:val="0"/>
          <w:marRight w:val="0"/>
          <w:marTop w:val="0"/>
          <w:marBottom w:val="0"/>
          <w:divBdr>
            <w:top w:val="none" w:sz="0" w:space="0" w:color="auto"/>
            <w:left w:val="none" w:sz="0" w:space="0" w:color="auto"/>
            <w:bottom w:val="none" w:sz="0" w:space="0" w:color="auto"/>
            <w:right w:val="none" w:sz="0" w:space="0" w:color="auto"/>
          </w:divBdr>
        </w:div>
        <w:div w:id="841772259">
          <w:marLeft w:val="0"/>
          <w:marRight w:val="0"/>
          <w:marTop w:val="0"/>
          <w:marBottom w:val="0"/>
          <w:divBdr>
            <w:top w:val="none" w:sz="0" w:space="0" w:color="auto"/>
            <w:left w:val="none" w:sz="0" w:space="0" w:color="auto"/>
            <w:bottom w:val="none" w:sz="0" w:space="0" w:color="auto"/>
            <w:right w:val="none" w:sz="0" w:space="0" w:color="auto"/>
          </w:divBdr>
        </w:div>
        <w:div w:id="1979412778">
          <w:marLeft w:val="0"/>
          <w:marRight w:val="0"/>
          <w:marTop w:val="0"/>
          <w:marBottom w:val="0"/>
          <w:divBdr>
            <w:top w:val="none" w:sz="0" w:space="0" w:color="auto"/>
            <w:left w:val="none" w:sz="0" w:space="0" w:color="auto"/>
            <w:bottom w:val="none" w:sz="0" w:space="0" w:color="auto"/>
            <w:right w:val="none" w:sz="0" w:space="0" w:color="auto"/>
          </w:divBdr>
        </w:div>
        <w:div w:id="255940444">
          <w:marLeft w:val="0"/>
          <w:marRight w:val="0"/>
          <w:marTop w:val="0"/>
          <w:marBottom w:val="0"/>
          <w:divBdr>
            <w:top w:val="none" w:sz="0" w:space="0" w:color="auto"/>
            <w:left w:val="none" w:sz="0" w:space="0" w:color="auto"/>
            <w:bottom w:val="none" w:sz="0" w:space="0" w:color="auto"/>
            <w:right w:val="none" w:sz="0" w:space="0" w:color="auto"/>
          </w:divBdr>
        </w:div>
        <w:div w:id="355696013">
          <w:marLeft w:val="0"/>
          <w:marRight w:val="0"/>
          <w:marTop w:val="0"/>
          <w:marBottom w:val="0"/>
          <w:divBdr>
            <w:top w:val="none" w:sz="0" w:space="0" w:color="auto"/>
            <w:left w:val="none" w:sz="0" w:space="0" w:color="auto"/>
            <w:bottom w:val="none" w:sz="0" w:space="0" w:color="auto"/>
            <w:right w:val="none" w:sz="0" w:space="0" w:color="auto"/>
          </w:divBdr>
        </w:div>
        <w:div w:id="1074743436">
          <w:marLeft w:val="0"/>
          <w:marRight w:val="0"/>
          <w:marTop w:val="0"/>
          <w:marBottom w:val="0"/>
          <w:divBdr>
            <w:top w:val="none" w:sz="0" w:space="0" w:color="auto"/>
            <w:left w:val="none" w:sz="0" w:space="0" w:color="auto"/>
            <w:bottom w:val="none" w:sz="0" w:space="0" w:color="auto"/>
            <w:right w:val="none" w:sz="0" w:space="0" w:color="auto"/>
          </w:divBdr>
        </w:div>
        <w:div w:id="1371295423">
          <w:marLeft w:val="0"/>
          <w:marRight w:val="0"/>
          <w:marTop w:val="0"/>
          <w:marBottom w:val="0"/>
          <w:divBdr>
            <w:top w:val="none" w:sz="0" w:space="0" w:color="auto"/>
            <w:left w:val="none" w:sz="0" w:space="0" w:color="auto"/>
            <w:bottom w:val="none" w:sz="0" w:space="0" w:color="auto"/>
            <w:right w:val="none" w:sz="0" w:space="0" w:color="auto"/>
          </w:divBdr>
        </w:div>
        <w:div w:id="33776731">
          <w:marLeft w:val="0"/>
          <w:marRight w:val="0"/>
          <w:marTop w:val="0"/>
          <w:marBottom w:val="0"/>
          <w:divBdr>
            <w:top w:val="none" w:sz="0" w:space="0" w:color="auto"/>
            <w:left w:val="none" w:sz="0" w:space="0" w:color="auto"/>
            <w:bottom w:val="none" w:sz="0" w:space="0" w:color="auto"/>
            <w:right w:val="none" w:sz="0" w:space="0" w:color="auto"/>
          </w:divBdr>
        </w:div>
        <w:div w:id="187451276">
          <w:marLeft w:val="0"/>
          <w:marRight w:val="0"/>
          <w:marTop w:val="0"/>
          <w:marBottom w:val="0"/>
          <w:divBdr>
            <w:top w:val="none" w:sz="0" w:space="0" w:color="auto"/>
            <w:left w:val="none" w:sz="0" w:space="0" w:color="auto"/>
            <w:bottom w:val="none" w:sz="0" w:space="0" w:color="auto"/>
            <w:right w:val="none" w:sz="0" w:space="0" w:color="auto"/>
          </w:divBdr>
        </w:div>
        <w:div w:id="1772311839">
          <w:marLeft w:val="0"/>
          <w:marRight w:val="0"/>
          <w:marTop w:val="0"/>
          <w:marBottom w:val="0"/>
          <w:divBdr>
            <w:top w:val="none" w:sz="0" w:space="0" w:color="auto"/>
            <w:left w:val="none" w:sz="0" w:space="0" w:color="auto"/>
            <w:bottom w:val="none" w:sz="0" w:space="0" w:color="auto"/>
            <w:right w:val="none" w:sz="0" w:space="0" w:color="auto"/>
          </w:divBdr>
        </w:div>
        <w:div w:id="524252497">
          <w:marLeft w:val="0"/>
          <w:marRight w:val="0"/>
          <w:marTop w:val="0"/>
          <w:marBottom w:val="0"/>
          <w:divBdr>
            <w:top w:val="none" w:sz="0" w:space="0" w:color="auto"/>
            <w:left w:val="none" w:sz="0" w:space="0" w:color="auto"/>
            <w:bottom w:val="none" w:sz="0" w:space="0" w:color="auto"/>
            <w:right w:val="none" w:sz="0" w:space="0" w:color="auto"/>
          </w:divBdr>
        </w:div>
        <w:div w:id="1507474858">
          <w:marLeft w:val="0"/>
          <w:marRight w:val="0"/>
          <w:marTop w:val="0"/>
          <w:marBottom w:val="0"/>
          <w:divBdr>
            <w:top w:val="none" w:sz="0" w:space="0" w:color="auto"/>
            <w:left w:val="none" w:sz="0" w:space="0" w:color="auto"/>
            <w:bottom w:val="none" w:sz="0" w:space="0" w:color="auto"/>
            <w:right w:val="none" w:sz="0" w:space="0" w:color="auto"/>
          </w:divBdr>
        </w:div>
        <w:div w:id="808085708">
          <w:marLeft w:val="0"/>
          <w:marRight w:val="0"/>
          <w:marTop w:val="0"/>
          <w:marBottom w:val="0"/>
          <w:divBdr>
            <w:top w:val="none" w:sz="0" w:space="0" w:color="auto"/>
            <w:left w:val="none" w:sz="0" w:space="0" w:color="auto"/>
            <w:bottom w:val="none" w:sz="0" w:space="0" w:color="auto"/>
            <w:right w:val="none" w:sz="0" w:space="0" w:color="auto"/>
          </w:divBdr>
        </w:div>
        <w:div w:id="16126751">
          <w:marLeft w:val="0"/>
          <w:marRight w:val="0"/>
          <w:marTop w:val="0"/>
          <w:marBottom w:val="0"/>
          <w:divBdr>
            <w:top w:val="none" w:sz="0" w:space="0" w:color="auto"/>
            <w:left w:val="none" w:sz="0" w:space="0" w:color="auto"/>
            <w:bottom w:val="none" w:sz="0" w:space="0" w:color="auto"/>
            <w:right w:val="none" w:sz="0" w:space="0" w:color="auto"/>
          </w:divBdr>
        </w:div>
        <w:div w:id="372928414">
          <w:marLeft w:val="0"/>
          <w:marRight w:val="0"/>
          <w:marTop w:val="0"/>
          <w:marBottom w:val="0"/>
          <w:divBdr>
            <w:top w:val="none" w:sz="0" w:space="0" w:color="auto"/>
            <w:left w:val="none" w:sz="0" w:space="0" w:color="auto"/>
            <w:bottom w:val="none" w:sz="0" w:space="0" w:color="auto"/>
            <w:right w:val="none" w:sz="0" w:space="0" w:color="auto"/>
          </w:divBdr>
        </w:div>
        <w:div w:id="846141878">
          <w:marLeft w:val="0"/>
          <w:marRight w:val="0"/>
          <w:marTop w:val="0"/>
          <w:marBottom w:val="0"/>
          <w:divBdr>
            <w:top w:val="none" w:sz="0" w:space="0" w:color="auto"/>
            <w:left w:val="none" w:sz="0" w:space="0" w:color="auto"/>
            <w:bottom w:val="none" w:sz="0" w:space="0" w:color="auto"/>
            <w:right w:val="none" w:sz="0" w:space="0" w:color="auto"/>
          </w:divBdr>
        </w:div>
        <w:div w:id="1679622427">
          <w:marLeft w:val="0"/>
          <w:marRight w:val="0"/>
          <w:marTop w:val="0"/>
          <w:marBottom w:val="0"/>
          <w:divBdr>
            <w:top w:val="none" w:sz="0" w:space="0" w:color="auto"/>
            <w:left w:val="none" w:sz="0" w:space="0" w:color="auto"/>
            <w:bottom w:val="none" w:sz="0" w:space="0" w:color="auto"/>
            <w:right w:val="none" w:sz="0" w:space="0" w:color="auto"/>
          </w:divBdr>
        </w:div>
        <w:div w:id="1858498073">
          <w:marLeft w:val="0"/>
          <w:marRight w:val="0"/>
          <w:marTop w:val="0"/>
          <w:marBottom w:val="0"/>
          <w:divBdr>
            <w:top w:val="none" w:sz="0" w:space="0" w:color="auto"/>
            <w:left w:val="none" w:sz="0" w:space="0" w:color="auto"/>
            <w:bottom w:val="none" w:sz="0" w:space="0" w:color="auto"/>
            <w:right w:val="none" w:sz="0" w:space="0" w:color="auto"/>
          </w:divBdr>
        </w:div>
        <w:div w:id="1312709463">
          <w:marLeft w:val="0"/>
          <w:marRight w:val="0"/>
          <w:marTop w:val="0"/>
          <w:marBottom w:val="0"/>
          <w:divBdr>
            <w:top w:val="none" w:sz="0" w:space="0" w:color="auto"/>
            <w:left w:val="none" w:sz="0" w:space="0" w:color="auto"/>
            <w:bottom w:val="none" w:sz="0" w:space="0" w:color="auto"/>
            <w:right w:val="none" w:sz="0" w:space="0" w:color="auto"/>
          </w:divBdr>
        </w:div>
        <w:div w:id="1230655553">
          <w:marLeft w:val="0"/>
          <w:marRight w:val="0"/>
          <w:marTop w:val="0"/>
          <w:marBottom w:val="0"/>
          <w:divBdr>
            <w:top w:val="none" w:sz="0" w:space="0" w:color="auto"/>
            <w:left w:val="none" w:sz="0" w:space="0" w:color="auto"/>
            <w:bottom w:val="none" w:sz="0" w:space="0" w:color="auto"/>
            <w:right w:val="none" w:sz="0" w:space="0" w:color="auto"/>
          </w:divBdr>
        </w:div>
        <w:div w:id="1911963089">
          <w:marLeft w:val="0"/>
          <w:marRight w:val="0"/>
          <w:marTop w:val="0"/>
          <w:marBottom w:val="0"/>
          <w:divBdr>
            <w:top w:val="none" w:sz="0" w:space="0" w:color="auto"/>
            <w:left w:val="none" w:sz="0" w:space="0" w:color="auto"/>
            <w:bottom w:val="none" w:sz="0" w:space="0" w:color="auto"/>
            <w:right w:val="none" w:sz="0" w:space="0" w:color="auto"/>
          </w:divBdr>
        </w:div>
        <w:div w:id="421220617">
          <w:marLeft w:val="0"/>
          <w:marRight w:val="0"/>
          <w:marTop w:val="0"/>
          <w:marBottom w:val="0"/>
          <w:divBdr>
            <w:top w:val="none" w:sz="0" w:space="0" w:color="auto"/>
            <w:left w:val="none" w:sz="0" w:space="0" w:color="auto"/>
            <w:bottom w:val="none" w:sz="0" w:space="0" w:color="auto"/>
            <w:right w:val="none" w:sz="0" w:space="0" w:color="auto"/>
          </w:divBdr>
        </w:div>
        <w:div w:id="1399741051">
          <w:marLeft w:val="0"/>
          <w:marRight w:val="0"/>
          <w:marTop w:val="0"/>
          <w:marBottom w:val="0"/>
          <w:divBdr>
            <w:top w:val="none" w:sz="0" w:space="0" w:color="auto"/>
            <w:left w:val="none" w:sz="0" w:space="0" w:color="auto"/>
            <w:bottom w:val="none" w:sz="0" w:space="0" w:color="auto"/>
            <w:right w:val="none" w:sz="0" w:space="0" w:color="auto"/>
          </w:divBdr>
        </w:div>
        <w:div w:id="1144586782">
          <w:marLeft w:val="0"/>
          <w:marRight w:val="0"/>
          <w:marTop w:val="0"/>
          <w:marBottom w:val="0"/>
          <w:divBdr>
            <w:top w:val="none" w:sz="0" w:space="0" w:color="auto"/>
            <w:left w:val="none" w:sz="0" w:space="0" w:color="auto"/>
            <w:bottom w:val="none" w:sz="0" w:space="0" w:color="auto"/>
            <w:right w:val="none" w:sz="0" w:space="0" w:color="auto"/>
          </w:divBdr>
        </w:div>
        <w:div w:id="899555633">
          <w:marLeft w:val="0"/>
          <w:marRight w:val="0"/>
          <w:marTop w:val="0"/>
          <w:marBottom w:val="0"/>
          <w:divBdr>
            <w:top w:val="none" w:sz="0" w:space="0" w:color="auto"/>
            <w:left w:val="none" w:sz="0" w:space="0" w:color="auto"/>
            <w:bottom w:val="none" w:sz="0" w:space="0" w:color="auto"/>
            <w:right w:val="none" w:sz="0" w:space="0" w:color="auto"/>
          </w:divBdr>
        </w:div>
        <w:div w:id="1650206746">
          <w:marLeft w:val="0"/>
          <w:marRight w:val="0"/>
          <w:marTop w:val="0"/>
          <w:marBottom w:val="0"/>
          <w:divBdr>
            <w:top w:val="none" w:sz="0" w:space="0" w:color="auto"/>
            <w:left w:val="none" w:sz="0" w:space="0" w:color="auto"/>
            <w:bottom w:val="none" w:sz="0" w:space="0" w:color="auto"/>
            <w:right w:val="none" w:sz="0" w:space="0" w:color="auto"/>
          </w:divBdr>
        </w:div>
        <w:div w:id="1937791100">
          <w:marLeft w:val="0"/>
          <w:marRight w:val="0"/>
          <w:marTop w:val="0"/>
          <w:marBottom w:val="0"/>
          <w:divBdr>
            <w:top w:val="none" w:sz="0" w:space="0" w:color="auto"/>
            <w:left w:val="none" w:sz="0" w:space="0" w:color="auto"/>
            <w:bottom w:val="none" w:sz="0" w:space="0" w:color="auto"/>
            <w:right w:val="none" w:sz="0" w:space="0" w:color="auto"/>
          </w:divBdr>
        </w:div>
        <w:div w:id="979261883">
          <w:marLeft w:val="0"/>
          <w:marRight w:val="0"/>
          <w:marTop w:val="0"/>
          <w:marBottom w:val="0"/>
          <w:divBdr>
            <w:top w:val="none" w:sz="0" w:space="0" w:color="auto"/>
            <w:left w:val="none" w:sz="0" w:space="0" w:color="auto"/>
            <w:bottom w:val="none" w:sz="0" w:space="0" w:color="auto"/>
            <w:right w:val="none" w:sz="0" w:space="0" w:color="auto"/>
          </w:divBdr>
        </w:div>
        <w:div w:id="230383338">
          <w:marLeft w:val="0"/>
          <w:marRight w:val="0"/>
          <w:marTop w:val="0"/>
          <w:marBottom w:val="0"/>
          <w:divBdr>
            <w:top w:val="none" w:sz="0" w:space="0" w:color="auto"/>
            <w:left w:val="none" w:sz="0" w:space="0" w:color="auto"/>
            <w:bottom w:val="none" w:sz="0" w:space="0" w:color="auto"/>
            <w:right w:val="none" w:sz="0" w:space="0" w:color="auto"/>
          </w:divBdr>
        </w:div>
        <w:div w:id="1579745851">
          <w:marLeft w:val="0"/>
          <w:marRight w:val="0"/>
          <w:marTop w:val="0"/>
          <w:marBottom w:val="0"/>
          <w:divBdr>
            <w:top w:val="none" w:sz="0" w:space="0" w:color="auto"/>
            <w:left w:val="none" w:sz="0" w:space="0" w:color="auto"/>
            <w:bottom w:val="none" w:sz="0" w:space="0" w:color="auto"/>
            <w:right w:val="none" w:sz="0" w:space="0" w:color="auto"/>
          </w:divBdr>
        </w:div>
        <w:div w:id="235866721">
          <w:marLeft w:val="0"/>
          <w:marRight w:val="0"/>
          <w:marTop w:val="0"/>
          <w:marBottom w:val="0"/>
          <w:divBdr>
            <w:top w:val="none" w:sz="0" w:space="0" w:color="auto"/>
            <w:left w:val="none" w:sz="0" w:space="0" w:color="auto"/>
            <w:bottom w:val="none" w:sz="0" w:space="0" w:color="auto"/>
            <w:right w:val="none" w:sz="0" w:space="0" w:color="auto"/>
          </w:divBdr>
        </w:div>
        <w:div w:id="1163818984">
          <w:marLeft w:val="0"/>
          <w:marRight w:val="0"/>
          <w:marTop w:val="0"/>
          <w:marBottom w:val="0"/>
          <w:divBdr>
            <w:top w:val="none" w:sz="0" w:space="0" w:color="auto"/>
            <w:left w:val="none" w:sz="0" w:space="0" w:color="auto"/>
            <w:bottom w:val="none" w:sz="0" w:space="0" w:color="auto"/>
            <w:right w:val="none" w:sz="0" w:space="0" w:color="auto"/>
          </w:divBdr>
        </w:div>
        <w:div w:id="864175213">
          <w:marLeft w:val="0"/>
          <w:marRight w:val="0"/>
          <w:marTop w:val="0"/>
          <w:marBottom w:val="0"/>
          <w:divBdr>
            <w:top w:val="none" w:sz="0" w:space="0" w:color="auto"/>
            <w:left w:val="none" w:sz="0" w:space="0" w:color="auto"/>
            <w:bottom w:val="none" w:sz="0" w:space="0" w:color="auto"/>
            <w:right w:val="none" w:sz="0" w:space="0" w:color="auto"/>
          </w:divBdr>
        </w:div>
        <w:div w:id="413278890">
          <w:marLeft w:val="0"/>
          <w:marRight w:val="0"/>
          <w:marTop w:val="0"/>
          <w:marBottom w:val="0"/>
          <w:divBdr>
            <w:top w:val="none" w:sz="0" w:space="0" w:color="auto"/>
            <w:left w:val="none" w:sz="0" w:space="0" w:color="auto"/>
            <w:bottom w:val="none" w:sz="0" w:space="0" w:color="auto"/>
            <w:right w:val="none" w:sz="0" w:space="0" w:color="auto"/>
          </w:divBdr>
        </w:div>
        <w:div w:id="1862426388">
          <w:marLeft w:val="0"/>
          <w:marRight w:val="0"/>
          <w:marTop w:val="0"/>
          <w:marBottom w:val="0"/>
          <w:divBdr>
            <w:top w:val="none" w:sz="0" w:space="0" w:color="auto"/>
            <w:left w:val="none" w:sz="0" w:space="0" w:color="auto"/>
            <w:bottom w:val="none" w:sz="0" w:space="0" w:color="auto"/>
            <w:right w:val="none" w:sz="0" w:space="0" w:color="auto"/>
          </w:divBdr>
        </w:div>
        <w:div w:id="703482862">
          <w:marLeft w:val="0"/>
          <w:marRight w:val="0"/>
          <w:marTop w:val="0"/>
          <w:marBottom w:val="0"/>
          <w:divBdr>
            <w:top w:val="none" w:sz="0" w:space="0" w:color="auto"/>
            <w:left w:val="none" w:sz="0" w:space="0" w:color="auto"/>
            <w:bottom w:val="none" w:sz="0" w:space="0" w:color="auto"/>
            <w:right w:val="none" w:sz="0" w:space="0" w:color="auto"/>
          </w:divBdr>
        </w:div>
        <w:div w:id="2139760760">
          <w:marLeft w:val="0"/>
          <w:marRight w:val="0"/>
          <w:marTop w:val="0"/>
          <w:marBottom w:val="0"/>
          <w:divBdr>
            <w:top w:val="none" w:sz="0" w:space="0" w:color="auto"/>
            <w:left w:val="none" w:sz="0" w:space="0" w:color="auto"/>
            <w:bottom w:val="none" w:sz="0" w:space="0" w:color="auto"/>
            <w:right w:val="none" w:sz="0" w:space="0" w:color="auto"/>
          </w:divBdr>
        </w:div>
        <w:div w:id="412824247">
          <w:marLeft w:val="0"/>
          <w:marRight w:val="0"/>
          <w:marTop w:val="0"/>
          <w:marBottom w:val="0"/>
          <w:divBdr>
            <w:top w:val="none" w:sz="0" w:space="0" w:color="auto"/>
            <w:left w:val="none" w:sz="0" w:space="0" w:color="auto"/>
            <w:bottom w:val="none" w:sz="0" w:space="0" w:color="auto"/>
            <w:right w:val="none" w:sz="0" w:space="0" w:color="auto"/>
          </w:divBdr>
        </w:div>
        <w:div w:id="715809887">
          <w:marLeft w:val="0"/>
          <w:marRight w:val="0"/>
          <w:marTop w:val="0"/>
          <w:marBottom w:val="0"/>
          <w:divBdr>
            <w:top w:val="none" w:sz="0" w:space="0" w:color="auto"/>
            <w:left w:val="none" w:sz="0" w:space="0" w:color="auto"/>
            <w:bottom w:val="none" w:sz="0" w:space="0" w:color="auto"/>
            <w:right w:val="none" w:sz="0" w:space="0" w:color="auto"/>
          </w:divBdr>
        </w:div>
        <w:div w:id="1086341763">
          <w:marLeft w:val="0"/>
          <w:marRight w:val="0"/>
          <w:marTop w:val="0"/>
          <w:marBottom w:val="0"/>
          <w:divBdr>
            <w:top w:val="none" w:sz="0" w:space="0" w:color="auto"/>
            <w:left w:val="none" w:sz="0" w:space="0" w:color="auto"/>
            <w:bottom w:val="none" w:sz="0" w:space="0" w:color="auto"/>
            <w:right w:val="none" w:sz="0" w:space="0" w:color="auto"/>
          </w:divBdr>
        </w:div>
        <w:div w:id="1108163813">
          <w:marLeft w:val="0"/>
          <w:marRight w:val="0"/>
          <w:marTop w:val="0"/>
          <w:marBottom w:val="0"/>
          <w:divBdr>
            <w:top w:val="none" w:sz="0" w:space="0" w:color="auto"/>
            <w:left w:val="none" w:sz="0" w:space="0" w:color="auto"/>
            <w:bottom w:val="none" w:sz="0" w:space="0" w:color="auto"/>
            <w:right w:val="none" w:sz="0" w:space="0" w:color="auto"/>
          </w:divBdr>
        </w:div>
        <w:div w:id="1162769155">
          <w:marLeft w:val="0"/>
          <w:marRight w:val="0"/>
          <w:marTop w:val="0"/>
          <w:marBottom w:val="0"/>
          <w:divBdr>
            <w:top w:val="none" w:sz="0" w:space="0" w:color="auto"/>
            <w:left w:val="none" w:sz="0" w:space="0" w:color="auto"/>
            <w:bottom w:val="none" w:sz="0" w:space="0" w:color="auto"/>
            <w:right w:val="none" w:sz="0" w:space="0" w:color="auto"/>
          </w:divBdr>
        </w:div>
        <w:div w:id="1664311891">
          <w:marLeft w:val="0"/>
          <w:marRight w:val="0"/>
          <w:marTop w:val="0"/>
          <w:marBottom w:val="0"/>
          <w:divBdr>
            <w:top w:val="none" w:sz="0" w:space="0" w:color="auto"/>
            <w:left w:val="none" w:sz="0" w:space="0" w:color="auto"/>
            <w:bottom w:val="none" w:sz="0" w:space="0" w:color="auto"/>
            <w:right w:val="none" w:sz="0" w:space="0" w:color="auto"/>
          </w:divBdr>
        </w:div>
        <w:div w:id="648483155">
          <w:marLeft w:val="0"/>
          <w:marRight w:val="0"/>
          <w:marTop w:val="0"/>
          <w:marBottom w:val="0"/>
          <w:divBdr>
            <w:top w:val="none" w:sz="0" w:space="0" w:color="auto"/>
            <w:left w:val="none" w:sz="0" w:space="0" w:color="auto"/>
            <w:bottom w:val="none" w:sz="0" w:space="0" w:color="auto"/>
            <w:right w:val="none" w:sz="0" w:space="0" w:color="auto"/>
          </w:divBdr>
        </w:div>
        <w:div w:id="1027606359">
          <w:marLeft w:val="0"/>
          <w:marRight w:val="0"/>
          <w:marTop w:val="0"/>
          <w:marBottom w:val="0"/>
          <w:divBdr>
            <w:top w:val="none" w:sz="0" w:space="0" w:color="auto"/>
            <w:left w:val="none" w:sz="0" w:space="0" w:color="auto"/>
            <w:bottom w:val="none" w:sz="0" w:space="0" w:color="auto"/>
            <w:right w:val="none" w:sz="0" w:space="0" w:color="auto"/>
          </w:divBdr>
        </w:div>
        <w:div w:id="651905402">
          <w:marLeft w:val="0"/>
          <w:marRight w:val="0"/>
          <w:marTop w:val="0"/>
          <w:marBottom w:val="0"/>
          <w:divBdr>
            <w:top w:val="none" w:sz="0" w:space="0" w:color="auto"/>
            <w:left w:val="none" w:sz="0" w:space="0" w:color="auto"/>
            <w:bottom w:val="none" w:sz="0" w:space="0" w:color="auto"/>
            <w:right w:val="none" w:sz="0" w:space="0" w:color="auto"/>
          </w:divBdr>
        </w:div>
        <w:div w:id="2064019190">
          <w:marLeft w:val="0"/>
          <w:marRight w:val="0"/>
          <w:marTop w:val="0"/>
          <w:marBottom w:val="0"/>
          <w:divBdr>
            <w:top w:val="none" w:sz="0" w:space="0" w:color="auto"/>
            <w:left w:val="none" w:sz="0" w:space="0" w:color="auto"/>
            <w:bottom w:val="none" w:sz="0" w:space="0" w:color="auto"/>
            <w:right w:val="none" w:sz="0" w:space="0" w:color="auto"/>
          </w:divBdr>
        </w:div>
        <w:div w:id="212079620">
          <w:marLeft w:val="0"/>
          <w:marRight w:val="0"/>
          <w:marTop w:val="0"/>
          <w:marBottom w:val="0"/>
          <w:divBdr>
            <w:top w:val="none" w:sz="0" w:space="0" w:color="auto"/>
            <w:left w:val="none" w:sz="0" w:space="0" w:color="auto"/>
            <w:bottom w:val="none" w:sz="0" w:space="0" w:color="auto"/>
            <w:right w:val="none" w:sz="0" w:space="0" w:color="auto"/>
          </w:divBdr>
        </w:div>
        <w:div w:id="1645305888">
          <w:marLeft w:val="0"/>
          <w:marRight w:val="0"/>
          <w:marTop w:val="0"/>
          <w:marBottom w:val="0"/>
          <w:divBdr>
            <w:top w:val="none" w:sz="0" w:space="0" w:color="auto"/>
            <w:left w:val="none" w:sz="0" w:space="0" w:color="auto"/>
            <w:bottom w:val="none" w:sz="0" w:space="0" w:color="auto"/>
            <w:right w:val="none" w:sz="0" w:space="0" w:color="auto"/>
          </w:divBdr>
        </w:div>
        <w:div w:id="1645696922">
          <w:marLeft w:val="0"/>
          <w:marRight w:val="0"/>
          <w:marTop w:val="0"/>
          <w:marBottom w:val="0"/>
          <w:divBdr>
            <w:top w:val="none" w:sz="0" w:space="0" w:color="auto"/>
            <w:left w:val="none" w:sz="0" w:space="0" w:color="auto"/>
            <w:bottom w:val="none" w:sz="0" w:space="0" w:color="auto"/>
            <w:right w:val="none" w:sz="0" w:space="0" w:color="auto"/>
          </w:divBdr>
        </w:div>
        <w:div w:id="1585265214">
          <w:marLeft w:val="0"/>
          <w:marRight w:val="0"/>
          <w:marTop w:val="0"/>
          <w:marBottom w:val="0"/>
          <w:divBdr>
            <w:top w:val="none" w:sz="0" w:space="0" w:color="auto"/>
            <w:left w:val="none" w:sz="0" w:space="0" w:color="auto"/>
            <w:bottom w:val="none" w:sz="0" w:space="0" w:color="auto"/>
            <w:right w:val="none" w:sz="0" w:space="0" w:color="auto"/>
          </w:divBdr>
        </w:div>
        <w:div w:id="2094155529">
          <w:marLeft w:val="0"/>
          <w:marRight w:val="0"/>
          <w:marTop w:val="0"/>
          <w:marBottom w:val="0"/>
          <w:divBdr>
            <w:top w:val="none" w:sz="0" w:space="0" w:color="auto"/>
            <w:left w:val="none" w:sz="0" w:space="0" w:color="auto"/>
            <w:bottom w:val="none" w:sz="0" w:space="0" w:color="auto"/>
            <w:right w:val="none" w:sz="0" w:space="0" w:color="auto"/>
          </w:divBdr>
        </w:div>
        <w:div w:id="1345592782">
          <w:marLeft w:val="0"/>
          <w:marRight w:val="0"/>
          <w:marTop w:val="0"/>
          <w:marBottom w:val="0"/>
          <w:divBdr>
            <w:top w:val="none" w:sz="0" w:space="0" w:color="auto"/>
            <w:left w:val="none" w:sz="0" w:space="0" w:color="auto"/>
            <w:bottom w:val="none" w:sz="0" w:space="0" w:color="auto"/>
            <w:right w:val="none" w:sz="0" w:space="0" w:color="auto"/>
          </w:divBdr>
        </w:div>
        <w:div w:id="1756777229">
          <w:marLeft w:val="0"/>
          <w:marRight w:val="0"/>
          <w:marTop w:val="0"/>
          <w:marBottom w:val="0"/>
          <w:divBdr>
            <w:top w:val="none" w:sz="0" w:space="0" w:color="auto"/>
            <w:left w:val="none" w:sz="0" w:space="0" w:color="auto"/>
            <w:bottom w:val="none" w:sz="0" w:space="0" w:color="auto"/>
            <w:right w:val="none" w:sz="0" w:space="0" w:color="auto"/>
          </w:divBdr>
        </w:div>
        <w:div w:id="1277100557">
          <w:marLeft w:val="0"/>
          <w:marRight w:val="0"/>
          <w:marTop w:val="0"/>
          <w:marBottom w:val="0"/>
          <w:divBdr>
            <w:top w:val="none" w:sz="0" w:space="0" w:color="auto"/>
            <w:left w:val="none" w:sz="0" w:space="0" w:color="auto"/>
            <w:bottom w:val="none" w:sz="0" w:space="0" w:color="auto"/>
            <w:right w:val="none" w:sz="0" w:space="0" w:color="auto"/>
          </w:divBdr>
        </w:div>
        <w:div w:id="1143740737">
          <w:marLeft w:val="0"/>
          <w:marRight w:val="0"/>
          <w:marTop w:val="0"/>
          <w:marBottom w:val="0"/>
          <w:divBdr>
            <w:top w:val="none" w:sz="0" w:space="0" w:color="auto"/>
            <w:left w:val="none" w:sz="0" w:space="0" w:color="auto"/>
            <w:bottom w:val="none" w:sz="0" w:space="0" w:color="auto"/>
            <w:right w:val="none" w:sz="0" w:space="0" w:color="auto"/>
          </w:divBdr>
        </w:div>
        <w:div w:id="1338650932">
          <w:marLeft w:val="0"/>
          <w:marRight w:val="0"/>
          <w:marTop w:val="0"/>
          <w:marBottom w:val="0"/>
          <w:divBdr>
            <w:top w:val="none" w:sz="0" w:space="0" w:color="auto"/>
            <w:left w:val="none" w:sz="0" w:space="0" w:color="auto"/>
            <w:bottom w:val="none" w:sz="0" w:space="0" w:color="auto"/>
            <w:right w:val="none" w:sz="0" w:space="0" w:color="auto"/>
          </w:divBdr>
        </w:div>
        <w:div w:id="571964650">
          <w:marLeft w:val="0"/>
          <w:marRight w:val="0"/>
          <w:marTop w:val="0"/>
          <w:marBottom w:val="0"/>
          <w:divBdr>
            <w:top w:val="none" w:sz="0" w:space="0" w:color="auto"/>
            <w:left w:val="none" w:sz="0" w:space="0" w:color="auto"/>
            <w:bottom w:val="none" w:sz="0" w:space="0" w:color="auto"/>
            <w:right w:val="none" w:sz="0" w:space="0" w:color="auto"/>
          </w:divBdr>
        </w:div>
        <w:div w:id="1078207796">
          <w:marLeft w:val="0"/>
          <w:marRight w:val="0"/>
          <w:marTop w:val="0"/>
          <w:marBottom w:val="0"/>
          <w:divBdr>
            <w:top w:val="none" w:sz="0" w:space="0" w:color="auto"/>
            <w:left w:val="none" w:sz="0" w:space="0" w:color="auto"/>
            <w:bottom w:val="none" w:sz="0" w:space="0" w:color="auto"/>
            <w:right w:val="none" w:sz="0" w:space="0" w:color="auto"/>
          </w:divBdr>
        </w:div>
        <w:div w:id="1154029344">
          <w:marLeft w:val="0"/>
          <w:marRight w:val="0"/>
          <w:marTop w:val="0"/>
          <w:marBottom w:val="0"/>
          <w:divBdr>
            <w:top w:val="none" w:sz="0" w:space="0" w:color="auto"/>
            <w:left w:val="none" w:sz="0" w:space="0" w:color="auto"/>
            <w:bottom w:val="none" w:sz="0" w:space="0" w:color="auto"/>
            <w:right w:val="none" w:sz="0" w:space="0" w:color="auto"/>
          </w:divBdr>
        </w:div>
        <w:div w:id="662318653">
          <w:marLeft w:val="0"/>
          <w:marRight w:val="0"/>
          <w:marTop w:val="0"/>
          <w:marBottom w:val="0"/>
          <w:divBdr>
            <w:top w:val="none" w:sz="0" w:space="0" w:color="auto"/>
            <w:left w:val="none" w:sz="0" w:space="0" w:color="auto"/>
            <w:bottom w:val="none" w:sz="0" w:space="0" w:color="auto"/>
            <w:right w:val="none" w:sz="0" w:space="0" w:color="auto"/>
          </w:divBdr>
        </w:div>
        <w:div w:id="15082141">
          <w:marLeft w:val="0"/>
          <w:marRight w:val="0"/>
          <w:marTop w:val="0"/>
          <w:marBottom w:val="0"/>
          <w:divBdr>
            <w:top w:val="none" w:sz="0" w:space="0" w:color="auto"/>
            <w:left w:val="none" w:sz="0" w:space="0" w:color="auto"/>
            <w:bottom w:val="none" w:sz="0" w:space="0" w:color="auto"/>
            <w:right w:val="none" w:sz="0" w:space="0" w:color="auto"/>
          </w:divBdr>
        </w:div>
        <w:div w:id="1656837596">
          <w:marLeft w:val="0"/>
          <w:marRight w:val="0"/>
          <w:marTop w:val="0"/>
          <w:marBottom w:val="0"/>
          <w:divBdr>
            <w:top w:val="none" w:sz="0" w:space="0" w:color="auto"/>
            <w:left w:val="none" w:sz="0" w:space="0" w:color="auto"/>
            <w:bottom w:val="none" w:sz="0" w:space="0" w:color="auto"/>
            <w:right w:val="none" w:sz="0" w:space="0" w:color="auto"/>
          </w:divBdr>
        </w:div>
        <w:div w:id="1779370580">
          <w:marLeft w:val="0"/>
          <w:marRight w:val="0"/>
          <w:marTop w:val="0"/>
          <w:marBottom w:val="0"/>
          <w:divBdr>
            <w:top w:val="none" w:sz="0" w:space="0" w:color="auto"/>
            <w:left w:val="none" w:sz="0" w:space="0" w:color="auto"/>
            <w:bottom w:val="none" w:sz="0" w:space="0" w:color="auto"/>
            <w:right w:val="none" w:sz="0" w:space="0" w:color="auto"/>
          </w:divBdr>
        </w:div>
        <w:div w:id="1242451037">
          <w:marLeft w:val="0"/>
          <w:marRight w:val="0"/>
          <w:marTop w:val="0"/>
          <w:marBottom w:val="0"/>
          <w:divBdr>
            <w:top w:val="none" w:sz="0" w:space="0" w:color="auto"/>
            <w:left w:val="none" w:sz="0" w:space="0" w:color="auto"/>
            <w:bottom w:val="none" w:sz="0" w:space="0" w:color="auto"/>
            <w:right w:val="none" w:sz="0" w:space="0" w:color="auto"/>
          </w:divBdr>
        </w:div>
        <w:div w:id="874661698">
          <w:marLeft w:val="0"/>
          <w:marRight w:val="0"/>
          <w:marTop w:val="0"/>
          <w:marBottom w:val="0"/>
          <w:divBdr>
            <w:top w:val="none" w:sz="0" w:space="0" w:color="auto"/>
            <w:left w:val="none" w:sz="0" w:space="0" w:color="auto"/>
            <w:bottom w:val="none" w:sz="0" w:space="0" w:color="auto"/>
            <w:right w:val="none" w:sz="0" w:space="0" w:color="auto"/>
          </w:divBdr>
        </w:div>
        <w:div w:id="1432895279">
          <w:marLeft w:val="0"/>
          <w:marRight w:val="0"/>
          <w:marTop w:val="0"/>
          <w:marBottom w:val="0"/>
          <w:divBdr>
            <w:top w:val="none" w:sz="0" w:space="0" w:color="auto"/>
            <w:left w:val="none" w:sz="0" w:space="0" w:color="auto"/>
            <w:bottom w:val="none" w:sz="0" w:space="0" w:color="auto"/>
            <w:right w:val="none" w:sz="0" w:space="0" w:color="auto"/>
          </w:divBdr>
        </w:div>
        <w:div w:id="2057969339">
          <w:marLeft w:val="0"/>
          <w:marRight w:val="0"/>
          <w:marTop w:val="0"/>
          <w:marBottom w:val="0"/>
          <w:divBdr>
            <w:top w:val="none" w:sz="0" w:space="0" w:color="auto"/>
            <w:left w:val="none" w:sz="0" w:space="0" w:color="auto"/>
            <w:bottom w:val="none" w:sz="0" w:space="0" w:color="auto"/>
            <w:right w:val="none" w:sz="0" w:space="0" w:color="auto"/>
          </w:divBdr>
        </w:div>
        <w:div w:id="1850557994">
          <w:marLeft w:val="0"/>
          <w:marRight w:val="0"/>
          <w:marTop w:val="0"/>
          <w:marBottom w:val="0"/>
          <w:divBdr>
            <w:top w:val="none" w:sz="0" w:space="0" w:color="auto"/>
            <w:left w:val="none" w:sz="0" w:space="0" w:color="auto"/>
            <w:bottom w:val="none" w:sz="0" w:space="0" w:color="auto"/>
            <w:right w:val="none" w:sz="0" w:space="0" w:color="auto"/>
          </w:divBdr>
        </w:div>
        <w:div w:id="1727341423">
          <w:marLeft w:val="0"/>
          <w:marRight w:val="0"/>
          <w:marTop w:val="0"/>
          <w:marBottom w:val="0"/>
          <w:divBdr>
            <w:top w:val="none" w:sz="0" w:space="0" w:color="auto"/>
            <w:left w:val="none" w:sz="0" w:space="0" w:color="auto"/>
            <w:bottom w:val="none" w:sz="0" w:space="0" w:color="auto"/>
            <w:right w:val="none" w:sz="0" w:space="0" w:color="auto"/>
          </w:divBdr>
        </w:div>
        <w:div w:id="1746370431">
          <w:marLeft w:val="0"/>
          <w:marRight w:val="0"/>
          <w:marTop w:val="0"/>
          <w:marBottom w:val="0"/>
          <w:divBdr>
            <w:top w:val="none" w:sz="0" w:space="0" w:color="auto"/>
            <w:left w:val="none" w:sz="0" w:space="0" w:color="auto"/>
            <w:bottom w:val="none" w:sz="0" w:space="0" w:color="auto"/>
            <w:right w:val="none" w:sz="0" w:space="0" w:color="auto"/>
          </w:divBdr>
        </w:div>
        <w:div w:id="1643729963">
          <w:marLeft w:val="0"/>
          <w:marRight w:val="0"/>
          <w:marTop w:val="0"/>
          <w:marBottom w:val="0"/>
          <w:divBdr>
            <w:top w:val="none" w:sz="0" w:space="0" w:color="auto"/>
            <w:left w:val="none" w:sz="0" w:space="0" w:color="auto"/>
            <w:bottom w:val="none" w:sz="0" w:space="0" w:color="auto"/>
            <w:right w:val="none" w:sz="0" w:space="0" w:color="auto"/>
          </w:divBdr>
        </w:div>
        <w:div w:id="372465832">
          <w:marLeft w:val="0"/>
          <w:marRight w:val="0"/>
          <w:marTop w:val="0"/>
          <w:marBottom w:val="0"/>
          <w:divBdr>
            <w:top w:val="none" w:sz="0" w:space="0" w:color="auto"/>
            <w:left w:val="none" w:sz="0" w:space="0" w:color="auto"/>
            <w:bottom w:val="none" w:sz="0" w:space="0" w:color="auto"/>
            <w:right w:val="none" w:sz="0" w:space="0" w:color="auto"/>
          </w:divBdr>
        </w:div>
        <w:div w:id="914557843">
          <w:marLeft w:val="0"/>
          <w:marRight w:val="0"/>
          <w:marTop w:val="0"/>
          <w:marBottom w:val="0"/>
          <w:divBdr>
            <w:top w:val="none" w:sz="0" w:space="0" w:color="auto"/>
            <w:left w:val="none" w:sz="0" w:space="0" w:color="auto"/>
            <w:bottom w:val="none" w:sz="0" w:space="0" w:color="auto"/>
            <w:right w:val="none" w:sz="0" w:space="0" w:color="auto"/>
          </w:divBdr>
        </w:div>
        <w:div w:id="535237758">
          <w:marLeft w:val="0"/>
          <w:marRight w:val="0"/>
          <w:marTop w:val="0"/>
          <w:marBottom w:val="0"/>
          <w:divBdr>
            <w:top w:val="none" w:sz="0" w:space="0" w:color="auto"/>
            <w:left w:val="none" w:sz="0" w:space="0" w:color="auto"/>
            <w:bottom w:val="none" w:sz="0" w:space="0" w:color="auto"/>
            <w:right w:val="none" w:sz="0" w:space="0" w:color="auto"/>
          </w:divBdr>
        </w:div>
        <w:div w:id="993996131">
          <w:marLeft w:val="0"/>
          <w:marRight w:val="0"/>
          <w:marTop w:val="0"/>
          <w:marBottom w:val="0"/>
          <w:divBdr>
            <w:top w:val="none" w:sz="0" w:space="0" w:color="auto"/>
            <w:left w:val="none" w:sz="0" w:space="0" w:color="auto"/>
            <w:bottom w:val="none" w:sz="0" w:space="0" w:color="auto"/>
            <w:right w:val="none" w:sz="0" w:space="0" w:color="auto"/>
          </w:divBdr>
        </w:div>
        <w:div w:id="1202749201">
          <w:marLeft w:val="0"/>
          <w:marRight w:val="0"/>
          <w:marTop w:val="0"/>
          <w:marBottom w:val="0"/>
          <w:divBdr>
            <w:top w:val="none" w:sz="0" w:space="0" w:color="auto"/>
            <w:left w:val="none" w:sz="0" w:space="0" w:color="auto"/>
            <w:bottom w:val="none" w:sz="0" w:space="0" w:color="auto"/>
            <w:right w:val="none" w:sz="0" w:space="0" w:color="auto"/>
          </w:divBdr>
        </w:div>
        <w:div w:id="1478917662">
          <w:marLeft w:val="0"/>
          <w:marRight w:val="0"/>
          <w:marTop w:val="0"/>
          <w:marBottom w:val="0"/>
          <w:divBdr>
            <w:top w:val="none" w:sz="0" w:space="0" w:color="auto"/>
            <w:left w:val="none" w:sz="0" w:space="0" w:color="auto"/>
            <w:bottom w:val="none" w:sz="0" w:space="0" w:color="auto"/>
            <w:right w:val="none" w:sz="0" w:space="0" w:color="auto"/>
          </w:divBdr>
        </w:div>
        <w:div w:id="82839921">
          <w:marLeft w:val="0"/>
          <w:marRight w:val="0"/>
          <w:marTop w:val="0"/>
          <w:marBottom w:val="0"/>
          <w:divBdr>
            <w:top w:val="none" w:sz="0" w:space="0" w:color="auto"/>
            <w:left w:val="none" w:sz="0" w:space="0" w:color="auto"/>
            <w:bottom w:val="none" w:sz="0" w:space="0" w:color="auto"/>
            <w:right w:val="none" w:sz="0" w:space="0" w:color="auto"/>
          </w:divBdr>
        </w:div>
        <w:div w:id="776678385">
          <w:marLeft w:val="0"/>
          <w:marRight w:val="0"/>
          <w:marTop w:val="0"/>
          <w:marBottom w:val="0"/>
          <w:divBdr>
            <w:top w:val="none" w:sz="0" w:space="0" w:color="auto"/>
            <w:left w:val="none" w:sz="0" w:space="0" w:color="auto"/>
            <w:bottom w:val="none" w:sz="0" w:space="0" w:color="auto"/>
            <w:right w:val="none" w:sz="0" w:space="0" w:color="auto"/>
          </w:divBdr>
        </w:div>
        <w:div w:id="1172909301">
          <w:marLeft w:val="0"/>
          <w:marRight w:val="0"/>
          <w:marTop w:val="0"/>
          <w:marBottom w:val="0"/>
          <w:divBdr>
            <w:top w:val="none" w:sz="0" w:space="0" w:color="auto"/>
            <w:left w:val="none" w:sz="0" w:space="0" w:color="auto"/>
            <w:bottom w:val="none" w:sz="0" w:space="0" w:color="auto"/>
            <w:right w:val="none" w:sz="0" w:space="0" w:color="auto"/>
          </w:divBdr>
        </w:div>
        <w:div w:id="1321805911">
          <w:marLeft w:val="0"/>
          <w:marRight w:val="0"/>
          <w:marTop w:val="0"/>
          <w:marBottom w:val="0"/>
          <w:divBdr>
            <w:top w:val="none" w:sz="0" w:space="0" w:color="auto"/>
            <w:left w:val="none" w:sz="0" w:space="0" w:color="auto"/>
            <w:bottom w:val="none" w:sz="0" w:space="0" w:color="auto"/>
            <w:right w:val="none" w:sz="0" w:space="0" w:color="auto"/>
          </w:divBdr>
        </w:div>
        <w:div w:id="675109012">
          <w:marLeft w:val="0"/>
          <w:marRight w:val="0"/>
          <w:marTop w:val="0"/>
          <w:marBottom w:val="0"/>
          <w:divBdr>
            <w:top w:val="none" w:sz="0" w:space="0" w:color="auto"/>
            <w:left w:val="none" w:sz="0" w:space="0" w:color="auto"/>
            <w:bottom w:val="none" w:sz="0" w:space="0" w:color="auto"/>
            <w:right w:val="none" w:sz="0" w:space="0" w:color="auto"/>
          </w:divBdr>
        </w:div>
        <w:div w:id="963315155">
          <w:marLeft w:val="0"/>
          <w:marRight w:val="0"/>
          <w:marTop w:val="0"/>
          <w:marBottom w:val="0"/>
          <w:divBdr>
            <w:top w:val="none" w:sz="0" w:space="0" w:color="auto"/>
            <w:left w:val="none" w:sz="0" w:space="0" w:color="auto"/>
            <w:bottom w:val="none" w:sz="0" w:space="0" w:color="auto"/>
            <w:right w:val="none" w:sz="0" w:space="0" w:color="auto"/>
          </w:divBdr>
        </w:div>
        <w:div w:id="1846166513">
          <w:marLeft w:val="0"/>
          <w:marRight w:val="0"/>
          <w:marTop w:val="0"/>
          <w:marBottom w:val="0"/>
          <w:divBdr>
            <w:top w:val="none" w:sz="0" w:space="0" w:color="auto"/>
            <w:left w:val="none" w:sz="0" w:space="0" w:color="auto"/>
            <w:bottom w:val="none" w:sz="0" w:space="0" w:color="auto"/>
            <w:right w:val="none" w:sz="0" w:space="0" w:color="auto"/>
          </w:divBdr>
        </w:div>
        <w:div w:id="284505813">
          <w:marLeft w:val="0"/>
          <w:marRight w:val="0"/>
          <w:marTop w:val="0"/>
          <w:marBottom w:val="0"/>
          <w:divBdr>
            <w:top w:val="none" w:sz="0" w:space="0" w:color="auto"/>
            <w:left w:val="none" w:sz="0" w:space="0" w:color="auto"/>
            <w:bottom w:val="none" w:sz="0" w:space="0" w:color="auto"/>
            <w:right w:val="none" w:sz="0" w:space="0" w:color="auto"/>
          </w:divBdr>
        </w:div>
        <w:div w:id="455224346">
          <w:marLeft w:val="0"/>
          <w:marRight w:val="0"/>
          <w:marTop w:val="0"/>
          <w:marBottom w:val="0"/>
          <w:divBdr>
            <w:top w:val="none" w:sz="0" w:space="0" w:color="auto"/>
            <w:left w:val="none" w:sz="0" w:space="0" w:color="auto"/>
            <w:bottom w:val="none" w:sz="0" w:space="0" w:color="auto"/>
            <w:right w:val="none" w:sz="0" w:space="0" w:color="auto"/>
          </w:divBdr>
        </w:div>
        <w:div w:id="1673989770">
          <w:marLeft w:val="0"/>
          <w:marRight w:val="0"/>
          <w:marTop w:val="0"/>
          <w:marBottom w:val="0"/>
          <w:divBdr>
            <w:top w:val="none" w:sz="0" w:space="0" w:color="auto"/>
            <w:left w:val="none" w:sz="0" w:space="0" w:color="auto"/>
            <w:bottom w:val="none" w:sz="0" w:space="0" w:color="auto"/>
            <w:right w:val="none" w:sz="0" w:space="0" w:color="auto"/>
          </w:divBdr>
        </w:div>
        <w:div w:id="1154681194">
          <w:marLeft w:val="0"/>
          <w:marRight w:val="0"/>
          <w:marTop w:val="0"/>
          <w:marBottom w:val="0"/>
          <w:divBdr>
            <w:top w:val="none" w:sz="0" w:space="0" w:color="auto"/>
            <w:left w:val="none" w:sz="0" w:space="0" w:color="auto"/>
            <w:bottom w:val="none" w:sz="0" w:space="0" w:color="auto"/>
            <w:right w:val="none" w:sz="0" w:space="0" w:color="auto"/>
          </w:divBdr>
        </w:div>
        <w:div w:id="880169184">
          <w:marLeft w:val="0"/>
          <w:marRight w:val="0"/>
          <w:marTop w:val="0"/>
          <w:marBottom w:val="0"/>
          <w:divBdr>
            <w:top w:val="none" w:sz="0" w:space="0" w:color="auto"/>
            <w:left w:val="none" w:sz="0" w:space="0" w:color="auto"/>
            <w:bottom w:val="none" w:sz="0" w:space="0" w:color="auto"/>
            <w:right w:val="none" w:sz="0" w:space="0" w:color="auto"/>
          </w:divBdr>
        </w:div>
        <w:div w:id="1114906337">
          <w:marLeft w:val="0"/>
          <w:marRight w:val="0"/>
          <w:marTop w:val="0"/>
          <w:marBottom w:val="0"/>
          <w:divBdr>
            <w:top w:val="none" w:sz="0" w:space="0" w:color="auto"/>
            <w:left w:val="none" w:sz="0" w:space="0" w:color="auto"/>
            <w:bottom w:val="none" w:sz="0" w:space="0" w:color="auto"/>
            <w:right w:val="none" w:sz="0" w:space="0" w:color="auto"/>
          </w:divBdr>
        </w:div>
        <w:div w:id="545069983">
          <w:marLeft w:val="0"/>
          <w:marRight w:val="0"/>
          <w:marTop w:val="0"/>
          <w:marBottom w:val="0"/>
          <w:divBdr>
            <w:top w:val="none" w:sz="0" w:space="0" w:color="auto"/>
            <w:left w:val="none" w:sz="0" w:space="0" w:color="auto"/>
            <w:bottom w:val="none" w:sz="0" w:space="0" w:color="auto"/>
            <w:right w:val="none" w:sz="0" w:space="0" w:color="auto"/>
          </w:divBdr>
        </w:div>
        <w:div w:id="945574680">
          <w:marLeft w:val="0"/>
          <w:marRight w:val="0"/>
          <w:marTop w:val="0"/>
          <w:marBottom w:val="0"/>
          <w:divBdr>
            <w:top w:val="none" w:sz="0" w:space="0" w:color="auto"/>
            <w:left w:val="none" w:sz="0" w:space="0" w:color="auto"/>
            <w:bottom w:val="none" w:sz="0" w:space="0" w:color="auto"/>
            <w:right w:val="none" w:sz="0" w:space="0" w:color="auto"/>
          </w:divBdr>
        </w:div>
        <w:div w:id="1738093507">
          <w:marLeft w:val="0"/>
          <w:marRight w:val="0"/>
          <w:marTop w:val="0"/>
          <w:marBottom w:val="0"/>
          <w:divBdr>
            <w:top w:val="none" w:sz="0" w:space="0" w:color="auto"/>
            <w:left w:val="none" w:sz="0" w:space="0" w:color="auto"/>
            <w:bottom w:val="none" w:sz="0" w:space="0" w:color="auto"/>
            <w:right w:val="none" w:sz="0" w:space="0" w:color="auto"/>
          </w:divBdr>
        </w:div>
        <w:div w:id="1241064365">
          <w:marLeft w:val="0"/>
          <w:marRight w:val="0"/>
          <w:marTop w:val="0"/>
          <w:marBottom w:val="0"/>
          <w:divBdr>
            <w:top w:val="none" w:sz="0" w:space="0" w:color="auto"/>
            <w:left w:val="none" w:sz="0" w:space="0" w:color="auto"/>
            <w:bottom w:val="none" w:sz="0" w:space="0" w:color="auto"/>
            <w:right w:val="none" w:sz="0" w:space="0" w:color="auto"/>
          </w:divBdr>
        </w:div>
        <w:div w:id="634716942">
          <w:marLeft w:val="0"/>
          <w:marRight w:val="0"/>
          <w:marTop w:val="0"/>
          <w:marBottom w:val="0"/>
          <w:divBdr>
            <w:top w:val="none" w:sz="0" w:space="0" w:color="auto"/>
            <w:left w:val="none" w:sz="0" w:space="0" w:color="auto"/>
            <w:bottom w:val="none" w:sz="0" w:space="0" w:color="auto"/>
            <w:right w:val="none" w:sz="0" w:space="0" w:color="auto"/>
          </w:divBdr>
        </w:div>
        <w:div w:id="811285687">
          <w:marLeft w:val="0"/>
          <w:marRight w:val="0"/>
          <w:marTop w:val="0"/>
          <w:marBottom w:val="0"/>
          <w:divBdr>
            <w:top w:val="none" w:sz="0" w:space="0" w:color="auto"/>
            <w:left w:val="none" w:sz="0" w:space="0" w:color="auto"/>
            <w:bottom w:val="none" w:sz="0" w:space="0" w:color="auto"/>
            <w:right w:val="none" w:sz="0" w:space="0" w:color="auto"/>
          </w:divBdr>
        </w:div>
        <w:div w:id="1163081687">
          <w:marLeft w:val="0"/>
          <w:marRight w:val="0"/>
          <w:marTop w:val="0"/>
          <w:marBottom w:val="0"/>
          <w:divBdr>
            <w:top w:val="none" w:sz="0" w:space="0" w:color="auto"/>
            <w:left w:val="none" w:sz="0" w:space="0" w:color="auto"/>
            <w:bottom w:val="none" w:sz="0" w:space="0" w:color="auto"/>
            <w:right w:val="none" w:sz="0" w:space="0" w:color="auto"/>
          </w:divBdr>
        </w:div>
        <w:div w:id="950475970">
          <w:marLeft w:val="0"/>
          <w:marRight w:val="0"/>
          <w:marTop w:val="0"/>
          <w:marBottom w:val="0"/>
          <w:divBdr>
            <w:top w:val="none" w:sz="0" w:space="0" w:color="auto"/>
            <w:left w:val="none" w:sz="0" w:space="0" w:color="auto"/>
            <w:bottom w:val="none" w:sz="0" w:space="0" w:color="auto"/>
            <w:right w:val="none" w:sz="0" w:space="0" w:color="auto"/>
          </w:divBdr>
        </w:div>
        <w:div w:id="1512061825">
          <w:marLeft w:val="0"/>
          <w:marRight w:val="0"/>
          <w:marTop w:val="0"/>
          <w:marBottom w:val="0"/>
          <w:divBdr>
            <w:top w:val="none" w:sz="0" w:space="0" w:color="auto"/>
            <w:left w:val="none" w:sz="0" w:space="0" w:color="auto"/>
            <w:bottom w:val="none" w:sz="0" w:space="0" w:color="auto"/>
            <w:right w:val="none" w:sz="0" w:space="0" w:color="auto"/>
          </w:divBdr>
        </w:div>
        <w:div w:id="1652565454">
          <w:marLeft w:val="0"/>
          <w:marRight w:val="0"/>
          <w:marTop w:val="0"/>
          <w:marBottom w:val="0"/>
          <w:divBdr>
            <w:top w:val="none" w:sz="0" w:space="0" w:color="auto"/>
            <w:left w:val="none" w:sz="0" w:space="0" w:color="auto"/>
            <w:bottom w:val="none" w:sz="0" w:space="0" w:color="auto"/>
            <w:right w:val="none" w:sz="0" w:space="0" w:color="auto"/>
          </w:divBdr>
        </w:div>
        <w:div w:id="1821144485">
          <w:marLeft w:val="0"/>
          <w:marRight w:val="0"/>
          <w:marTop w:val="0"/>
          <w:marBottom w:val="0"/>
          <w:divBdr>
            <w:top w:val="none" w:sz="0" w:space="0" w:color="auto"/>
            <w:left w:val="none" w:sz="0" w:space="0" w:color="auto"/>
            <w:bottom w:val="none" w:sz="0" w:space="0" w:color="auto"/>
            <w:right w:val="none" w:sz="0" w:space="0" w:color="auto"/>
          </w:divBdr>
        </w:div>
        <w:div w:id="1495561329">
          <w:marLeft w:val="0"/>
          <w:marRight w:val="0"/>
          <w:marTop w:val="0"/>
          <w:marBottom w:val="0"/>
          <w:divBdr>
            <w:top w:val="none" w:sz="0" w:space="0" w:color="auto"/>
            <w:left w:val="none" w:sz="0" w:space="0" w:color="auto"/>
            <w:bottom w:val="none" w:sz="0" w:space="0" w:color="auto"/>
            <w:right w:val="none" w:sz="0" w:space="0" w:color="auto"/>
          </w:divBdr>
        </w:div>
        <w:div w:id="967860336">
          <w:marLeft w:val="0"/>
          <w:marRight w:val="0"/>
          <w:marTop w:val="0"/>
          <w:marBottom w:val="0"/>
          <w:divBdr>
            <w:top w:val="none" w:sz="0" w:space="0" w:color="auto"/>
            <w:left w:val="none" w:sz="0" w:space="0" w:color="auto"/>
            <w:bottom w:val="none" w:sz="0" w:space="0" w:color="auto"/>
            <w:right w:val="none" w:sz="0" w:space="0" w:color="auto"/>
          </w:divBdr>
        </w:div>
        <w:div w:id="1462066459">
          <w:marLeft w:val="0"/>
          <w:marRight w:val="0"/>
          <w:marTop w:val="0"/>
          <w:marBottom w:val="0"/>
          <w:divBdr>
            <w:top w:val="none" w:sz="0" w:space="0" w:color="auto"/>
            <w:left w:val="none" w:sz="0" w:space="0" w:color="auto"/>
            <w:bottom w:val="none" w:sz="0" w:space="0" w:color="auto"/>
            <w:right w:val="none" w:sz="0" w:space="0" w:color="auto"/>
          </w:divBdr>
        </w:div>
        <w:div w:id="1716272109">
          <w:marLeft w:val="0"/>
          <w:marRight w:val="0"/>
          <w:marTop w:val="0"/>
          <w:marBottom w:val="0"/>
          <w:divBdr>
            <w:top w:val="none" w:sz="0" w:space="0" w:color="auto"/>
            <w:left w:val="none" w:sz="0" w:space="0" w:color="auto"/>
            <w:bottom w:val="none" w:sz="0" w:space="0" w:color="auto"/>
            <w:right w:val="none" w:sz="0" w:space="0" w:color="auto"/>
          </w:divBdr>
        </w:div>
        <w:div w:id="2126002060">
          <w:marLeft w:val="0"/>
          <w:marRight w:val="0"/>
          <w:marTop w:val="0"/>
          <w:marBottom w:val="0"/>
          <w:divBdr>
            <w:top w:val="none" w:sz="0" w:space="0" w:color="auto"/>
            <w:left w:val="none" w:sz="0" w:space="0" w:color="auto"/>
            <w:bottom w:val="none" w:sz="0" w:space="0" w:color="auto"/>
            <w:right w:val="none" w:sz="0" w:space="0" w:color="auto"/>
          </w:divBdr>
        </w:div>
        <w:div w:id="203644574">
          <w:marLeft w:val="0"/>
          <w:marRight w:val="0"/>
          <w:marTop w:val="0"/>
          <w:marBottom w:val="0"/>
          <w:divBdr>
            <w:top w:val="none" w:sz="0" w:space="0" w:color="auto"/>
            <w:left w:val="none" w:sz="0" w:space="0" w:color="auto"/>
            <w:bottom w:val="none" w:sz="0" w:space="0" w:color="auto"/>
            <w:right w:val="none" w:sz="0" w:space="0" w:color="auto"/>
          </w:divBdr>
        </w:div>
        <w:div w:id="1975988101">
          <w:marLeft w:val="0"/>
          <w:marRight w:val="0"/>
          <w:marTop w:val="0"/>
          <w:marBottom w:val="0"/>
          <w:divBdr>
            <w:top w:val="none" w:sz="0" w:space="0" w:color="auto"/>
            <w:left w:val="none" w:sz="0" w:space="0" w:color="auto"/>
            <w:bottom w:val="none" w:sz="0" w:space="0" w:color="auto"/>
            <w:right w:val="none" w:sz="0" w:space="0" w:color="auto"/>
          </w:divBdr>
        </w:div>
        <w:div w:id="291444683">
          <w:marLeft w:val="0"/>
          <w:marRight w:val="0"/>
          <w:marTop w:val="0"/>
          <w:marBottom w:val="0"/>
          <w:divBdr>
            <w:top w:val="none" w:sz="0" w:space="0" w:color="auto"/>
            <w:left w:val="none" w:sz="0" w:space="0" w:color="auto"/>
            <w:bottom w:val="none" w:sz="0" w:space="0" w:color="auto"/>
            <w:right w:val="none" w:sz="0" w:space="0" w:color="auto"/>
          </w:divBdr>
        </w:div>
        <w:div w:id="1592153865">
          <w:marLeft w:val="0"/>
          <w:marRight w:val="0"/>
          <w:marTop w:val="0"/>
          <w:marBottom w:val="0"/>
          <w:divBdr>
            <w:top w:val="none" w:sz="0" w:space="0" w:color="auto"/>
            <w:left w:val="none" w:sz="0" w:space="0" w:color="auto"/>
            <w:bottom w:val="none" w:sz="0" w:space="0" w:color="auto"/>
            <w:right w:val="none" w:sz="0" w:space="0" w:color="auto"/>
          </w:divBdr>
        </w:div>
        <w:div w:id="374353870">
          <w:marLeft w:val="0"/>
          <w:marRight w:val="0"/>
          <w:marTop w:val="0"/>
          <w:marBottom w:val="0"/>
          <w:divBdr>
            <w:top w:val="none" w:sz="0" w:space="0" w:color="auto"/>
            <w:left w:val="none" w:sz="0" w:space="0" w:color="auto"/>
            <w:bottom w:val="none" w:sz="0" w:space="0" w:color="auto"/>
            <w:right w:val="none" w:sz="0" w:space="0" w:color="auto"/>
          </w:divBdr>
        </w:div>
        <w:div w:id="168179261">
          <w:marLeft w:val="0"/>
          <w:marRight w:val="0"/>
          <w:marTop w:val="0"/>
          <w:marBottom w:val="0"/>
          <w:divBdr>
            <w:top w:val="none" w:sz="0" w:space="0" w:color="auto"/>
            <w:left w:val="none" w:sz="0" w:space="0" w:color="auto"/>
            <w:bottom w:val="none" w:sz="0" w:space="0" w:color="auto"/>
            <w:right w:val="none" w:sz="0" w:space="0" w:color="auto"/>
          </w:divBdr>
        </w:div>
        <w:div w:id="1346439764">
          <w:marLeft w:val="0"/>
          <w:marRight w:val="0"/>
          <w:marTop w:val="0"/>
          <w:marBottom w:val="0"/>
          <w:divBdr>
            <w:top w:val="none" w:sz="0" w:space="0" w:color="auto"/>
            <w:left w:val="none" w:sz="0" w:space="0" w:color="auto"/>
            <w:bottom w:val="none" w:sz="0" w:space="0" w:color="auto"/>
            <w:right w:val="none" w:sz="0" w:space="0" w:color="auto"/>
          </w:divBdr>
        </w:div>
        <w:div w:id="1224868667">
          <w:marLeft w:val="0"/>
          <w:marRight w:val="0"/>
          <w:marTop w:val="0"/>
          <w:marBottom w:val="0"/>
          <w:divBdr>
            <w:top w:val="none" w:sz="0" w:space="0" w:color="auto"/>
            <w:left w:val="none" w:sz="0" w:space="0" w:color="auto"/>
            <w:bottom w:val="none" w:sz="0" w:space="0" w:color="auto"/>
            <w:right w:val="none" w:sz="0" w:space="0" w:color="auto"/>
          </w:divBdr>
        </w:div>
        <w:div w:id="1803310278">
          <w:marLeft w:val="0"/>
          <w:marRight w:val="0"/>
          <w:marTop w:val="0"/>
          <w:marBottom w:val="0"/>
          <w:divBdr>
            <w:top w:val="none" w:sz="0" w:space="0" w:color="auto"/>
            <w:left w:val="none" w:sz="0" w:space="0" w:color="auto"/>
            <w:bottom w:val="none" w:sz="0" w:space="0" w:color="auto"/>
            <w:right w:val="none" w:sz="0" w:space="0" w:color="auto"/>
          </w:divBdr>
        </w:div>
        <w:div w:id="1336499322">
          <w:marLeft w:val="0"/>
          <w:marRight w:val="0"/>
          <w:marTop w:val="0"/>
          <w:marBottom w:val="0"/>
          <w:divBdr>
            <w:top w:val="none" w:sz="0" w:space="0" w:color="auto"/>
            <w:left w:val="none" w:sz="0" w:space="0" w:color="auto"/>
            <w:bottom w:val="none" w:sz="0" w:space="0" w:color="auto"/>
            <w:right w:val="none" w:sz="0" w:space="0" w:color="auto"/>
          </w:divBdr>
        </w:div>
        <w:div w:id="1630552299">
          <w:marLeft w:val="0"/>
          <w:marRight w:val="0"/>
          <w:marTop w:val="0"/>
          <w:marBottom w:val="0"/>
          <w:divBdr>
            <w:top w:val="none" w:sz="0" w:space="0" w:color="auto"/>
            <w:left w:val="none" w:sz="0" w:space="0" w:color="auto"/>
            <w:bottom w:val="none" w:sz="0" w:space="0" w:color="auto"/>
            <w:right w:val="none" w:sz="0" w:space="0" w:color="auto"/>
          </w:divBdr>
        </w:div>
        <w:div w:id="215359593">
          <w:marLeft w:val="0"/>
          <w:marRight w:val="0"/>
          <w:marTop w:val="0"/>
          <w:marBottom w:val="0"/>
          <w:divBdr>
            <w:top w:val="none" w:sz="0" w:space="0" w:color="auto"/>
            <w:left w:val="none" w:sz="0" w:space="0" w:color="auto"/>
            <w:bottom w:val="none" w:sz="0" w:space="0" w:color="auto"/>
            <w:right w:val="none" w:sz="0" w:space="0" w:color="auto"/>
          </w:divBdr>
        </w:div>
        <w:div w:id="1660964017">
          <w:marLeft w:val="0"/>
          <w:marRight w:val="0"/>
          <w:marTop w:val="0"/>
          <w:marBottom w:val="0"/>
          <w:divBdr>
            <w:top w:val="none" w:sz="0" w:space="0" w:color="auto"/>
            <w:left w:val="none" w:sz="0" w:space="0" w:color="auto"/>
            <w:bottom w:val="none" w:sz="0" w:space="0" w:color="auto"/>
            <w:right w:val="none" w:sz="0" w:space="0" w:color="auto"/>
          </w:divBdr>
        </w:div>
        <w:div w:id="945817744">
          <w:marLeft w:val="0"/>
          <w:marRight w:val="0"/>
          <w:marTop w:val="0"/>
          <w:marBottom w:val="0"/>
          <w:divBdr>
            <w:top w:val="none" w:sz="0" w:space="0" w:color="auto"/>
            <w:left w:val="none" w:sz="0" w:space="0" w:color="auto"/>
            <w:bottom w:val="none" w:sz="0" w:space="0" w:color="auto"/>
            <w:right w:val="none" w:sz="0" w:space="0" w:color="auto"/>
          </w:divBdr>
        </w:div>
        <w:div w:id="71970878">
          <w:marLeft w:val="0"/>
          <w:marRight w:val="0"/>
          <w:marTop w:val="0"/>
          <w:marBottom w:val="0"/>
          <w:divBdr>
            <w:top w:val="none" w:sz="0" w:space="0" w:color="auto"/>
            <w:left w:val="none" w:sz="0" w:space="0" w:color="auto"/>
            <w:bottom w:val="none" w:sz="0" w:space="0" w:color="auto"/>
            <w:right w:val="none" w:sz="0" w:space="0" w:color="auto"/>
          </w:divBdr>
        </w:div>
        <w:div w:id="1554193237">
          <w:marLeft w:val="0"/>
          <w:marRight w:val="0"/>
          <w:marTop w:val="0"/>
          <w:marBottom w:val="0"/>
          <w:divBdr>
            <w:top w:val="none" w:sz="0" w:space="0" w:color="auto"/>
            <w:left w:val="none" w:sz="0" w:space="0" w:color="auto"/>
            <w:bottom w:val="none" w:sz="0" w:space="0" w:color="auto"/>
            <w:right w:val="none" w:sz="0" w:space="0" w:color="auto"/>
          </w:divBdr>
        </w:div>
        <w:div w:id="656737106">
          <w:marLeft w:val="0"/>
          <w:marRight w:val="0"/>
          <w:marTop w:val="0"/>
          <w:marBottom w:val="0"/>
          <w:divBdr>
            <w:top w:val="none" w:sz="0" w:space="0" w:color="auto"/>
            <w:left w:val="none" w:sz="0" w:space="0" w:color="auto"/>
            <w:bottom w:val="none" w:sz="0" w:space="0" w:color="auto"/>
            <w:right w:val="none" w:sz="0" w:space="0" w:color="auto"/>
          </w:divBdr>
        </w:div>
        <w:div w:id="2039886477">
          <w:marLeft w:val="0"/>
          <w:marRight w:val="0"/>
          <w:marTop w:val="0"/>
          <w:marBottom w:val="0"/>
          <w:divBdr>
            <w:top w:val="none" w:sz="0" w:space="0" w:color="auto"/>
            <w:left w:val="none" w:sz="0" w:space="0" w:color="auto"/>
            <w:bottom w:val="none" w:sz="0" w:space="0" w:color="auto"/>
            <w:right w:val="none" w:sz="0" w:space="0" w:color="auto"/>
          </w:divBdr>
        </w:div>
        <w:div w:id="1691487661">
          <w:marLeft w:val="0"/>
          <w:marRight w:val="0"/>
          <w:marTop w:val="0"/>
          <w:marBottom w:val="0"/>
          <w:divBdr>
            <w:top w:val="none" w:sz="0" w:space="0" w:color="auto"/>
            <w:left w:val="none" w:sz="0" w:space="0" w:color="auto"/>
            <w:bottom w:val="none" w:sz="0" w:space="0" w:color="auto"/>
            <w:right w:val="none" w:sz="0" w:space="0" w:color="auto"/>
          </w:divBdr>
        </w:div>
        <w:div w:id="740251970">
          <w:marLeft w:val="0"/>
          <w:marRight w:val="0"/>
          <w:marTop w:val="0"/>
          <w:marBottom w:val="0"/>
          <w:divBdr>
            <w:top w:val="none" w:sz="0" w:space="0" w:color="auto"/>
            <w:left w:val="none" w:sz="0" w:space="0" w:color="auto"/>
            <w:bottom w:val="none" w:sz="0" w:space="0" w:color="auto"/>
            <w:right w:val="none" w:sz="0" w:space="0" w:color="auto"/>
          </w:divBdr>
        </w:div>
        <w:div w:id="1493108879">
          <w:marLeft w:val="0"/>
          <w:marRight w:val="0"/>
          <w:marTop w:val="0"/>
          <w:marBottom w:val="0"/>
          <w:divBdr>
            <w:top w:val="none" w:sz="0" w:space="0" w:color="auto"/>
            <w:left w:val="none" w:sz="0" w:space="0" w:color="auto"/>
            <w:bottom w:val="none" w:sz="0" w:space="0" w:color="auto"/>
            <w:right w:val="none" w:sz="0" w:space="0" w:color="auto"/>
          </w:divBdr>
        </w:div>
        <w:div w:id="1457025491">
          <w:marLeft w:val="0"/>
          <w:marRight w:val="0"/>
          <w:marTop w:val="0"/>
          <w:marBottom w:val="0"/>
          <w:divBdr>
            <w:top w:val="none" w:sz="0" w:space="0" w:color="auto"/>
            <w:left w:val="none" w:sz="0" w:space="0" w:color="auto"/>
            <w:bottom w:val="none" w:sz="0" w:space="0" w:color="auto"/>
            <w:right w:val="none" w:sz="0" w:space="0" w:color="auto"/>
          </w:divBdr>
        </w:div>
        <w:div w:id="1188981607">
          <w:marLeft w:val="0"/>
          <w:marRight w:val="0"/>
          <w:marTop w:val="0"/>
          <w:marBottom w:val="0"/>
          <w:divBdr>
            <w:top w:val="none" w:sz="0" w:space="0" w:color="auto"/>
            <w:left w:val="none" w:sz="0" w:space="0" w:color="auto"/>
            <w:bottom w:val="none" w:sz="0" w:space="0" w:color="auto"/>
            <w:right w:val="none" w:sz="0" w:space="0" w:color="auto"/>
          </w:divBdr>
        </w:div>
        <w:div w:id="1952784677">
          <w:marLeft w:val="0"/>
          <w:marRight w:val="0"/>
          <w:marTop w:val="0"/>
          <w:marBottom w:val="0"/>
          <w:divBdr>
            <w:top w:val="none" w:sz="0" w:space="0" w:color="auto"/>
            <w:left w:val="none" w:sz="0" w:space="0" w:color="auto"/>
            <w:bottom w:val="none" w:sz="0" w:space="0" w:color="auto"/>
            <w:right w:val="none" w:sz="0" w:space="0" w:color="auto"/>
          </w:divBdr>
        </w:div>
        <w:div w:id="451945865">
          <w:marLeft w:val="0"/>
          <w:marRight w:val="0"/>
          <w:marTop w:val="0"/>
          <w:marBottom w:val="0"/>
          <w:divBdr>
            <w:top w:val="none" w:sz="0" w:space="0" w:color="auto"/>
            <w:left w:val="none" w:sz="0" w:space="0" w:color="auto"/>
            <w:bottom w:val="none" w:sz="0" w:space="0" w:color="auto"/>
            <w:right w:val="none" w:sz="0" w:space="0" w:color="auto"/>
          </w:divBdr>
        </w:div>
        <w:div w:id="361174246">
          <w:marLeft w:val="0"/>
          <w:marRight w:val="0"/>
          <w:marTop w:val="0"/>
          <w:marBottom w:val="0"/>
          <w:divBdr>
            <w:top w:val="none" w:sz="0" w:space="0" w:color="auto"/>
            <w:left w:val="none" w:sz="0" w:space="0" w:color="auto"/>
            <w:bottom w:val="none" w:sz="0" w:space="0" w:color="auto"/>
            <w:right w:val="none" w:sz="0" w:space="0" w:color="auto"/>
          </w:divBdr>
        </w:div>
        <w:div w:id="1299799668">
          <w:marLeft w:val="0"/>
          <w:marRight w:val="0"/>
          <w:marTop w:val="0"/>
          <w:marBottom w:val="0"/>
          <w:divBdr>
            <w:top w:val="none" w:sz="0" w:space="0" w:color="auto"/>
            <w:left w:val="none" w:sz="0" w:space="0" w:color="auto"/>
            <w:bottom w:val="none" w:sz="0" w:space="0" w:color="auto"/>
            <w:right w:val="none" w:sz="0" w:space="0" w:color="auto"/>
          </w:divBdr>
        </w:div>
        <w:div w:id="1021736604">
          <w:marLeft w:val="0"/>
          <w:marRight w:val="0"/>
          <w:marTop w:val="0"/>
          <w:marBottom w:val="0"/>
          <w:divBdr>
            <w:top w:val="none" w:sz="0" w:space="0" w:color="auto"/>
            <w:left w:val="none" w:sz="0" w:space="0" w:color="auto"/>
            <w:bottom w:val="none" w:sz="0" w:space="0" w:color="auto"/>
            <w:right w:val="none" w:sz="0" w:space="0" w:color="auto"/>
          </w:divBdr>
        </w:div>
        <w:div w:id="1510217169">
          <w:marLeft w:val="0"/>
          <w:marRight w:val="0"/>
          <w:marTop w:val="0"/>
          <w:marBottom w:val="0"/>
          <w:divBdr>
            <w:top w:val="none" w:sz="0" w:space="0" w:color="auto"/>
            <w:left w:val="none" w:sz="0" w:space="0" w:color="auto"/>
            <w:bottom w:val="none" w:sz="0" w:space="0" w:color="auto"/>
            <w:right w:val="none" w:sz="0" w:space="0" w:color="auto"/>
          </w:divBdr>
        </w:div>
        <w:div w:id="256911796">
          <w:marLeft w:val="0"/>
          <w:marRight w:val="0"/>
          <w:marTop w:val="0"/>
          <w:marBottom w:val="0"/>
          <w:divBdr>
            <w:top w:val="none" w:sz="0" w:space="0" w:color="auto"/>
            <w:left w:val="none" w:sz="0" w:space="0" w:color="auto"/>
            <w:bottom w:val="none" w:sz="0" w:space="0" w:color="auto"/>
            <w:right w:val="none" w:sz="0" w:space="0" w:color="auto"/>
          </w:divBdr>
        </w:div>
        <w:div w:id="2083213591">
          <w:marLeft w:val="0"/>
          <w:marRight w:val="0"/>
          <w:marTop w:val="0"/>
          <w:marBottom w:val="0"/>
          <w:divBdr>
            <w:top w:val="none" w:sz="0" w:space="0" w:color="auto"/>
            <w:left w:val="none" w:sz="0" w:space="0" w:color="auto"/>
            <w:bottom w:val="none" w:sz="0" w:space="0" w:color="auto"/>
            <w:right w:val="none" w:sz="0" w:space="0" w:color="auto"/>
          </w:divBdr>
        </w:div>
        <w:div w:id="37976729">
          <w:marLeft w:val="0"/>
          <w:marRight w:val="0"/>
          <w:marTop w:val="0"/>
          <w:marBottom w:val="0"/>
          <w:divBdr>
            <w:top w:val="none" w:sz="0" w:space="0" w:color="auto"/>
            <w:left w:val="none" w:sz="0" w:space="0" w:color="auto"/>
            <w:bottom w:val="none" w:sz="0" w:space="0" w:color="auto"/>
            <w:right w:val="none" w:sz="0" w:space="0" w:color="auto"/>
          </w:divBdr>
        </w:div>
        <w:div w:id="2107535122">
          <w:marLeft w:val="0"/>
          <w:marRight w:val="0"/>
          <w:marTop w:val="0"/>
          <w:marBottom w:val="0"/>
          <w:divBdr>
            <w:top w:val="none" w:sz="0" w:space="0" w:color="auto"/>
            <w:left w:val="none" w:sz="0" w:space="0" w:color="auto"/>
            <w:bottom w:val="none" w:sz="0" w:space="0" w:color="auto"/>
            <w:right w:val="none" w:sz="0" w:space="0" w:color="auto"/>
          </w:divBdr>
        </w:div>
        <w:div w:id="653728957">
          <w:marLeft w:val="0"/>
          <w:marRight w:val="0"/>
          <w:marTop w:val="0"/>
          <w:marBottom w:val="0"/>
          <w:divBdr>
            <w:top w:val="none" w:sz="0" w:space="0" w:color="auto"/>
            <w:left w:val="none" w:sz="0" w:space="0" w:color="auto"/>
            <w:bottom w:val="none" w:sz="0" w:space="0" w:color="auto"/>
            <w:right w:val="none" w:sz="0" w:space="0" w:color="auto"/>
          </w:divBdr>
        </w:div>
        <w:div w:id="194005351">
          <w:marLeft w:val="0"/>
          <w:marRight w:val="0"/>
          <w:marTop w:val="0"/>
          <w:marBottom w:val="0"/>
          <w:divBdr>
            <w:top w:val="none" w:sz="0" w:space="0" w:color="auto"/>
            <w:left w:val="none" w:sz="0" w:space="0" w:color="auto"/>
            <w:bottom w:val="none" w:sz="0" w:space="0" w:color="auto"/>
            <w:right w:val="none" w:sz="0" w:space="0" w:color="auto"/>
          </w:divBdr>
        </w:div>
        <w:div w:id="308706591">
          <w:marLeft w:val="0"/>
          <w:marRight w:val="0"/>
          <w:marTop w:val="0"/>
          <w:marBottom w:val="0"/>
          <w:divBdr>
            <w:top w:val="none" w:sz="0" w:space="0" w:color="auto"/>
            <w:left w:val="none" w:sz="0" w:space="0" w:color="auto"/>
            <w:bottom w:val="none" w:sz="0" w:space="0" w:color="auto"/>
            <w:right w:val="none" w:sz="0" w:space="0" w:color="auto"/>
          </w:divBdr>
        </w:div>
        <w:div w:id="896286403">
          <w:marLeft w:val="0"/>
          <w:marRight w:val="0"/>
          <w:marTop w:val="0"/>
          <w:marBottom w:val="0"/>
          <w:divBdr>
            <w:top w:val="none" w:sz="0" w:space="0" w:color="auto"/>
            <w:left w:val="none" w:sz="0" w:space="0" w:color="auto"/>
            <w:bottom w:val="none" w:sz="0" w:space="0" w:color="auto"/>
            <w:right w:val="none" w:sz="0" w:space="0" w:color="auto"/>
          </w:divBdr>
        </w:div>
        <w:div w:id="1724909819">
          <w:marLeft w:val="0"/>
          <w:marRight w:val="0"/>
          <w:marTop w:val="0"/>
          <w:marBottom w:val="0"/>
          <w:divBdr>
            <w:top w:val="none" w:sz="0" w:space="0" w:color="auto"/>
            <w:left w:val="none" w:sz="0" w:space="0" w:color="auto"/>
            <w:bottom w:val="none" w:sz="0" w:space="0" w:color="auto"/>
            <w:right w:val="none" w:sz="0" w:space="0" w:color="auto"/>
          </w:divBdr>
        </w:div>
        <w:div w:id="405225389">
          <w:marLeft w:val="0"/>
          <w:marRight w:val="0"/>
          <w:marTop w:val="0"/>
          <w:marBottom w:val="0"/>
          <w:divBdr>
            <w:top w:val="none" w:sz="0" w:space="0" w:color="auto"/>
            <w:left w:val="none" w:sz="0" w:space="0" w:color="auto"/>
            <w:bottom w:val="none" w:sz="0" w:space="0" w:color="auto"/>
            <w:right w:val="none" w:sz="0" w:space="0" w:color="auto"/>
          </w:divBdr>
        </w:div>
        <w:div w:id="1569341263">
          <w:marLeft w:val="0"/>
          <w:marRight w:val="0"/>
          <w:marTop w:val="0"/>
          <w:marBottom w:val="0"/>
          <w:divBdr>
            <w:top w:val="none" w:sz="0" w:space="0" w:color="auto"/>
            <w:left w:val="none" w:sz="0" w:space="0" w:color="auto"/>
            <w:bottom w:val="none" w:sz="0" w:space="0" w:color="auto"/>
            <w:right w:val="none" w:sz="0" w:space="0" w:color="auto"/>
          </w:divBdr>
        </w:div>
        <w:div w:id="1493644564">
          <w:marLeft w:val="0"/>
          <w:marRight w:val="0"/>
          <w:marTop w:val="0"/>
          <w:marBottom w:val="0"/>
          <w:divBdr>
            <w:top w:val="none" w:sz="0" w:space="0" w:color="auto"/>
            <w:left w:val="none" w:sz="0" w:space="0" w:color="auto"/>
            <w:bottom w:val="none" w:sz="0" w:space="0" w:color="auto"/>
            <w:right w:val="none" w:sz="0" w:space="0" w:color="auto"/>
          </w:divBdr>
        </w:div>
        <w:div w:id="1198469926">
          <w:marLeft w:val="0"/>
          <w:marRight w:val="0"/>
          <w:marTop w:val="0"/>
          <w:marBottom w:val="0"/>
          <w:divBdr>
            <w:top w:val="none" w:sz="0" w:space="0" w:color="auto"/>
            <w:left w:val="none" w:sz="0" w:space="0" w:color="auto"/>
            <w:bottom w:val="none" w:sz="0" w:space="0" w:color="auto"/>
            <w:right w:val="none" w:sz="0" w:space="0" w:color="auto"/>
          </w:divBdr>
        </w:div>
        <w:div w:id="1490245555">
          <w:marLeft w:val="0"/>
          <w:marRight w:val="0"/>
          <w:marTop w:val="0"/>
          <w:marBottom w:val="0"/>
          <w:divBdr>
            <w:top w:val="none" w:sz="0" w:space="0" w:color="auto"/>
            <w:left w:val="none" w:sz="0" w:space="0" w:color="auto"/>
            <w:bottom w:val="none" w:sz="0" w:space="0" w:color="auto"/>
            <w:right w:val="none" w:sz="0" w:space="0" w:color="auto"/>
          </w:divBdr>
        </w:div>
        <w:div w:id="353306542">
          <w:marLeft w:val="0"/>
          <w:marRight w:val="0"/>
          <w:marTop w:val="0"/>
          <w:marBottom w:val="0"/>
          <w:divBdr>
            <w:top w:val="none" w:sz="0" w:space="0" w:color="auto"/>
            <w:left w:val="none" w:sz="0" w:space="0" w:color="auto"/>
            <w:bottom w:val="none" w:sz="0" w:space="0" w:color="auto"/>
            <w:right w:val="none" w:sz="0" w:space="0" w:color="auto"/>
          </w:divBdr>
        </w:div>
        <w:div w:id="357238239">
          <w:marLeft w:val="0"/>
          <w:marRight w:val="0"/>
          <w:marTop w:val="0"/>
          <w:marBottom w:val="0"/>
          <w:divBdr>
            <w:top w:val="none" w:sz="0" w:space="0" w:color="auto"/>
            <w:left w:val="none" w:sz="0" w:space="0" w:color="auto"/>
            <w:bottom w:val="none" w:sz="0" w:space="0" w:color="auto"/>
            <w:right w:val="none" w:sz="0" w:space="0" w:color="auto"/>
          </w:divBdr>
        </w:div>
        <w:div w:id="1066149537">
          <w:marLeft w:val="0"/>
          <w:marRight w:val="0"/>
          <w:marTop w:val="0"/>
          <w:marBottom w:val="0"/>
          <w:divBdr>
            <w:top w:val="none" w:sz="0" w:space="0" w:color="auto"/>
            <w:left w:val="none" w:sz="0" w:space="0" w:color="auto"/>
            <w:bottom w:val="none" w:sz="0" w:space="0" w:color="auto"/>
            <w:right w:val="none" w:sz="0" w:space="0" w:color="auto"/>
          </w:divBdr>
        </w:div>
        <w:div w:id="271206934">
          <w:marLeft w:val="0"/>
          <w:marRight w:val="0"/>
          <w:marTop w:val="0"/>
          <w:marBottom w:val="0"/>
          <w:divBdr>
            <w:top w:val="none" w:sz="0" w:space="0" w:color="auto"/>
            <w:left w:val="none" w:sz="0" w:space="0" w:color="auto"/>
            <w:bottom w:val="none" w:sz="0" w:space="0" w:color="auto"/>
            <w:right w:val="none" w:sz="0" w:space="0" w:color="auto"/>
          </w:divBdr>
        </w:div>
        <w:div w:id="1424915922">
          <w:marLeft w:val="0"/>
          <w:marRight w:val="0"/>
          <w:marTop w:val="0"/>
          <w:marBottom w:val="0"/>
          <w:divBdr>
            <w:top w:val="none" w:sz="0" w:space="0" w:color="auto"/>
            <w:left w:val="none" w:sz="0" w:space="0" w:color="auto"/>
            <w:bottom w:val="none" w:sz="0" w:space="0" w:color="auto"/>
            <w:right w:val="none" w:sz="0" w:space="0" w:color="auto"/>
          </w:divBdr>
        </w:div>
        <w:div w:id="376660887">
          <w:marLeft w:val="0"/>
          <w:marRight w:val="0"/>
          <w:marTop w:val="0"/>
          <w:marBottom w:val="0"/>
          <w:divBdr>
            <w:top w:val="none" w:sz="0" w:space="0" w:color="auto"/>
            <w:left w:val="none" w:sz="0" w:space="0" w:color="auto"/>
            <w:bottom w:val="none" w:sz="0" w:space="0" w:color="auto"/>
            <w:right w:val="none" w:sz="0" w:space="0" w:color="auto"/>
          </w:divBdr>
        </w:div>
        <w:div w:id="1350181676">
          <w:marLeft w:val="0"/>
          <w:marRight w:val="0"/>
          <w:marTop w:val="0"/>
          <w:marBottom w:val="0"/>
          <w:divBdr>
            <w:top w:val="none" w:sz="0" w:space="0" w:color="auto"/>
            <w:left w:val="none" w:sz="0" w:space="0" w:color="auto"/>
            <w:bottom w:val="none" w:sz="0" w:space="0" w:color="auto"/>
            <w:right w:val="none" w:sz="0" w:space="0" w:color="auto"/>
          </w:divBdr>
        </w:div>
        <w:div w:id="1651980355">
          <w:marLeft w:val="0"/>
          <w:marRight w:val="0"/>
          <w:marTop w:val="0"/>
          <w:marBottom w:val="0"/>
          <w:divBdr>
            <w:top w:val="none" w:sz="0" w:space="0" w:color="auto"/>
            <w:left w:val="none" w:sz="0" w:space="0" w:color="auto"/>
            <w:bottom w:val="none" w:sz="0" w:space="0" w:color="auto"/>
            <w:right w:val="none" w:sz="0" w:space="0" w:color="auto"/>
          </w:divBdr>
        </w:div>
        <w:div w:id="212423542">
          <w:marLeft w:val="0"/>
          <w:marRight w:val="0"/>
          <w:marTop w:val="0"/>
          <w:marBottom w:val="0"/>
          <w:divBdr>
            <w:top w:val="none" w:sz="0" w:space="0" w:color="auto"/>
            <w:left w:val="none" w:sz="0" w:space="0" w:color="auto"/>
            <w:bottom w:val="none" w:sz="0" w:space="0" w:color="auto"/>
            <w:right w:val="none" w:sz="0" w:space="0" w:color="auto"/>
          </w:divBdr>
        </w:div>
        <w:div w:id="1840726894">
          <w:marLeft w:val="0"/>
          <w:marRight w:val="0"/>
          <w:marTop w:val="0"/>
          <w:marBottom w:val="0"/>
          <w:divBdr>
            <w:top w:val="none" w:sz="0" w:space="0" w:color="auto"/>
            <w:left w:val="none" w:sz="0" w:space="0" w:color="auto"/>
            <w:bottom w:val="none" w:sz="0" w:space="0" w:color="auto"/>
            <w:right w:val="none" w:sz="0" w:space="0" w:color="auto"/>
          </w:divBdr>
        </w:div>
        <w:div w:id="1674380602">
          <w:marLeft w:val="0"/>
          <w:marRight w:val="0"/>
          <w:marTop w:val="0"/>
          <w:marBottom w:val="0"/>
          <w:divBdr>
            <w:top w:val="none" w:sz="0" w:space="0" w:color="auto"/>
            <w:left w:val="none" w:sz="0" w:space="0" w:color="auto"/>
            <w:bottom w:val="none" w:sz="0" w:space="0" w:color="auto"/>
            <w:right w:val="none" w:sz="0" w:space="0" w:color="auto"/>
          </w:divBdr>
        </w:div>
        <w:div w:id="310673036">
          <w:marLeft w:val="0"/>
          <w:marRight w:val="0"/>
          <w:marTop w:val="0"/>
          <w:marBottom w:val="0"/>
          <w:divBdr>
            <w:top w:val="none" w:sz="0" w:space="0" w:color="auto"/>
            <w:left w:val="none" w:sz="0" w:space="0" w:color="auto"/>
            <w:bottom w:val="none" w:sz="0" w:space="0" w:color="auto"/>
            <w:right w:val="none" w:sz="0" w:space="0" w:color="auto"/>
          </w:divBdr>
        </w:div>
        <w:div w:id="1960796294">
          <w:marLeft w:val="0"/>
          <w:marRight w:val="0"/>
          <w:marTop w:val="0"/>
          <w:marBottom w:val="0"/>
          <w:divBdr>
            <w:top w:val="none" w:sz="0" w:space="0" w:color="auto"/>
            <w:left w:val="none" w:sz="0" w:space="0" w:color="auto"/>
            <w:bottom w:val="none" w:sz="0" w:space="0" w:color="auto"/>
            <w:right w:val="none" w:sz="0" w:space="0" w:color="auto"/>
          </w:divBdr>
        </w:div>
        <w:div w:id="619651023">
          <w:marLeft w:val="0"/>
          <w:marRight w:val="0"/>
          <w:marTop w:val="0"/>
          <w:marBottom w:val="0"/>
          <w:divBdr>
            <w:top w:val="none" w:sz="0" w:space="0" w:color="auto"/>
            <w:left w:val="none" w:sz="0" w:space="0" w:color="auto"/>
            <w:bottom w:val="none" w:sz="0" w:space="0" w:color="auto"/>
            <w:right w:val="none" w:sz="0" w:space="0" w:color="auto"/>
          </w:divBdr>
        </w:div>
      </w:divsChild>
    </w:div>
    <w:div w:id="1724212344">
      <w:bodyDiv w:val="1"/>
      <w:marLeft w:val="0"/>
      <w:marRight w:val="0"/>
      <w:marTop w:val="0"/>
      <w:marBottom w:val="0"/>
      <w:divBdr>
        <w:top w:val="none" w:sz="0" w:space="0" w:color="auto"/>
        <w:left w:val="none" w:sz="0" w:space="0" w:color="auto"/>
        <w:bottom w:val="none" w:sz="0" w:space="0" w:color="auto"/>
        <w:right w:val="none" w:sz="0" w:space="0" w:color="auto"/>
      </w:divBdr>
      <w:divsChild>
        <w:div w:id="1656764795">
          <w:marLeft w:val="0"/>
          <w:marRight w:val="0"/>
          <w:marTop w:val="0"/>
          <w:marBottom w:val="0"/>
          <w:divBdr>
            <w:top w:val="none" w:sz="0" w:space="0" w:color="auto"/>
            <w:left w:val="none" w:sz="0" w:space="0" w:color="auto"/>
            <w:bottom w:val="none" w:sz="0" w:space="0" w:color="auto"/>
            <w:right w:val="none" w:sz="0" w:space="0" w:color="auto"/>
          </w:divBdr>
        </w:div>
        <w:div w:id="707611156">
          <w:marLeft w:val="0"/>
          <w:marRight w:val="0"/>
          <w:marTop w:val="0"/>
          <w:marBottom w:val="0"/>
          <w:divBdr>
            <w:top w:val="none" w:sz="0" w:space="0" w:color="auto"/>
            <w:left w:val="none" w:sz="0" w:space="0" w:color="auto"/>
            <w:bottom w:val="none" w:sz="0" w:space="0" w:color="auto"/>
            <w:right w:val="none" w:sz="0" w:space="0" w:color="auto"/>
          </w:divBdr>
        </w:div>
        <w:div w:id="2118481581">
          <w:marLeft w:val="0"/>
          <w:marRight w:val="0"/>
          <w:marTop w:val="0"/>
          <w:marBottom w:val="0"/>
          <w:divBdr>
            <w:top w:val="none" w:sz="0" w:space="0" w:color="auto"/>
            <w:left w:val="none" w:sz="0" w:space="0" w:color="auto"/>
            <w:bottom w:val="none" w:sz="0" w:space="0" w:color="auto"/>
            <w:right w:val="none" w:sz="0" w:space="0" w:color="auto"/>
          </w:divBdr>
        </w:div>
        <w:div w:id="1822573587">
          <w:marLeft w:val="0"/>
          <w:marRight w:val="0"/>
          <w:marTop w:val="0"/>
          <w:marBottom w:val="0"/>
          <w:divBdr>
            <w:top w:val="none" w:sz="0" w:space="0" w:color="auto"/>
            <w:left w:val="none" w:sz="0" w:space="0" w:color="auto"/>
            <w:bottom w:val="none" w:sz="0" w:space="0" w:color="auto"/>
            <w:right w:val="none" w:sz="0" w:space="0" w:color="auto"/>
          </w:divBdr>
        </w:div>
        <w:div w:id="850341072">
          <w:marLeft w:val="0"/>
          <w:marRight w:val="0"/>
          <w:marTop w:val="0"/>
          <w:marBottom w:val="0"/>
          <w:divBdr>
            <w:top w:val="none" w:sz="0" w:space="0" w:color="auto"/>
            <w:left w:val="none" w:sz="0" w:space="0" w:color="auto"/>
            <w:bottom w:val="none" w:sz="0" w:space="0" w:color="auto"/>
            <w:right w:val="none" w:sz="0" w:space="0" w:color="auto"/>
          </w:divBdr>
        </w:div>
        <w:div w:id="1262832433">
          <w:marLeft w:val="0"/>
          <w:marRight w:val="0"/>
          <w:marTop w:val="0"/>
          <w:marBottom w:val="0"/>
          <w:divBdr>
            <w:top w:val="none" w:sz="0" w:space="0" w:color="auto"/>
            <w:left w:val="none" w:sz="0" w:space="0" w:color="auto"/>
            <w:bottom w:val="none" w:sz="0" w:space="0" w:color="auto"/>
            <w:right w:val="none" w:sz="0" w:space="0" w:color="auto"/>
          </w:divBdr>
        </w:div>
        <w:div w:id="1083531594">
          <w:marLeft w:val="0"/>
          <w:marRight w:val="0"/>
          <w:marTop w:val="0"/>
          <w:marBottom w:val="0"/>
          <w:divBdr>
            <w:top w:val="none" w:sz="0" w:space="0" w:color="auto"/>
            <w:left w:val="none" w:sz="0" w:space="0" w:color="auto"/>
            <w:bottom w:val="none" w:sz="0" w:space="0" w:color="auto"/>
            <w:right w:val="none" w:sz="0" w:space="0" w:color="auto"/>
          </w:divBdr>
        </w:div>
        <w:div w:id="1944801504">
          <w:marLeft w:val="0"/>
          <w:marRight w:val="0"/>
          <w:marTop w:val="0"/>
          <w:marBottom w:val="0"/>
          <w:divBdr>
            <w:top w:val="none" w:sz="0" w:space="0" w:color="auto"/>
            <w:left w:val="none" w:sz="0" w:space="0" w:color="auto"/>
            <w:bottom w:val="none" w:sz="0" w:space="0" w:color="auto"/>
            <w:right w:val="none" w:sz="0" w:space="0" w:color="auto"/>
          </w:divBdr>
        </w:div>
        <w:div w:id="1012418414">
          <w:marLeft w:val="0"/>
          <w:marRight w:val="0"/>
          <w:marTop w:val="0"/>
          <w:marBottom w:val="0"/>
          <w:divBdr>
            <w:top w:val="none" w:sz="0" w:space="0" w:color="auto"/>
            <w:left w:val="none" w:sz="0" w:space="0" w:color="auto"/>
            <w:bottom w:val="none" w:sz="0" w:space="0" w:color="auto"/>
            <w:right w:val="none" w:sz="0" w:space="0" w:color="auto"/>
          </w:divBdr>
        </w:div>
        <w:div w:id="1438871434">
          <w:marLeft w:val="0"/>
          <w:marRight w:val="0"/>
          <w:marTop w:val="0"/>
          <w:marBottom w:val="0"/>
          <w:divBdr>
            <w:top w:val="none" w:sz="0" w:space="0" w:color="auto"/>
            <w:left w:val="none" w:sz="0" w:space="0" w:color="auto"/>
            <w:bottom w:val="none" w:sz="0" w:space="0" w:color="auto"/>
            <w:right w:val="none" w:sz="0" w:space="0" w:color="auto"/>
          </w:divBdr>
        </w:div>
        <w:div w:id="759526985">
          <w:marLeft w:val="0"/>
          <w:marRight w:val="0"/>
          <w:marTop w:val="0"/>
          <w:marBottom w:val="0"/>
          <w:divBdr>
            <w:top w:val="none" w:sz="0" w:space="0" w:color="auto"/>
            <w:left w:val="none" w:sz="0" w:space="0" w:color="auto"/>
            <w:bottom w:val="none" w:sz="0" w:space="0" w:color="auto"/>
            <w:right w:val="none" w:sz="0" w:space="0" w:color="auto"/>
          </w:divBdr>
        </w:div>
        <w:div w:id="53238965">
          <w:marLeft w:val="0"/>
          <w:marRight w:val="0"/>
          <w:marTop w:val="0"/>
          <w:marBottom w:val="0"/>
          <w:divBdr>
            <w:top w:val="none" w:sz="0" w:space="0" w:color="auto"/>
            <w:left w:val="none" w:sz="0" w:space="0" w:color="auto"/>
            <w:bottom w:val="none" w:sz="0" w:space="0" w:color="auto"/>
            <w:right w:val="none" w:sz="0" w:space="0" w:color="auto"/>
          </w:divBdr>
        </w:div>
        <w:div w:id="795871398">
          <w:marLeft w:val="0"/>
          <w:marRight w:val="0"/>
          <w:marTop w:val="0"/>
          <w:marBottom w:val="0"/>
          <w:divBdr>
            <w:top w:val="none" w:sz="0" w:space="0" w:color="auto"/>
            <w:left w:val="none" w:sz="0" w:space="0" w:color="auto"/>
            <w:bottom w:val="none" w:sz="0" w:space="0" w:color="auto"/>
            <w:right w:val="none" w:sz="0" w:space="0" w:color="auto"/>
          </w:divBdr>
        </w:div>
        <w:div w:id="1391617010">
          <w:marLeft w:val="0"/>
          <w:marRight w:val="0"/>
          <w:marTop w:val="0"/>
          <w:marBottom w:val="0"/>
          <w:divBdr>
            <w:top w:val="none" w:sz="0" w:space="0" w:color="auto"/>
            <w:left w:val="none" w:sz="0" w:space="0" w:color="auto"/>
            <w:bottom w:val="none" w:sz="0" w:space="0" w:color="auto"/>
            <w:right w:val="none" w:sz="0" w:space="0" w:color="auto"/>
          </w:divBdr>
        </w:div>
        <w:div w:id="1355762129">
          <w:marLeft w:val="0"/>
          <w:marRight w:val="0"/>
          <w:marTop w:val="0"/>
          <w:marBottom w:val="0"/>
          <w:divBdr>
            <w:top w:val="none" w:sz="0" w:space="0" w:color="auto"/>
            <w:left w:val="none" w:sz="0" w:space="0" w:color="auto"/>
            <w:bottom w:val="none" w:sz="0" w:space="0" w:color="auto"/>
            <w:right w:val="none" w:sz="0" w:space="0" w:color="auto"/>
          </w:divBdr>
        </w:div>
        <w:div w:id="103500686">
          <w:marLeft w:val="0"/>
          <w:marRight w:val="0"/>
          <w:marTop w:val="0"/>
          <w:marBottom w:val="0"/>
          <w:divBdr>
            <w:top w:val="none" w:sz="0" w:space="0" w:color="auto"/>
            <w:left w:val="none" w:sz="0" w:space="0" w:color="auto"/>
            <w:bottom w:val="none" w:sz="0" w:space="0" w:color="auto"/>
            <w:right w:val="none" w:sz="0" w:space="0" w:color="auto"/>
          </w:divBdr>
        </w:div>
        <w:div w:id="360667291">
          <w:marLeft w:val="0"/>
          <w:marRight w:val="0"/>
          <w:marTop w:val="0"/>
          <w:marBottom w:val="0"/>
          <w:divBdr>
            <w:top w:val="none" w:sz="0" w:space="0" w:color="auto"/>
            <w:left w:val="none" w:sz="0" w:space="0" w:color="auto"/>
            <w:bottom w:val="none" w:sz="0" w:space="0" w:color="auto"/>
            <w:right w:val="none" w:sz="0" w:space="0" w:color="auto"/>
          </w:divBdr>
        </w:div>
        <w:div w:id="1515147010">
          <w:marLeft w:val="0"/>
          <w:marRight w:val="0"/>
          <w:marTop w:val="0"/>
          <w:marBottom w:val="0"/>
          <w:divBdr>
            <w:top w:val="none" w:sz="0" w:space="0" w:color="auto"/>
            <w:left w:val="none" w:sz="0" w:space="0" w:color="auto"/>
            <w:bottom w:val="none" w:sz="0" w:space="0" w:color="auto"/>
            <w:right w:val="none" w:sz="0" w:space="0" w:color="auto"/>
          </w:divBdr>
        </w:div>
        <w:div w:id="444230551">
          <w:marLeft w:val="0"/>
          <w:marRight w:val="0"/>
          <w:marTop w:val="0"/>
          <w:marBottom w:val="0"/>
          <w:divBdr>
            <w:top w:val="none" w:sz="0" w:space="0" w:color="auto"/>
            <w:left w:val="none" w:sz="0" w:space="0" w:color="auto"/>
            <w:bottom w:val="none" w:sz="0" w:space="0" w:color="auto"/>
            <w:right w:val="none" w:sz="0" w:space="0" w:color="auto"/>
          </w:divBdr>
        </w:div>
        <w:div w:id="621812452">
          <w:marLeft w:val="0"/>
          <w:marRight w:val="0"/>
          <w:marTop w:val="0"/>
          <w:marBottom w:val="0"/>
          <w:divBdr>
            <w:top w:val="none" w:sz="0" w:space="0" w:color="auto"/>
            <w:left w:val="none" w:sz="0" w:space="0" w:color="auto"/>
            <w:bottom w:val="none" w:sz="0" w:space="0" w:color="auto"/>
            <w:right w:val="none" w:sz="0" w:space="0" w:color="auto"/>
          </w:divBdr>
        </w:div>
        <w:div w:id="731198968">
          <w:marLeft w:val="0"/>
          <w:marRight w:val="0"/>
          <w:marTop w:val="0"/>
          <w:marBottom w:val="0"/>
          <w:divBdr>
            <w:top w:val="none" w:sz="0" w:space="0" w:color="auto"/>
            <w:left w:val="none" w:sz="0" w:space="0" w:color="auto"/>
            <w:bottom w:val="none" w:sz="0" w:space="0" w:color="auto"/>
            <w:right w:val="none" w:sz="0" w:space="0" w:color="auto"/>
          </w:divBdr>
        </w:div>
        <w:div w:id="26491921">
          <w:marLeft w:val="0"/>
          <w:marRight w:val="0"/>
          <w:marTop w:val="0"/>
          <w:marBottom w:val="0"/>
          <w:divBdr>
            <w:top w:val="none" w:sz="0" w:space="0" w:color="auto"/>
            <w:left w:val="none" w:sz="0" w:space="0" w:color="auto"/>
            <w:bottom w:val="none" w:sz="0" w:space="0" w:color="auto"/>
            <w:right w:val="none" w:sz="0" w:space="0" w:color="auto"/>
          </w:divBdr>
        </w:div>
      </w:divsChild>
    </w:div>
    <w:div w:id="1773671313">
      <w:bodyDiv w:val="1"/>
      <w:marLeft w:val="0"/>
      <w:marRight w:val="0"/>
      <w:marTop w:val="0"/>
      <w:marBottom w:val="0"/>
      <w:divBdr>
        <w:top w:val="none" w:sz="0" w:space="0" w:color="auto"/>
        <w:left w:val="none" w:sz="0" w:space="0" w:color="auto"/>
        <w:bottom w:val="none" w:sz="0" w:space="0" w:color="auto"/>
        <w:right w:val="none" w:sz="0" w:space="0" w:color="auto"/>
      </w:divBdr>
      <w:divsChild>
        <w:div w:id="1464808238">
          <w:marLeft w:val="0"/>
          <w:marRight w:val="0"/>
          <w:marTop w:val="0"/>
          <w:marBottom w:val="0"/>
          <w:divBdr>
            <w:top w:val="none" w:sz="0" w:space="0" w:color="auto"/>
            <w:left w:val="none" w:sz="0" w:space="0" w:color="auto"/>
            <w:bottom w:val="none" w:sz="0" w:space="0" w:color="auto"/>
            <w:right w:val="none" w:sz="0" w:space="0" w:color="auto"/>
          </w:divBdr>
        </w:div>
        <w:div w:id="1928615282">
          <w:marLeft w:val="0"/>
          <w:marRight w:val="0"/>
          <w:marTop w:val="0"/>
          <w:marBottom w:val="0"/>
          <w:divBdr>
            <w:top w:val="none" w:sz="0" w:space="0" w:color="auto"/>
            <w:left w:val="none" w:sz="0" w:space="0" w:color="auto"/>
            <w:bottom w:val="none" w:sz="0" w:space="0" w:color="auto"/>
            <w:right w:val="none" w:sz="0" w:space="0" w:color="auto"/>
          </w:divBdr>
        </w:div>
        <w:div w:id="545072427">
          <w:marLeft w:val="0"/>
          <w:marRight w:val="0"/>
          <w:marTop w:val="0"/>
          <w:marBottom w:val="0"/>
          <w:divBdr>
            <w:top w:val="none" w:sz="0" w:space="0" w:color="auto"/>
            <w:left w:val="none" w:sz="0" w:space="0" w:color="auto"/>
            <w:bottom w:val="none" w:sz="0" w:space="0" w:color="auto"/>
            <w:right w:val="none" w:sz="0" w:space="0" w:color="auto"/>
          </w:divBdr>
        </w:div>
        <w:div w:id="14692594">
          <w:marLeft w:val="0"/>
          <w:marRight w:val="0"/>
          <w:marTop w:val="0"/>
          <w:marBottom w:val="0"/>
          <w:divBdr>
            <w:top w:val="none" w:sz="0" w:space="0" w:color="auto"/>
            <w:left w:val="none" w:sz="0" w:space="0" w:color="auto"/>
            <w:bottom w:val="none" w:sz="0" w:space="0" w:color="auto"/>
            <w:right w:val="none" w:sz="0" w:space="0" w:color="auto"/>
          </w:divBdr>
        </w:div>
        <w:div w:id="1063069174">
          <w:marLeft w:val="0"/>
          <w:marRight w:val="0"/>
          <w:marTop w:val="0"/>
          <w:marBottom w:val="0"/>
          <w:divBdr>
            <w:top w:val="none" w:sz="0" w:space="0" w:color="auto"/>
            <w:left w:val="none" w:sz="0" w:space="0" w:color="auto"/>
            <w:bottom w:val="none" w:sz="0" w:space="0" w:color="auto"/>
            <w:right w:val="none" w:sz="0" w:space="0" w:color="auto"/>
          </w:divBdr>
        </w:div>
      </w:divsChild>
    </w:div>
    <w:div w:id="1906722027">
      <w:bodyDiv w:val="1"/>
      <w:marLeft w:val="0"/>
      <w:marRight w:val="0"/>
      <w:marTop w:val="0"/>
      <w:marBottom w:val="0"/>
      <w:divBdr>
        <w:top w:val="none" w:sz="0" w:space="0" w:color="auto"/>
        <w:left w:val="none" w:sz="0" w:space="0" w:color="auto"/>
        <w:bottom w:val="none" w:sz="0" w:space="0" w:color="auto"/>
        <w:right w:val="none" w:sz="0" w:space="0" w:color="auto"/>
      </w:divBdr>
      <w:divsChild>
        <w:div w:id="165558155">
          <w:marLeft w:val="0"/>
          <w:marRight w:val="0"/>
          <w:marTop w:val="0"/>
          <w:marBottom w:val="0"/>
          <w:divBdr>
            <w:top w:val="none" w:sz="0" w:space="0" w:color="auto"/>
            <w:left w:val="none" w:sz="0" w:space="0" w:color="auto"/>
            <w:bottom w:val="none" w:sz="0" w:space="0" w:color="auto"/>
            <w:right w:val="none" w:sz="0" w:space="0" w:color="auto"/>
          </w:divBdr>
        </w:div>
        <w:div w:id="1563826401">
          <w:marLeft w:val="0"/>
          <w:marRight w:val="0"/>
          <w:marTop w:val="0"/>
          <w:marBottom w:val="0"/>
          <w:divBdr>
            <w:top w:val="none" w:sz="0" w:space="0" w:color="auto"/>
            <w:left w:val="none" w:sz="0" w:space="0" w:color="auto"/>
            <w:bottom w:val="none" w:sz="0" w:space="0" w:color="auto"/>
            <w:right w:val="none" w:sz="0" w:space="0" w:color="auto"/>
          </w:divBdr>
        </w:div>
        <w:div w:id="1827551652">
          <w:marLeft w:val="0"/>
          <w:marRight w:val="0"/>
          <w:marTop w:val="0"/>
          <w:marBottom w:val="0"/>
          <w:divBdr>
            <w:top w:val="none" w:sz="0" w:space="0" w:color="auto"/>
            <w:left w:val="none" w:sz="0" w:space="0" w:color="auto"/>
            <w:bottom w:val="none" w:sz="0" w:space="0" w:color="auto"/>
            <w:right w:val="none" w:sz="0" w:space="0" w:color="auto"/>
          </w:divBdr>
        </w:div>
        <w:div w:id="1491754574">
          <w:marLeft w:val="0"/>
          <w:marRight w:val="0"/>
          <w:marTop w:val="0"/>
          <w:marBottom w:val="0"/>
          <w:divBdr>
            <w:top w:val="none" w:sz="0" w:space="0" w:color="auto"/>
            <w:left w:val="none" w:sz="0" w:space="0" w:color="auto"/>
            <w:bottom w:val="none" w:sz="0" w:space="0" w:color="auto"/>
            <w:right w:val="none" w:sz="0" w:space="0" w:color="auto"/>
          </w:divBdr>
        </w:div>
        <w:div w:id="1997147150">
          <w:marLeft w:val="0"/>
          <w:marRight w:val="0"/>
          <w:marTop w:val="0"/>
          <w:marBottom w:val="0"/>
          <w:divBdr>
            <w:top w:val="none" w:sz="0" w:space="0" w:color="auto"/>
            <w:left w:val="none" w:sz="0" w:space="0" w:color="auto"/>
            <w:bottom w:val="none" w:sz="0" w:space="0" w:color="auto"/>
            <w:right w:val="none" w:sz="0" w:space="0" w:color="auto"/>
          </w:divBdr>
        </w:div>
        <w:div w:id="1872105919">
          <w:marLeft w:val="0"/>
          <w:marRight w:val="0"/>
          <w:marTop w:val="0"/>
          <w:marBottom w:val="0"/>
          <w:divBdr>
            <w:top w:val="none" w:sz="0" w:space="0" w:color="auto"/>
            <w:left w:val="none" w:sz="0" w:space="0" w:color="auto"/>
            <w:bottom w:val="none" w:sz="0" w:space="0" w:color="auto"/>
            <w:right w:val="none" w:sz="0" w:space="0" w:color="auto"/>
          </w:divBdr>
        </w:div>
        <w:div w:id="1399478268">
          <w:marLeft w:val="0"/>
          <w:marRight w:val="0"/>
          <w:marTop w:val="0"/>
          <w:marBottom w:val="0"/>
          <w:divBdr>
            <w:top w:val="none" w:sz="0" w:space="0" w:color="auto"/>
            <w:left w:val="none" w:sz="0" w:space="0" w:color="auto"/>
            <w:bottom w:val="none" w:sz="0" w:space="0" w:color="auto"/>
            <w:right w:val="none" w:sz="0" w:space="0" w:color="auto"/>
          </w:divBdr>
        </w:div>
        <w:div w:id="54206358">
          <w:marLeft w:val="0"/>
          <w:marRight w:val="0"/>
          <w:marTop w:val="0"/>
          <w:marBottom w:val="0"/>
          <w:divBdr>
            <w:top w:val="none" w:sz="0" w:space="0" w:color="auto"/>
            <w:left w:val="none" w:sz="0" w:space="0" w:color="auto"/>
            <w:bottom w:val="none" w:sz="0" w:space="0" w:color="auto"/>
            <w:right w:val="none" w:sz="0" w:space="0" w:color="auto"/>
          </w:divBdr>
        </w:div>
        <w:div w:id="1204908997">
          <w:marLeft w:val="0"/>
          <w:marRight w:val="0"/>
          <w:marTop w:val="0"/>
          <w:marBottom w:val="0"/>
          <w:divBdr>
            <w:top w:val="none" w:sz="0" w:space="0" w:color="auto"/>
            <w:left w:val="none" w:sz="0" w:space="0" w:color="auto"/>
            <w:bottom w:val="none" w:sz="0" w:space="0" w:color="auto"/>
            <w:right w:val="none" w:sz="0" w:space="0" w:color="auto"/>
          </w:divBdr>
        </w:div>
        <w:div w:id="57173659">
          <w:marLeft w:val="0"/>
          <w:marRight w:val="0"/>
          <w:marTop w:val="0"/>
          <w:marBottom w:val="0"/>
          <w:divBdr>
            <w:top w:val="none" w:sz="0" w:space="0" w:color="auto"/>
            <w:left w:val="none" w:sz="0" w:space="0" w:color="auto"/>
            <w:bottom w:val="none" w:sz="0" w:space="0" w:color="auto"/>
            <w:right w:val="none" w:sz="0" w:space="0" w:color="auto"/>
          </w:divBdr>
        </w:div>
      </w:divsChild>
    </w:div>
    <w:div w:id="2020888632">
      <w:bodyDiv w:val="1"/>
      <w:marLeft w:val="0"/>
      <w:marRight w:val="0"/>
      <w:marTop w:val="0"/>
      <w:marBottom w:val="0"/>
      <w:divBdr>
        <w:top w:val="none" w:sz="0" w:space="0" w:color="auto"/>
        <w:left w:val="none" w:sz="0" w:space="0" w:color="auto"/>
        <w:bottom w:val="none" w:sz="0" w:space="0" w:color="auto"/>
        <w:right w:val="none" w:sz="0" w:space="0" w:color="auto"/>
      </w:divBdr>
      <w:divsChild>
        <w:div w:id="1503548217">
          <w:marLeft w:val="0"/>
          <w:marRight w:val="0"/>
          <w:marTop w:val="0"/>
          <w:marBottom w:val="0"/>
          <w:divBdr>
            <w:top w:val="none" w:sz="0" w:space="0" w:color="auto"/>
            <w:left w:val="none" w:sz="0" w:space="0" w:color="auto"/>
            <w:bottom w:val="none" w:sz="0" w:space="0" w:color="auto"/>
            <w:right w:val="none" w:sz="0" w:space="0" w:color="auto"/>
          </w:divBdr>
        </w:div>
        <w:div w:id="1112432275">
          <w:marLeft w:val="0"/>
          <w:marRight w:val="0"/>
          <w:marTop w:val="0"/>
          <w:marBottom w:val="0"/>
          <w:divBdr>
            <w:top w:val="none" w:sz="0" w:space="0" w:color="auto"/>
            <w:left w:val="none" w:sz="0" w:space="0" w:color="auto"/>
            <w:bottom w:val="none" w:sz="0" w:space="0" w:color="auto"/>
            <w:right w:val="none" w:sz="0" w:space="0" w:color="auto"/>
          </w:divBdr>
        </w:div>
        <w:div w:id="1211110012">
          <w:marLeft w:val="0"/>
          <w:marRight w:val="0"/>
          <w:marTop w:val="0"/>
          <w:marBottom w:val="0"/>
          <w:divBdr>
            <w:top w:val="none" w:sz="0" w:space="0" w:color="auto"/>
            <w:left w:val="none" w:sz="0" w:space="0" w:color="auto"/>
            <w:bottom w:val="none" w:sz="0" w:space="0" w:color="auto"/>
            <w:right w:val="none" w:sz="0" w:space="0" w:color="auto"/>
          </w:divBdr>
        </w:div>
        <w:div w:id="1059011095">
          <w:marLeft w:val="0"/>
          <w:marRight w:val="0"/>
          <w:marTop w:val="0"/>
          <w:marBottom w:val="0"/>
          <w:divBdr>
            <w:top w:val="none" w:sz="0" w:space="0" w:color="auto"/>
            <w:left w:val="none" w:sz="0" w:space="0" w:color="auto"/>
            <w:bottom w:val="none" w:sz="0" w:space="0" w:color="auto"/>
            <w:right w:val="none" w:sz="0" w:space="0" w:color="auto"/>
          </w:divBdr>
        </w:div>
        <w:div w:id="660815008">
          <w:marLeft w:val="0"/>
          <w:marRight w:val="0"/>
          <w:marTop w:val="0"/>
          <w:marBottom w:val="0"/>
          <w:divBdr>
            <w:top w:val="none" w:sz="0" w:space="0" w:color="auto"/>
            <w:left w:val="none" w:sz="0" w:space="0" w:color="auto"/>
            <w:bottom w:val="none" w:sz="0" w:space="0" w:color="auto"/>
            <w:right w:val="none" w:sz="0" w:space="0" w:color="auto"/>
          </w:divBdr>
        </w:div>
        <w:div w:id="1589928677">
          <w:marLeft w:val="0"/>
          <w:marRight w:val="0"/>
          <w:marTop w:val="0"/>
          <w:marBottom w:val="0"/>
          <w:divBdr>
            <w:top w:val="none" w:sz="0" w:space="0" w:color="auto"/>
            <w:left w:val="none" w:sz="0" w:space="0" w:color="auto"/>
            <w:bottom w:val="none" w:sz="0" w:space="0" w:color="auto"/>
            <w:right w:val="none" w:sz="0" w:space="0" w:color="auto"/>
          </w:divBdr>
        </w:div>
        <w:div w:id="300161181">
          <w:marLeft w:val="0"/>
          <w:marRight w:val="0"/>
          <w:marTop w:val="0"/>
          <w:marBottom w:val="0"/>
          <w:divBdr>
            <w:top w:val="none" w:sz="0" w:space="0" w:color="auto"/>
            <w:left w:val="none" w:sz="0" w:space="0" w:color="auto"/>
            <w:bottom w:val="none" w:sz="0" w:space="0" w:color="auto"/>
            <w:right w:val="none" w:sz="0" w:space="0" w:color="auto"/>
          </w:divBdr>
        </w:div>
        <w:div w:id="1187720702">
          <w:marLeft w:val="0"/>
          <w:marRight w:val="0"/>
          <w:marTop w:val="0"/>
          <w:marBottom w:val="0"/>
          <w:divBdr>
            <w:top w:val="none" w:sz="0" w:space="0" w:color="auto"/>
            <w:left w:val="none" w:sz="0" w:space="0" w:color="auto"/>
            <w:bottom w:val="none" w:sz="0" w:space="0" w:color="auto"/>
            <w:right w:val="none" w:sz="0" w:space="0" w:color="auto"/>
          </w:divBdr>
        </w:div>
        <w:div w:id="59985040">
          <w:marLeft w:val="0"/>
          <w:marRight w:val="0"/>
          <w:marTop w:val="0"/>
          <w:marBottom w:val="0"/>
          <w:divBdr>
            <w:top w:val="none" w:sz="0" w:space="0" w:color="auto"/>
            <w:left w:val="none" w:sz="0" w:space="0" w:color="auto"/>
            <w:bottom w:val="none" w:sz="0" w:space="0" w:color="auto"/>
            <w:right w:val="none" w:sz="0" w:space="0" w:color="auto"/>
          </w:divBdr>
        </w:div>
        <w:div w:id="1357122650">
          <w:marLeft w:val="0"/>
          <w:marRight w:val="0"/>
          <w:marTop w:val="0"/>
          <w:marBottom w:val="0"/>
          <w:divBdr>
            <w:top w:val="none" w:sz="0" w:space="0" w:color="auto"/>
            <w:left w:val="none" w:sz="0" w:space="0" w:color="auto"/>
            <w:bottom w:val="none" w:sz="0" w:space="0" w:color="auto"/>
            <w:right w:val="none" w:sz="0" w:space="0" w:color="auto"/>
          </w:divBdr>
        </w:div>
        <w:div w:id="1702901977">
          <w:marLeft w:val="0"/>
          <w:marRight w:val="0"/>
          <w:marTop w:val="0"/>
          <w:marBottom w:val="0"/>
          <w:divBdr>
            <w:top w:val="none" w:sz="0" w:space="0" w:color="auto"/>
            <w:left w:val="none" w:sz="0" w:space="0" w:color="auto"/>
            <w:bottom w:val="none" w:sz="0" w:space="0" w:color="auto"/>
            <w:right w:val="none" w:sz="0" w:space="0" w:color="auto"/>
          </w:divBdr>
        </w:div>
      </w:divsChild>
    </w:div>
    <w:div w:id="2089224164">
      <w:bodyDiv w:val="1"/>
      <w:marLeft w:val="0"/>
      <w:marRight w:val="0"/>
      <w:marTop w:val="0"/>
      <w:marBottom w:val="0"/>
      <w:divBdr>
        <w:top w:val="none" w:sz="0" w:space="0" w:color="auto"/>
        <w:left w:val="none" w:sz="0" w:space="0" w:color="auto"/>
        <w:bottom w:val="none" w:sz="0" w:space="0" w:color="auto"/>
        <w:right w:val="none" w:sz="0" w:space="0" w:color="auto"/>
      </w:divBdr>
      <w:divsChild>
        <w:div w:id="1069811305">
          <w:marLeft w:val="0"/>
          <w:marRight w:val="0"/>
          <w:marTop w:val="0"/>
          <w:marBottom w:val="0"/>
          <w:divBdr>
            <w:top w:val="none" w:sz="0" w:space="0" w:color="auto"/>
            <w:left w:val="none" w:sz="0" w:space="0" w:color="auto"/>
            <w:bottom w:val="none" w:sz="0" w:space="0" w:color="auto"/>
            <w:right w:val="none" w:sz="0" w:space="0" w:color="auto"/>
          </w:divBdr>
        </w:div>
        <w:div w:id="1636526868">
          <w:marLeft w:val="0"/>
          <w:marRight w:val="0"/>
          <w:marTop w:val="0"/>
          <w:marBottom w:val="0"/>
          <w:divBdr>
            <w:top w:val="none" w:sz="0" w:space="0" w:color="auto"/>
            <w:left w:val="none" w:sz="0" w:space="0" w:color="auto"/>
            <w:bottom w:val="none" w:sz="0" w:space="0" w:color="auto"/>
            <w:right w:val="none" w:sz="0" w:space="0" w:color="auto"/>
          </w:divBdr>
        </w:div>
      </w:divsChild>
    </w:div>
    <w:div w:id="208942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jpeg"/><Relationship Id="rId42" Type="http://schemas.openxmlformats.org/officeDocument/2006/relationships/image" Target="media/image34.jpg"/><Relationship Id="rId47" Type="http://schemas.openxmlformats.org/officeDocument/2006/relationships/image" Target="media/image39.jpg"/><Relationship Id="rId63" Type="http://schemas.openxmlformats.org/officeDocument/2006/relationships/image" Target="media/image55.jpg"/><Relationship Id="rId68" Type="http://schemas.openxmlformats.org/officeDocument/2006/relationships/image" Target="media/image59.png"/><Relationship Id="rId84" Type="http://schemas.openxmlformats.org/officeDocument/2006/relationships/image" Target="media/image75.jpeg"/><Relationship Id="rId89" Type="http://schemas.openxmlformats.org/officeDocument/2006/relationships/image" Target="media/image80.jpg"/><Relationship Id="rId16" Type="http://schemas.openxmlformats.org/officeDocument/2006/relationships/image" Target="media/image8.jpeg"/><Relationship Id="rId11" Type="http://schemas.openxmlformats.org/officeDocument/2006/relationships/image" Target="media/image3.png"/><Relationship Id="rId32" Type="http://schemas.openxmlformats.org/officeDocument/2006/relationships/image" Target="media/image24.jpeg"/><Relationship Id="rId37" Type="http://schemas.openxmlformats.org/officeDocument/2006/relationships/image" Target="media/image29.jpg"/><Relationship Id="rId53" Type="http://schemas.openxmlformats.org/officeDocument/2006/relationships/image" Target="media/image45.jpeg"/><Relationship Id="rId58" Type="http://schemas.openxmlformats.org/officeDocument/2006/relationships/image" Target="media/image50.jpg"/><Relationship Id="rId74" Type="http://schemas.openxmlformats.org/officeDocument/2006/relationships/image" Target="media/image65.jpg"/><Relationship Id="rId79" Type="http://schemas.openxmlformats.org/officeDocument/2006/relationships/image" Target="media/image70.jp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footer" Target="footer2.xml"/><Relationship Id="rId22" Type="http://schemas.openxmlformats.org/officeDocument/2006/relationships/image" Target="media/image14.jpg"/><Relationship Id="rId27" Type="http://schemas.openxmlformats.org/officeDocument/2006/relationships/image" Target="media/image19.jp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png"/><Relationship Id="rId69" Type="http://schemas.openxmlformats.org/officeDocument/2006/relationships/image" Target="media/image60.jpeg"/><Relationship Id="rId80" Type="http://schemas.openxmlformats.org/officeDocument/2006/relationships/image" Target="media/image71.jpeg"/><Relationship Id="rId85" Type="http://schemas.openxmlformats.org/officeDocument/2006/relationships/image" Target="media/image76.jp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image" Target="media/image38.jpg"/><Relationship Id="rId59" Type="http://schemas.openxmlformats.org/officeDocument/2006/relationships/image" Target="media/image51.jpg"/><Relationship Id="rId67" Type="http://schemas.openxmlformats.org/officeDocument/2006/relationships/image" Target="media/image58.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g"/><Relationship Id="rId70" Type="http://schemas.openxmlformats.org/officeDocument/2006/relationships/image" Target="media/image61.jp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image" Target="media/image79.jpg"/><Relationship Id="rId91" Type="http://schemas.openxmlformats.org/officeDocument/2006/relationships/image" Target="media/image82.jpe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g"/><Relationship Id="rId36" Type="http://schemas.openxmlformats.org/officeDocument/2006/relationships/image" Target="media/image28.jpg"/><Relationship Id="rId49" Type="http://schemas.openxmlformats.org/officeDocument/2006/relationships/image" Target="media/image41.jpg"/><Relationship Id="rId57" Type="http://schemas.openxmlformats.org/officeDocument/2006/relationships/image" Target="media/image49.jpeg"/><Relationship Id="rId10" Type="http://schemas.openxmlformats.org/officeDocument/2006/relationships/image" Target="media/image2.png"/><Relationship Id="rId31" Type="http://schemas.openxmlformats.org/officeDocument/2006/relationships/image" Target="media/image23.jp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4.jpg"/><Relationship Id="rId78" Type="http://schemas.openxmlformats.org/officeDocument/2006/relationships/image" Target="media/image69.jpeg"/><Relationship Id="rId81" Type="http://schemas.openxmlformats.org/officeDocument/2006/relationships/image" Target="media/image72.jpg"/><Relationship Id="rId86" Type="http://schemas.openxmlformats.org/officeDocument/2006/relationships/image" Target="media/image77.jpg"/><Relationship Id="rId94" Type="http://schemas.openxmlformats.org/officeDocument/2006/relationships/image" Target="media/image85.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7.jp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jpeg"/><Relationship Id="rId2" Type="http://schemas.openxmlformats.org/officeDocument/2006/relationships/numbering" Target="numbering.xml"/><Relationship Id="rId29" Type="http://schemas.openxmlformats.org/officeDocument/2006/relationships/image" Target="media/image21.jpg"/><Relationship Id="rId24" Type="http://schemas.openxmlformats.org/officeDocument/2006/relationships/image" Target="media/image16.jpg"/><Relationship Id="rId40" Type="http://schemas.openxmlformats.org/officeDocument/2006/relationships/image" Target="media/image32.jpeg"/><Relationship Id="rId45" Type="http://schemas.openxmlformats.org/officeDocument/2006/relationships/image" Target="media/image37.jpg"/><Relationship Id="rId66" Type="http://schemas.openxmlformats.org/officeDocument/2006/relationships/image" Target="media/image57.jpg"/><Relationship Id="rId87" Type="http://schemas.openxmlformats.org/officeDocument/2006/relationships/image" Target="media/image78.jpg"/><Relationship Id="rId61" Type="http://schemas.openxmlformats.org/officeDocument/2006/relationships/image" Target="media/image53.jpeg"/><Relationship Id="rId82" Type="http://schemas.openxmlformats.org/officeDocument/2006/relationships/image" Target="media/image73.jp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png"/><Relationship Id="rId77" Type="http://schemas.openxmlformats.org/officeDocument/2006/relationships/image" Target="media/image68.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3.jpg"/><Relationship Id="rId93" Type="http://schemas.openxmlformats.org/officeDocument/2006/relationships/image" Target="media/image8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2A24D-AB69-41FA-ADFF-8A3681BE0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472</Pages>
  <Words>96382</Words>
  <Characters>546743</Characters>
  <Application>Microsoft Office Word</Application>
  <DocSecurity>0</DocSecurity>
  <Lines>4556</Lines>
  <Paragraphs>1283</Paragraphs>
  <ScaleCrop>false</ScaleCrop>
  <Company/>
  <LinksUpToDate>false</LinksUpToDate>
  <CharactersWithSpaces>641842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Price</dc:creator>
  <cp:keywords/>
  <dc:description/>
  <cp:lastModifiedBy>Leonie Price</cp:lastModifiedBy>
  <cp:revision>51</cp:revision>
  <dcterms:created xsi:type="dcterms:W3CDTF">2024-12-23T20:51:00Z</dcterms:created>
  <dcterms:modified xsi:type="dcterms:W3CDTF">2025-06-10T21:59:00Z</dcterms:modified>
</cp:coreProperties>
</file>